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C51" w:rsidRPr="00E5403B" w:rsidRDefault="00D74C51" w:rsidP="00D74C51">
      <w:pPr>
        <w:jc w:val="left"/>
        <w:rPr>
          <w:rFonts w:ascii="黑体" w:eastAsia="黑体" w:hAnsi="黑体" w:hint="eastAsia"/>
          <w:sz w:val="32"/>
          <w:szCs w:val="32"/>
        </w:rPr>
      </w:pPr>
      <w:r w:rsidRPr="00E5403B">
        <w:rPr>
          <w:rFonts w:ascii="黑体" w:eastAsia="黑体" w:hAnsi="黑体" w:hint="eastAsia"/>
          <w:sz w:val="32"/>
          <w:szCs w:val="32"/>
        </w:rPr>
        <w:t>附件1：</w:t>
      </w:r>
    </w:p>
    <w:p w:rsidR="00D74C51" w:rsidRPr="00FE3627" w:rsidRDefault="00D74C51" w:rsidP="00D74C51">
      <w:pPr>
        <w:ind w:firstLineChars="445" w:firstLine="1424"/>
        <w:rPr>
          <w:rFonts w:eastAsia="黑体"/>
          <w:sz w:val="32"/>
          <w:szCs w:val="32"/>
        </w:rPr>
      </w:pPr>
      <w:r w:rsidRPr="00FE3627">
        <w:rPr>
          <w:rFonts w:eastAsia="黑体"/>
          <w:sz w:val="32"/>
          <w:szCs w:val="32"/>
        </w:rPr>
        <w:t>常州市公共创新平台绩效现场评估指标体系</w:t>
      </w:r>
    </w:p>
    <w:tbl>
      <w:tblPr>
        <w:tblW w:w="54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47"/>
        <w:gridCol w:w="6893"/>
        <w:gridCol w:w="1133"/>
      </w:tblGrid>
      <w:tr w:rsidR="00D74C51" w:rsidRPr="00FE3627" w:rsidTr="00D74C51">
        <w:trPr>
          <w:trHeight w:val="851"/>
        </w:trPr>
        <w:tc>
          <w:tcPr>
            <w:tcW w:w="1055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一级</w:t>
            </w:r>
          </w:p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指标</w:t>
            </w:r>
          </w:p>
        </w:tc>
        <w:tc>
          <w:tcPr>
            <w:tcW w:w="3387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二级指标</w:t>
            </w:r>
          </w:p>
        </w:tc>
        <w:tc>
          <w:tcPr>
            <w:tcW w:w="557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分值</w:t>
            </w:r>
          </w:p>
        </w:tc>
      </w:tr>
      <w:tr w:rsidR="00D74C51" w:rsidRPr="00FE3627" w:rsidTr="00D74C51">
        <w:trPr>
          <w:trHeight w:val="3849"/>
        </w:trPr>
        <w:tc>
          <w:tcPr>
            <w:tcW w:w="1055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平台基本</w:t>
            </w:r>
          </w:p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建设情况</w:t>
            </w:r>
          </w:p>
        </w:tc>
        <w:tc>
          <w:tcPr>
            <w:tcW w:w="338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具备与其服务定位相适应的办公场地、服务场地，标志明显；</w:t>
            </w:r>
          </w:p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具备为企业服务的相关仪器设备和研发试验场地，并且相对集中布置；</w:t>
            </w:r>
          </w:p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具备足够的服务人员及相应的服务能力。</w:t>
            </w:r>
          </w:p>
        </w:tc>
        <w:tc>
          <w:tcPr>
            <w:tcW w:w="55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40</w:t>
            </w:r>
          </w:p>
        </w:tc>
      </w:tr>
      <w:tr w:rsidR="00D74C51" w:rsidRPr="00FE3627" w:rsidTr="00D74C51">
        <w:trPr>
          <w:trHeight w:val="851"/>
        </w:trPr>
        <w:tc>
          <w:tcPr>
            <w:tcW w:w="1055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内部运行</w:t>
            </w:r>
          </w:p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管理情况</w:t>
            </w:r>
          </w:p>
        </w:tc>
        <w:tc>
          <w:tcPr>
            <w:tcW w:w="338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有相对合理的组织架构及管理人员；</w:t>
            </w:r>
          </w:p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具备完整的管理制度，具备有效的激励机制、成果奖励制度；</w:t>
            </w:r>
          </w:p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具备完整的运行管理台账，平台管理规范、财务管理规范。</w:t>
            </w:r>
          </w:p>
        </w:tc>
        <w:tc>
          <w:tcPr>
            <w:tcW w:w="55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40</w:t>
            </w:r>
          </w:p>
        </w:tc>
      </w:tr>
      <w:tr w:rsidR="00D74C51" w:rsidRPr="00FE3627" w:rsidTr="00D74C51">
        <w:trPr>
          <w:trHeight w:val="851"/>
        </w:trPr>
        <w:tc>
          <w:tcPr>
            <w:tcW w:w="1055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对外交流与宣传情况</w:t>
            </w:r>
          </w:p>
        </w:tc>
        <w:tc>
          <w:tcPr>
            <w:tcW w:w="338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建立网站、具备有效的宣传途径、宣传手段，公布有关对外开展交流和服务。</w:t>
            </w:r>
          </w:p>
        </w:tc>
        <w:tc>
          <w:tcPr>
            <w:tcW w:w="55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20</w:t>
            </w:r>
          </w:p>
        </w:tc>
      </w:tr>
      <w:tr w:rsidR="00D74C51" w:rsidRPr="00FE3627" w:rsidTr="00D74C51">
        <w:trPr>
          <w:trHeight w:val="851"/>
        </w:trPr>
        <w:tc>
          <w:tcPr>
            <w:tcW w:w="4443" w:type="pct"/>
            <w:gridSpan w:val="2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t>合计</w:t>
            </w:r>
          </w:p>
        </w:tc>
        <w:tc>
          <w:tcPr>
            <w:tcW w:w="557" w:type="pct"/>
            <w:vAlign w:val="center"/>
          </w:tcPr>
          <w:p w:rsidR="00D74C51" w:rsidRPr="00FE3627" w:rsidRDefault="00D74C51" w:rsidP="002D110D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kern w:val="0"/>
                <w:sz w:val="32"/>
                <w:szCs w:val="32"/>
              </w:rPr>
              <w:fldChar w:fldCharType="begin"/>
            </w:r>
            <w:r w:rsidRPr="00FE3627">
              <w:rPr>
                <w:rFonts w:eastAsia="仿宋_GB2312"/>
                <w:kern w:val="0"/>
                <w:sz w:val="32"/>
                <w:szCs w:val="32"/>
              </w:rPr>
              <w:instrText xml:space="preserve"> =SUM(ABOVE) </w:instrText>
            </w:r>
            <w:r w:rsidRPr="00FE3627">
              <w:rPr>
                <w:rFonts w:eastAsia="仿宋_GB2312"/>
                <w:kern w:val="0"/>
                <w:sz w:val="32"/>
                <w:szCs w:val="32"/>
              </w:rPr>
              <w:fldChar w:fldCharType="separate"/>
            </w:r>
            <w:r w:rsidRPr="00FE3627">
              <w:rPr>
                <w:rFonts w:eastAsia="仿宋_GB2312"/>
                <w:noProof/>
                <w:kern w:val="0"/>
                <w:sz w:val="32"/>
                <w:szCs w:val="32"/>
              </w:rPr>
              <w:t>100</w:t>
            </w:r>
            <w:r w:rsidRPr="00FE3627">
              <w:rPr>
                <w:rFonts w:eastAsia="仿宋_GB2312"/>
                <w:kern w:val="0"/>
                <w:sz w:val="32"/>
                <w:szCs w:val="32"/>
              </w:rPr>
              <w:fldChar w:fldCharType="end"/>
            </w:r>
          </w:p>
        </w:tc>
      </w:tr>
    </w:tbl>
    <w:p w:rsidR="00D74C51" w:rsidRPr="00E5403B" w:rsidRDefault="00D74C51" w:rsidP="00D74C51">
      <w:pPr>
        <w:snapToGrid w:val="0"/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FE3627">
        <w:rPr>
          <w:sz w:val="32"/>
          <w:szCs w:val="32"/>
        </w:rPr>
        <w:br w:type="page"/>
      </w:r>
      <w:r w:rsidRPr="00E5403B">
        <w:rPr>
          <w:rFonts w:ascii="黑体" w:eastAsia="黑体" w:hAnsi="黑体" w:hint="eastAsia"/>
          <w:sz w:val="32"/>
          <w:szCs w:val="32"/>
        </w:rPr>
        <w:lastRenderedPageBreak/>
        <w:t>附件2：</w:t>
      </w:r>
    </w:p>
    <w:p w:rsidR="00D74C51" w:rsidRPr="00FE3627" w:rsidRDefault="00D74C51" w:rsidP="00D74C51">
      <w:pPr>
        <w:snapToGrid w:val="0"/>
        <w:spacing w:line="360" w:lineRule="auto"/>
        <w:ind w:firstLineChars="200" w:firstLine="640"/>
        <w:jc w:val="center"/>
        <w:rPr>
          <w:rFonts w:eastAsia="黑体"/>
          <w:bCs/>
          <w:kern w:val="0"/>
          <w:sz w:val="32"/>
          <w:szCs w:val="32"/>
        </w:rPr>
      </w:pPr>
      <w:r w:rsidRPr="00FE3627">
        <w:rPr>
          <w:rFonts w:eastAsia="黑体"/>
          <w:bCs/>
          <w:kern w:val="0"/>
          <w:sz w:val="32"/>
          <w:szCs w:val="32"/>
        </w:rPr>
        <w:t>常州市公共创新平台绩效专家评估指标体系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194"/>
        <w:gridCol w:w="6954"/>
        <w:gridCol w:w="1139"/>
      </w:tblGrid>
      <w:tr w:rsidR="00D74C51" w:rsidRPr="00FE3627" w:rsidTr="002D110D">
        <w:trPr>
          <w:trHeight w:val="680"/>
        </w:trPr>
        <w:tc>
          <w:tcPr>
            <w:tcW w:w="64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一级</w:t>
            </w:r>
          </w:p>
          <w:p w:rsidR="00D74C51" w:rsidRPr="00FE3627" w:rsidRDefault="00D74C51" w:rsidP="002D110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指标</w:t>
            </w: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二级指标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/>
                <w:bCs/>
                <w:kern w:val="0"/>
                <w:sz w:val="32"/>
                <w:szCs w:val="32"/>
              </w:rPr>
              <w:t>分值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 w:val="restar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服务</w:t>
            </w:r>
          </w:p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条件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(30%)</w:t>
            </w: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、具备服务所需的场所、设备等硬件条件及功能子平台；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10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2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、定位准确、业务模式清晰，资金投入到位；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3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、人才团队规模、层次合理，能够支撑各项业务开展并且具备业务拓展潜力；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4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、具有资源整合能力，与共建单位、国内外知名服务单位或其他单位合作密切；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、创建服务品牌，获得有较高门槛的资质。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 w:val="restar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运行</w:t>
            </w:r>
          </w:p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管理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(20%)</w:t>
            </w: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6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、管理体制健全、内部管理规范、财务管理规范、机构运行效率高；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10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7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、体制机制创新，有较为有效的内部激励机制、成果转化机制等；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8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、成长性较好，未来发展潜力较好。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 w:val="restart"/>
            <w:vAlign w:val="center"/>
          </w:tcPr>
          <w:p w:rsidR="00D74C51" w:rsidRPr="00FE3627" w:rsidRDefault="00D74C51" w:rsidP="002D110D">
            <w:pPr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运行</w:t>
            </w:r>
          </w:p>
          <w:p w:rsidR="00D74C51" w:rsidRPr="00FE3627" w:rsidRDefault="00D74C51" w:rsidP="002D110D">
            <w:pPr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成效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(50%)</w:t>
            </w: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9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、服务较多的企业（或转移转化较多项目）并获得较高的收入；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10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、在项目承担、成果产出、引进培养人才、国内外技术合作及技术交流方面取得成效；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15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11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、社会效益特别是为本地企业创新、产业提升、区域创新能力提升产生较好成效，产生较大的社会影响力；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10</w:t>
            </w:r>
          </w:p>
        </w:tc>
      </w:tr>
      <w:tr w:rsidR="00D74C51" w:rsidRPr="00FE3627" w:rsidTr="002D110D">
        <w:trPr>
          <w:trHeight w:val="680"/>
        </w:trPr>
        <w:tc>
          <w:tcPr>
            <w:tcW w:w="643" w:type="pct"/>
            <w:vMerge/>
            <w:vAlign w:val="center"/>
          </w:tcPr>
          <w:p w:rsidR="00D74C51" w:rsidRPr="00FE3627" w:rsidRDefault="00D74C51" w:rsidP="002D110D">
            <w:pPr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3744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32"/>
                <w:szCs w:val="32"/>
                <w:highlight w:val="yellow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12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、近二年服务成效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(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经济效益或社会效益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)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增长明显，或者在某些方面获得了一定突破。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10</w:t>
            </w:r>
          </w:p>
        </w:tc>
      </w:tr>
      <w:tr w:rsidR="00D74C51" w:rsidRPr="00FE3627" w:rsidTr="002D110D">
        <w:trPr>
          <w:trHeight w:val="680"/>
        </w:trPr>
        <w:tc>
          <w:tcPr>
            <w:tcW w:w="4387" w:type="pct"/>
            <w:gridSpan w:val="2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t>合计</w:t>
            </w:r>
          </w:p>
        </w:tc>
        <w:tc>
          <w:tcPr>
            <w:tcW w:w="613" w:type="pct"/>
            <w:vAlign w:val="center"/>
          </w:tcPr>
          <w:p w:rsidR="00D74C51" w:rsidRPr="00FE3627" w:rsidRDefault="00D74C51" w:rsidP="002D110D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fldChar w:fldCharType="begin"/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instrText xml:space="preserve"> =SUM(ABOVE) </w:instrTex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fldChar w:fldCharType="separate"/>
            </w:r>
            <w:r w:rsidRPr="00FE3627">
              <w:rPr>
                <w:rFonts w:eastAsia="仿宋_GB2312"/>
                <w:bCs/>
                <w:noProof/>
                <w:kern w:val="0"/>
                <w:sz w:val="32"/>
                <w:szCs w:val="32"/>
              </w:rPr>
              <w:t>100</w:t>
            </w:r>
            <w:r w:rsidRPr="00FE3627">
              <w:rPr>
                <w:rFonts w:eastAsia="仿宋_GB2312"/>
                <w:bCs/>
                <w:kern w:val="0"/>
                <w:sz w:val="32"/>
                <w:szCs w:val="32"/>
              </w:rPr>
              <w:fldChar w:fldCharType="end"/>
            </w:r>
          </w:p>
        </w:tc>
      </w:tr>
    </w:tbl>
    <w:p w:rsidR="00D74C51" w:rsidRPr="00FE3627" w:rsidRDefault="00D74C51" w:rsidP="00D74C51">
      <w:pPr>
        <w:spacing w:line="20" w:lineRule="exact"/>
        <w:rPr>
          <w:sz w:val="32"/>
          <w:szCs w:val="32"/>
        </w:rPr>
      </w:pPr>
    </w:p>
    <w:p w:rsidR="00D74C51" w:rsidRPr="00AE49F1" w:rsidRDefault="00D74C51" w:rsidP="00D74C51">
      <w:pPr>
        <w:widowControl/>
        <w:spacing w:line="560" w:lineRule="exact"/>
        <w:jc w:val="center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p w:rsidR="00D74C51" w:rsidRDefault="00D74C51" w:rsidP="00D74C51">
      <w:pPr>
        <w:spacing w:line="400" w:lineRule="exact"/>
        <w:rPr>
          <w:rFonts w:eastAsia="仿宋_GB2312" w:hint="eastAsia"/>
          <w:color w:val="000000"/>
          <w:sz w:val="32"/>
          <w:szCs w:val="32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435"/>
      </w:tblGrid>
      <w:tr w:rsidR="00D74C51" w:rsidRPr="00AE49F1" w:rsidTr="002D110D">
        <w:trPr>
          <w:trHeight w:val="624"/>
          <w:jc w:val="center"/>
        </w:trPr>
        <w:tc>
          <w:tcPr>
            <w:tcW w:w="2435" w:type="dxa"/>
          </w:tcPr>
          <w:p w:rsidR="00D74C51" w:rsidRPr="00AE49F1" w:rsidRDefault="00D74C51" w:rsidP="002D110D">
            <w:pPr>
              <w:spacing w:line="520" w:lineRule="exact"/>
              <w:jc w:val="center"/>
              <w:rPr>
                <w:rFonts w:ascii="黑体" w:eastAsia="黑体" w:hint="eastAsia"/>
                <w:color w:val="000000"/>
                <w:sz w:val="28"/>
                <w:szCs w:val="28"/>
              </w:rPr>
            </w:pPr>
            <w:r w:rsidRPr="00DA0707">
              <w:rPr>
                <w:rFonts w:ascii="黑体" w:eastAsia="黑体"/>
                <w:noProof/>
                <w:color w:val="000000"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0;text-align:left;margin-left:0;margin-top:-56.4pt;width:176.05pt;height:126.9pt;z-index:251662336;mso-width-percent:400;mso-position-horizontal:center;mso-width-percent:400;mso-width-relative:margin;mso-height-relative:margin" strokecolor="white">
                  <v:textbox>
                    <w:txbxContent>
                      <w:p w:rsidR="00D74C51" w:rsidRDefault="00D74C51" w:rsidP="00D74C51"/>
                    </w:txbxContent>
                  </v:textbox>
                </v:shape>
              </w:pict>
            </w:r>
          </w:p>
        </w:tc>
      </w:tr>
    </w:tbl>
    <w:p w:rsidR="00D74C51" w:rsidRPr="00AE49F1" w:rsidRDefault="00D74C51" w:rsidP="00D74C51">
      <w:pPr>
        <w:spacing w:line="570" w:lineRule="exact"/>
        <w:ind w:firstLine="280"/>
        <w:rPr>
          <w:rFonts w:eastAsia="仿宋_GB2312"/>
          <w:color w:val="000000"/>
          <w:sz w:val="28"/>
          <w:szCs w:val="28"/>
        </w:rPr>
        <w:sectPr w:rsidR="00D74C51" w:rsidRPr="00AE49F1" w:rsidSect="00D74C51">
          <w:footerReference w:type="even" r:id="rId4"/>
          <w:footerReference w:type="default" r:id="rId5"/>
          <w:pgSz w:w="11906" w:h="16838" w:code="9"/>
          <w:pgMar w:top="1588" w:right="1531" w:bottom="1361" w:left="1304" w:header="709" w:footer="1361" w:gutter="0"/>
          <w:cols w:space="425"/>
          <w:docGrid w:type="lines" w:linePitch="312"/>
        </w:sectPr>
      </w:pPr>
    </w:p>
    <w:p w:rsidR="00C56959" w:rsidRPr="00D74C51" w:rsidRDefault="00C56959" w:rsidP="00D74C51"/>
    <w:sectPr w:rsidR="00C56959" w:rsidRPr="00D74C51" w:rsidSect="003A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E76" w:rsidRDefault="00C4664F" w:rsidP="00BF0C3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D6E76" w:rsidRDefault="00C4664F" w:rsidP="00E8401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E76" w:rsidRPr="00E84014" w:rsidRDefault="00C4664F" w:rsidP="00E84014">
    <w:pPr>
      <w:pStyle w:val="a3"/>
      <w:framePr w:wrap="around" w:vAnchor="text" w:hAnchor="margin" w:xAlign="outside" w:y="1"/>
      <w:ind w:right="300" w:firstLine="280"/>
      <w:rPr>
        <w:rStyle w:val="a4"/>
        <w:rFonts w:hint="eastAsia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Pr="00E84014">
      <w:rPr>
        <w:rStyle w:val="a4"/>
        <w:sz w:val="28"/>
        <w:szCs w:val="28"/>
      </w:rPr>
      <w:fldChar w:fldCharType="begin"/>
    </w:r>
    <w:r w:rsidRPr="00E84014">
      <w:rPr>
        <w:rStyle w:val="a4"/>
        <w:sz w:val="28"/>
        <w:szCs w:val="28"/>
      </w:rPr>
      <w:instrText xml:space="preserve">PAGE  </w:instrText>
    </w:r>
    <w:r w:rsidRPr="00E84014">
      <w:rPr>
        <w:rStyle w:val="a4"/>
        <w:sz w:val="28"/>
        <w:szCs w:val="28"/>
      </w:rPr>
      <w:fldChar w:fldCharType="separate"/>
    </w:r>
    <w:r w:rsidR="00D74C51">
      <w:rPr>
        <w:rStyle w:val="a4"/>
        <w:noProof/>
        <w:sz w:val="28"/>
        <w:szCs w:val="28"/>
      </w:rPr>
      <w:t>2</w:t>
    </w:r>
    <w:r w:rsidRPr="00E84014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</w:p>
  <w:p w:rsidR="005D6E76" w:rsidRDefault="00C4664F" w:rsidP="00E84014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89F"/>
    <w:rsid w:val="003A0F1D"/>
    <w:rsid w:val="0068389F"/>
    <w:rsid w:val="00C4664F"/>
    <w:rsid w:val="00C56959"/>
    <w:rsid w:val="00D7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8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74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74C5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74C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3</cp:revision>
  <dcterms:created xsi:type="dcterms:W3CDTF">2016-08-17T02:38:00Z</dcterms:created>
  <dcterms:modified xsi:type="dcterms:W3CDTF">2016-08-17T02:45:00Z</dcterms:modified>
</cp:coreProperties>
</file>