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40E8" w:rsidRDefault="0062585F">
      <w:pPr>
        <w:rPr>
          <w:rFonts w:ascii="方正小标宋简体" w:eastAsia="方正小标宋简体" w:hAnsi="方正小标宋简体" w:cs="方正小标宋简体"/>
          <w:color w:val="000000"/>
          <w:sz w:val="36"/>
          <w:szCs w:val="36"/>
        </w:rPr>
      </w:pPr>
      <w:r>
        <w:rPr>
          <w:rFonts w:ascii="黑体" w:eastAsia="黑体" w:hAnsi="黑体" w:cs="黑体" w:hint="eastAsia"/>
          <w:color w:val="000000"/>
          <w:sz w:val="32"/>
          <w:szCs w:val="32"/>
        </w:rPr>
        <w:t>附件：</w:t>
      </w:r>
      <w:r>
        <w:rPr>
          <w:rFonts w:ascii="方正小标宋简体" w:eastAsia="方正小标宋简体" w:hAnsi="方正小标宋简体" w:cs="方正小标宋简体" w:hint="eastAsia"/>
          <w:color w:val="000000"/>
          <w:sz w:val="32"/>
          <w:szCs w:val="32"/>
        </w:rPr>
        <w:t xml:space="preserve">                     </w:t>
      </w:r>
      <w:r>
        <w:rPr>
          <w:rFonts w:ascii="方正小标宋简体" w:eastAsia="方正小标宋简体" w:hAnsi="方正小标宋简体" w:cs="方正小标宋简体" w:hint="eastAsia"/>
          <w:color w:val="000000"/>
          <w:sz w:val="36"/>
          <w:szCs w:val="36"/>
        </w:rPr>
        <w:t>江苏省城市管理执法规范化建设标准（试行）</w:t>
      </w:r>
    </w:p>
    <w:tbl>
      <w:tblPr>
        <w:tblpPr w:leftFromText="180" w:rightFromText="180" w:vertAnchor="text" w:horzAnchor="page" w:tblpX="1343" w:tblpY="624"/>
        <w:tblOverlap w:val="never"/>
        <w:tblW w:w="14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5"/>
        <w:gridCol w:w="1400"/>
        <w:gridCol w:w="9928"/>
        <w:gridCol w:w="1872"/>
      </w:tblGrid>
      <w:tr w:rsidR="008D40E8">
        <w:trPr>
          <w:trHeight w:val="445"/>
          <w:tblHeader/>
        </w:trPr>
        <w:tc>
          <w:tcPr>
            <w:tcW w:w="1115"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黑体" w:eastAsia="黑体" w:hAnsi="黑体" w:cs="黑体"/>
                <w:color w:val="000000"/>
                <w:spacing w:val="-4"/>
                <w:kern w:val="0"/>
                <w:sz w:val="24"/>
              </w:rPr>
            </w:pPr>
            <w:r>
              <w:rPr>
                <w:rFonts w:ascii="黑体" w:eastAsia="黑体" w:hAnsi="黑体" w:cs="黑体" w:hint="eastAsia"/>
                <w:color w:val="000000"/>
                <w:spacing w:val="-4"/>
                <w:kern w:val="0"/>
                <w:sz w:val="24"/>
              </w:rPr>
              <w:t>一级指标</w:t>
            </w: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黑体" w:eastAsia="黑体" w:hAnsi="黑体" w:cs="黑体"/>
                <w:color w:val="000000"/>
                <w:spacing w:val="-4"/>
                <w:kern w:val="0"/>
                <w:sz w:val="24"/>
              </w:rPr>
            </w:pPr>
            <w:r>
              <w:rPr>
                <w:rFonts w:ascii="黑体" w:eastAsia="黑体" w:hAnsi="黑体" w:cs="黑体" w:hint="eastAsia"/>
                <w:color w:val="000000"/>
                <w:spacing w:val="-4"/>
                <w:kern w:val="0"/>
                <w:sz w:val="24"/>
              </w:rPr>
              <w:t>二级指标</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黑体" w:eastAsia="黑体" w:hAnsi="黑体" w:cs="黑体"/>
                <w:color w:val="000000"/>
                <w:spacing w:val="-4"/>
                <w:kern w:val="0"/>
                <w:sz w:val="24"/>
              </w:rPr>
            </w:pPr>
            <w:r>
              <w:rPr>
                <w:rFonts w:ascii="黑体" w:eastAsia="黑体" w:hAnsi="黑体" w:cs="黑体" w:hint="eastAsia"/>
                <w:color w:val="000000"/>
                <w:spacing w:val="-4"/>
                <w:kern w:val="0"/>
                <w:sz w:val="24"/>
              </w:rPr>
              <w:t>标                    准</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黑体" w:eastAsia="黑体" w:hAnsi="黑体" w:cs="黑体"/>
                <w:color w:val="000000"/>
                <w:spacing w:val="-4"/>
                <w:kern w:val="0"/>
                <w:sz w:val="24"/>
              </w:rPr>
            </w:pPr>
            <w:r>
              <w:rPr>
                <w:rFonts w:ascii="黑体" w:eastAsia="黑体" w:hAnsi="黑体" w:cs="黑体" w:hint="eastAsia"/>
                <w:color w:val="000000"/>
                <w:spacing w:val="-4"/>
                <w:kern w:val="0"/>
                <w:sz w:val="24"/>
              </w:rPr>
              <w:t>责任单位</w:t>
            </w:r>
          </w:p>
        </w:tc>
      </w:tr>
      <w:tr w:rsidR="008D40E8">
        <w:trPr>
          <w:trHeight w:val="454"/>
        </w:trPr>
        <w:tc>
          <w:tcPr>
            <w:tcW w:w="1115" w:type="dxa"/>
            <w:vMerge w:val="restart"/>
            <w:tcBorders>
              <w:top w:val="single" w:sz="4" w:space="0" w:color="auto"/>
              <w:left w:val="single" w:sz="4" w:space="0" w:color="auto"/>
              <w:right w:val="single" w:sz="4" w:space="0" w:color="auto"/>
            </w:tcBorders>
            <w:vAlign w:val="center"/>
          </w:tcPr>
          <w:p w:rsidR="008D40E8" w:rsidRDefault="0062585F">
            <w:pPr>
              <w:widowControl/>
              <w:spacing w:line="260" w:lineRule="exact"/>
              <w:jc w:val="left"/>
              <w:rPr>
                <w:rFonts w:ascii="宋体" w:hAnsi="宋体" w:cs="宋体"/>
                <w:spacing w:val="-4"/>
                <w:kern w:val="0"/>
                <w:szCs w:val="21"/>
              </w:rPr>
            </w:pPr>
            <w:r>
              <w:rPr>
                <w:rFonts w:ascii="宋体" w:hAnsi="宋体" w:cs="宋体" w:hint="eastAsia"/>
                <w:spacing w:val="-4"/>
                <w:kern w:val="0"/>
                <w:szCs w:val="21"/>
              </w:rPr>
              <w:t>执法主体</w:t>
            </w: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市，辖市、区</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城市管理执法的执法主体为同级人民政府的城市管理部门。</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rightChars="-20" w:right="-42"/>
              <w:rPr>
                <w:spacing w:val="-4"/>
                <w:kern w:val="0"/>
                <w:szCs w:val="21"/>
              </w:rPr>
            </w:pPr>
            <w:r>
              <w:rPr>
                <w:rFonts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街道、乡镇</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w:t>
            </w:r>
            <w:proofErr w:type="gramStart"/>
            <w:r>
              <w:rPr>
                <w:rFonts w:asciiTheme="minorEastAsia" w:eastAsiaTheme="minorEastAsia" w:hAnsiTheme="minorEastAsia" w:cstheme="minorEastAsia" w:hint="eastAsia"/>
                <w:spacing w:val="-4"/>
                <w:kern w:val="0"/>
                <w:szCs w:val="21"/>
              </w:rPr>
              <w:t>辖</w:t>
            </w:r>
            <w:proofErr w:type="gramEnd"/>
            <w:r>
              <w:rPr>
                <w:rFonts w:asciiTheme="minorEastAsia" w:eastAsiaTheme="minorEastAsia" w:hAnsiTheme="minorEastAsia" w:cstheme="minorEastAsia" w:hint="eastAsia"/>
                <w:spacing w:val="-4"/>
                <w:kern w:val="0"/>
                <w:szCs w:val="21"/>
              </w:rPr>
              <w:t>市区城市管理部门向所属街道或乡镇派驻执法机构的，城市管理部门为执法主体。</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hint="eastAsia"/>
                <w:spacing w:val="-4"/>
                <w:kern w:val="0"/>
                <w:szCs w:val="21"/>
              </w:rPr>
              <w:t>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2.乡镇人民政府成立综合行政执法机构的，乡镇人民政府为执法主体。</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rightChars="-20" w:right="-42" w:firstLineChars="200" w:firstLine="404"/>
              <w:rPr>
                <w:spacing w:val="-4"/>
                <w:kern w:val="0"/>
                <w:szCs w:val="21"/>
              </w:rPr>
            </w:pPr>
            <w:r>
              <w:rPr>
                <w:rFonts w:hint="eastAsia"/>
                <w:spacing w:val="-4"/>
                <w:kern w:val="0"/>
                <w:szCs w:val="21"/>
              </w:rPr>
              <w:t>辖市、区局</w:t>
            </w:r>
          </w:p>
        </w:tc>
      </w:tr>
      <w:tr w:rsidR="008D40E8">
        <w:trPr>
          <w:trHeight w:val="310"/>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right w:val="single" w:sz="4" w:space="0" w:color="auto"/>
            </w:tcBorders>
            <w:vAlign w:val="center"/>
          </w:tcPr>
          <w:p w:rsidR="008D40E8" w:rsidRDefault="0062585F">
            <w:pPr>
              <w:widowControl/>
              <w:spacing w:line="260" w:lineRule="exact"/>
              <w:jc w:val="center"/>
              <w:rPr>
                <w:rFonts w:ascii="宋体" w:hAnsi="宋体" w:cs="宋体"/>
                <w:spacing w:val="-4"/>
                <w:kern w:val="0"/>
                <w:szCs w:val="21"/>
              </w:rPr>
            </w:pPr>
            <w:r>
              <w:rPr>
                <w:rFonts w:ascii="宋体" w:hAnsi="宋体" w:cs="宋体" w:hint="eastAsia"/>
                <w:spacing w:val="-4"/>
                <w:kern w:val="0"/>
                <w:szCs w:val="21"/>
              </w:rPr>
              <w:t>经济开发区、工业园区等区域</w:t>
            </w:r>
          </w:p>
        </w:tc>
        <w:tc>
          <w:tcPr>
            <w:tcW w:w="9928" w:type="dxa"/>
            <w:tcBorders>
              <w:top w:val="single" w:sz="4" w:space="0" w:color="auto"/>
              <w:left w:val="single" w:sz="4" w:space="0" w:color="auto"/>
              <w:right w:val="single" w:sz="4" w:space="0" w:color="auto"/>
            </w:tcBorders>
            <w:vAlign w:val="center"/>
          </w:tcPr>
          <w:p w:rsidR="008D40E8" w:rsidRDefault="0062585F">
            <w:pPr>
              <w:widowControl/>
              <w:spacing w:line="260" w:lineRule="exact"/>
              <w:ind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1.城市管理部门向经济开发区、工业园区等派驻执法机构的，城市管理部门为执法主体。</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rightChars="-20" w:right="-42" w:firstLineChars="200" w:firstLine="404"/>
              <w:rPr>
                <w:spacing w:val="-4"/>
                <w:kern w:val="0"/>
                <w:szCs w:val="21"/>
              </w:rPr>
            </w:pPr>
            <w:r>
              <w:rPr>
                <w:rFonts w:hint="eastAsia"/>
                <w:spacing w:val="-4"/>
                <w:kern w:val="0"/>
                <w:szCs w:val="21"/>
              </w:rPr>
              <w:t>辖市、区局</w:t>
            </w:r>
          </w:p>
        </w:tc>
      </w:tr>
      <w:tr w:rsidR="008D40E8">
        <w:trPr>
          <w:trHeight w:val="530"/>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center"/>
              <w:rPr>
                <w:rFonts w:ascii="宋体" w:hAnsi="宋体" w:cs="宋体"/>
                <w:spacing w:val="-4"/>
                <w:kern w:val="0"/>
                <w:szCs w:val="21"/>
              </w:rPr>
            </w:pPr>
          </w:p>
        </w:tc>
        <w:tc>
          <w:tcPr>
            <w:tcW w:w="9928" w:type="dxa"/>
            <w:tcBorders>
              <w:top w:val="single" w:sz="4" w:space="0" w:color="auto"/>
              <w:left w:val="single" w:sz="4" w:space="0" w:color="auto"/>
              <w:right w:val="single" w:sz="4" w:space="0" w:color="auto"/>
            </w:tcBorders>
            <w:vAlign w:val="center"/>
          </w:tcPr>
          <w:p w:rsidR="008D40E8" w:rsidRDefault="0062585F">
            <w:pPr>
              <w:widowControl/>
              <w:spacing w:line="260" w:lineRule="exact"/>
              <w:ind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2.经批准设立的省级及以上经济开发区、工业园区等独立设置城市管理部门的，经济开发区、工业园区城市管理部门为执法主体。</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rightChars="-20" w:right="-42" w:firstLineChars="200" w:firstLine="404"/>
              <w:rPr>
                <w:spacing w:val="-4"/>
                <w:kern w:val="0"/>
                <w:szCs w:val="21"/>
              </w:rPr>
            </w:pPr>
            <w:r>
              <w:rPr>
                <w:rFonts w:hint="eastAsia"/>
                <w:spacing w:val="-4"/>
                <w:kern w:val="0"/>
                <w:szCs w:val="21"/>
              </w:rPr>
              <w:t>辖市、区局</w:t>
            </w:r>
          </w:p>
        </w:tc>
      </w:tr>
      <w:tr w:rsidR="008D40E8">
        <w:trPr>
          <w:trHeight w:val="454"/>
        </w:trPr>
        <w:tc>
          <w:tcPr>
            <w:tcW w:w="1115"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执法范围</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color w:val="FF0000"/>
                <w:spacing w:val="-4"/>
                <w:kern w:val="0"/>
                <w:szCs w:val="21"/>
              </w:rPr>
            </w:pPr>
            <w:r>
              <w:rPr>
                <w:rFonts w:ascii="宋体" w:hAnsi="宋体" w:cs="宋体" w:hint="eastAsia"/>
                <w:color w:val="000000"/>
                <w:spacing w:val="-4"/>
                <w:kern w:val="0"/>
                <w:szCs w:val="21"/>
              </w:rPr>
              <w:t>执法区域</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1.同一执法事项实行市或者区一级执法。原则上实行区级执法，但依法只能由市级行使的执法职能以及跨区域和重大复杂违法案件的执法职能由市城市管理部门行使。</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jc w:val="center"/>
              <w:rPr>
                <w:rFonts w:ascii="宋体" w:hAnsi="宋体"/>
                <w:spacing w:val="-4"/>
                <w:kern w:val="0"/>
                <w:szCs w:val="21"/>
              </w:rPr>
            </w:pPr>
            <w:r>
              <w:rPr>
                <w:rFonts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FF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w:t>
            </w:r>
            <w:proofErr w:type="gramStart"/>
            <w:r>
              <w:rPr>
                <w:rFonts w:asciiTheme="minorEastAsia" w:eastAsiaTheme="minorEastAsia" w:hAnsiTheme="minorEastAsia" w:cstheme="minorEastAsia" w:hint="eastAsia"/>
                <w:spacing w:val="-4"/>
                <w:kern w:val="0"/>
                <w:szCs w:val="21"/>
              </w:rPr>
              <w:t>辖</w:t>
            </w:r>
            <w:proofErr w:type="gramEnd"/>
            <w:r>
              <w:rPr>
                <w:rFonts w:asciiTheme="minorEastAsia" w:eastAsiaTheme="minorEastAsia" w:hAnsiTheme="minorEastAsia" w:cstheme="minorEastAsia" w:hint="eastAsia"/>
                <w:spacing w:val="-4"/>
                <w:kern w:val="0"/>
                <w:szCs w:val="21"/>
              </w:rPr>
              <w:t>市区城市管理部门统一行使本行政区域内的城市管理综合执法职能。</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jc w:val="center"/>
              <w:rPr>
                <w:rFonts w:ascii="宋体" w:hAnsi="宋体"/>
                <w:spacing w:val="-4"/>
                <w:kern w:val="0"/>
                <w:szCs w:val="21"/>
              </w:rPr>
            </w:pPr>
            <w:r>
              <w:rPr>
                <w:rFonts w:hint="eastAsia"/>
                <w:spacing w:val="-4"/>
                <w:kern w:val="0"/>
                <w:szCs w:val="21"/>
              </w:rPr>
              <w:t>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FF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w:t>
            </w:r>
            <w:proofErr w:type="gramStart"/>
            <w:r>
              <w:rPr>
                <w:rFonts w:asciiTheme="minorEastAsia" w:eastAsiaTheme="minorEastAsia" w:hAnsiTheme="minorEastAsia" w:cstheme="minorEastAsia" w:hint="eastAsia"/>
                <w:spacing w:val="-4"/>
                <w:kern w:val="0"/>
                <w:szCs w:val="21"/>
              </w:rPr>
              <w:t>辖</w:t>
            </w:r>
            <w:proofErr w:type="gramEnd"/>
            <w:r>
              <w:rPr>
                <w:rFonts w:asciiTheme="minorEastAsia" w:eastAsiaTheme="minorEastAsia" w:hAnsiTheme="minorEastAsia" w:cstheme="minorEastAsia" w:hint="eastAsia"/>
                <w:spacing w:val="-4"/>
                <w:kern w:val="0"/>
                <w:szCs w:val="21"/>
              </w:rPr>
              <w:t>市区城市管理行政主管部门可以根据需要向街道、乡（镇）以及开发区（园区）等派驻执法机构。</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jc w:val="center"/>
              <w:rPr>
                <w:rFonts w:ascii="宋体" w:hAnsi="宋体"/>
                <w:spacing w:val="-4"/>
                <w:kern w:val="0"/>
                <w:szCs w:val="21"/>
              </w:rPr>
            </w:pPr>
            <w:r>
              <w:rPr>
                <w:rFonts w:hint="eastAsia"/>
                <w:spacing w:val="-4"/>
                <w:kern w:val="0"/>
                <w:szCs w:val="21"/>
              </w:rPr>
              <w:t>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执法职能</w:t>
            </w:r>
          </w:p>
        </w:tc>
        <w:tc>
          <w:tcPr>
            <w:tcW w:w="9928" w:type="dxa"/>
            <w:tcBorders>
              <w:top w:val="single" w:sz="4" w:space="0" w:color="auto"/>
              <w:left w:val="single" w:sz="4" w:space="0" w:color="auto"/>
              <w:bottom w:val="nil"/>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color w:val="FF0000"/>
                <w:spacing w:val="-4"/>
                <w:kern w:val="0"/>
                <w:szCs w:val="21"/>
              </w:rPr>
            </w:pPr>
            <w:r>
              <w:rPr>
                <w:rFonts w:asciiTheme="minorEastAsia" w:eastAsiaTheme="minorEastAsia" w:hAnsiTheme="minorEastAsia" w:cstheme="minorEastAsia" w:hint="eastAsia"/>
                <w:spacing w:val="-4"/>
                <w:kern w:val="0"/>
                <w:szCs w:val="21"/>
              </w:rPr>
              <w:t>1.行使住房城乡建设领域法律法规和规章规定的行政处罚权，具体执法范围和内容由同级人民政府确定。</w:t>
            </w:r>
          </w:p>
        </w:tc>
        <w:tc>
          <w:tcPr>
            <w:tcW w:w="1872" w:type="dxa"/>
            <w:tcBorders>
              <w:top w:val="single" w:sz="4" w:space="0" w:color="auto"/>
              <w:left w:val="single" w:sz="4" w:space="0" w:color="auto"/>
              <w:bottom w:val="nil"/>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nil"/>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2.行使城市管理综合执法的其他行政处罚权，具体执法范围和内容由同级人民政府确定。</w:t>
            </w:r>
          </w:p>
        </w:tc>
        <w:tc>
          <w:tcPr>
            <w:tcW w:w="1872" w:type="dxa"/>
            <w:tcBorders>
              <w:top w:val="single" w:sz="4" w:space="0" w:color="auto"/>
              <w:left w:val="single" w:sz="4" w:space="0" w:color="auto"/>
              <w:bottom w:val="nil"/>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color w:val="FF0000"/>
                <w:spacing w:val="-4"/>
                <w:kern w:val="0"/>
                <w:szCs w:val="21"/>
              </w:rPr>
            </w:pPr>
            <w:r>
              <w:rPr>
                <w:rFonts w:asciiTheme="minorEastAsia" w:eastAsiaTheme="minorEastAsia" w:hAnsiTheme="minorEastAsia" w:cstheme="minorEastAsia" w:hint="eastAsia"/>
                <w:spacing w:val="-4"/>
                <w:kern w:val="0"/>
                <w:szCs w:val="21"/>
              </w:rPr>
              <w:t>3.行使与上述行政处罚权相关的行政强制权。</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hint="eastAsia"/>
                <w:spacing w:val="-4"/>
                <w:kern w:val="0"/>
                <w:szCs w:val="21"/>
              </w:rPr>
              <w:t>市局，辖市、区局</w:t>
            </w:r>
          </w:p>
        </w:tc>
      </w:tr>
      <w:tr w:rsidR="008D40E8">
        <w:trPr>
          <w:trHeight w:val="454"/>
        </w:trPr>
        <w:tc>
          <w:tcPr>
            <w:tcW w:w="1115"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人员配备</w:t>
            </w: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配备比例</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城市管理执法人员配备比例不低于城市常住人口的万分之五。</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人员性质</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行政执法人员应当为国家公务员或者参照国家公务员制度管理的人员。</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hint="eastAsia"/>
                <w:spacing w:val="-4"/>
                <w:kern w:val="0"/>
                <w:szCs w:val="21"/>
              </w:rPr>
              <w:t>市局，辖市、区局</w:t>
            </w:r>
          </w:p>
        </w:tc>
      </w:tr>
      <w:tr w:rsidR="008D40E8">
        <w:trPr>
          <w:trHeight w:val="454"/>
        </w:trPr>
        <w:tc>
          <w:tcPr>
            <w:tcW w:w="1115" w:type="dxa"/>
            <w:vMerge w:val="restart"/>
            <w:tcBorders>
              <w:top w:val="single" w:sz="4" w:space="0" w:color="auto"/>
              <w:left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执法协作</w:t>
            </w:r>
          </w:p>
        </w:tc>
        <w:tc>
          <w:tcPr>
            <w:tcW w:w="1400" w:type="dxa"/>
            <w:vMerge w:val="restart"/>
            <w:tcBorders>
              <w:top w:val="single" w:sz="4" w:space="0" w:color="auto"/>
              <w:left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协作机制</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1.成立由市、辖市区行政首长牵头负责的城市管理委员会，定期研究城市管理和执法工作。</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spacing w:val="-4"/>
                <w:kern w:val="0"/>
                <w:szCs w:val="21"/>
              </w:rPr>
            </w:pPr>
            <w:r>
              <w:rPr>
                <w:rFonts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ind w:leftChars="-20" w:left="-42" w:rightChars="-20" w:right="-42"/>
              <w:jc w:val="center"/>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ind w:leftChars="-20" w:left="-42" w:rightChars="-20" w:right="-42"/>
              <w:jc w:val="center"/>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2.建立执法信息共享制度。城市管理部门和其他相关部门应当建立信息互通、资源共享、协调联动的工作机制，加强信息沟通。</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spacing w:val="-4"/>
                <w:kern w:val="0"/>
                <w:szCs w:val="21"/>
              </w:rPr>
            </w:pPr>
            <w:r>
              <w:rPr>
                <w:rFonts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3.建立重大事件信息报送制度。发生重大事件应对及时向同级人民政府和上级主管部门报告，并与宣传、公安等部门建立联动机制，正确应对。</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spacing w:val="-4"/>
                <w:kern w:val="0"/>
                <w:szCs w:val="21"/>
              </w:rPr>
            </w:pPr>
            <w:r>
              <w:rPr>
                <w:rFonts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执法协助</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在城市管理执法过程中，需要相关职能部门提供文书、资料、信息、检测检验结论和行政认定意见等，向相关部门提出请求。</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执法移送</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1.建立违法案件移送制度。违法案件属于其他职能部门管辖的，及时移送其他职能部门处理。</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hint="eastAsia"/>
                <w:spacing w:val="-4"/>
                <w:kern w:val="0"/>
                <w:szCs w:val="21"/>
              </w:rPr>
              <w:t>市局，辖市、区局</w:t>
            </w:r>
          </w:p>
        </w:tc>
      </w:tr>
      <w:tr w:rsidR="008D40E8">
        <w:trPr>
          <w:trHeight w:val="454"/>
        </w:trPr>
        <w:tc>
          <w:tcPr>
            <w:tcW w:w="1115" w:type="dxa"/>
            <w:vMerge/>
            <w:tcBorders>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2.建立“两法衔接”制度。对涉嫌刑事犯罪的案件，应当及时移送司法机关。</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hint="eastAsia"/>
                <w:spacing w:val="-4"/>
                <w:kern w:val="0"/>
                <w:szCs w:val="21"/>
              </w:rPr>
              <w:t>市局，辖市、区局</w:t>
            </w:r>
          </w:p>
        </w:tc>
      </w:tr>
      <w:tr w:rsidR="008D40E8">
        <w:trPr>
          <w:trHeight w:val="454"/>
        </w:trPr>
        <w:tc>
          <w:tcPr>
            <w:tcW w:w="1115"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组织结构</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color w:val="000000"/>
                <w:spacing w:val="-4"/>
                <w:kern w:val="0"/>
                <w:szCs w:val="21"/>
              </w:rPr>
            </w:pPr>
            <w:r>
              <w:rPr>
                <w:rFonts w:ascii="宋体" w:hAnsi="宋体" w:cs="宋体" w:hint="eastAsia"/>
                <w:color w:val="000000"/>
                <w:spacing w:val="-4"/>
                <w:kern w:val="0"/>
                <w:szCs w:val="21"/>
              </w:rPr>
              <w:t>组织层级</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color w:val="000000"/>
                <w:spacing w:val="-4"/>
                <w:kern w:val="0"/>
                <w:szCs w:val="21"/>
              </w:rPr>
            </w:pPr>
            <w:r>
              <w:rPr>
                <w:rFonts w:asciiTheme="minorEastAsia" w:eastAsiaTheme="minorEastAsia" w:hAnsiTheme="minorEastAsia" w:cstheme="minorEastAsia" w:hint="eastAsia"/>
                <w:color w:val="000000"/>
                <w:spacing w:val="-4"/>
                <w:kern w:val="0"/>
                <w:szCs w:val="21"/>
              </w:rPr>
              <w:t>1.城市管理行政执法机构应当依法设立，承担城市管理具体执法工作 。</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color w:val="000000"/>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color w:val="000000"/>
                <w:spacing w:val="-4"/>
                <w:kern w:val="0"/>
                <w:szCs w:val="21"/>
              </w:rPr>
            </w:pPr>
            <w:r>
              <w:rPr>
                <w:rFonts w:asciiTheme="minorEastAsia" w:eastAsiaTheme="minorEastAsia" w:hAnsiTheme="minorEastAsia" w:cstheme="minorEastAsia" w:hint="eastAsia"/>
                <w:color w:val="000000"/>
                <w:spacing w:val="-4"/>
                <w:kern w:val="0"/>
                <w:szCs w:val="21"/>
              </w:rPr>
              <w:t>2.城市管理行政执法机构应当接受城市管理部门的领导和监督。</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color w:val="000000"/>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color w:val="000000"/>
                <w:spacing w:val="-4"/>
                <w:kern w:val="0"/>
                <w:szCs w:val="21"/>
              </w:rPr>
            </w:pPr>
            <w:r>
              <w:rPr>
                <w:rFonts w:asciiTheme="minorEastAsia" w:eastAsiaTheme="minorEastAsia" w:hAnsiTheme="minorEastAsia" w:cstheme="minorEastAsia" w:hint="eastAsia"/>
                <w:color w:val="000000"/>
                <w:spacing w:val="-4"/>
                <w:kern w:val="0"/>
                <w:szCs w:val="21"/>
              </w:rPr>
              <w:t>3.城市管理行政执法机构应当接受上级行政执法机构的业务指导。</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color w:val="000000"/>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color w:val="000000"/>
                <w:spacing w:val="-4"/>
                <w:kern w:val="0"/>
                <w:szCs w:val="21"/>
              </w:rPr>
            </w:pPr>
            <w:r>
              <w:rPr>
                <w:rFonts w:asciiTheme="minorEastAsia" w:eastAsiaTheme="minorEastAsia" w:hAnsiTheme="minorEastAsia" w:cstheme="minorEastAsia" w:hint="eastAsia"/>
                <w:color w:val="000000"/>
                <w:spacing w:val="-4"/>
                <w:kern w:val="0"/>
                <w:szCs w:val="21"/>
              </w:rPr>
              <w:t>4.城市管理部门派驻乡镇、街道等的执法机构可以实行双重领导。</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color w:val="000000"/>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color w:val="000000"/>
                <w:spacing w:val="-4"/>
                <w:kern w:val="0"/>
                <w:szCs w:val="21"/>
              </w:rPr>
            </w:pPr>
            <w:r>
              <w:rPr>
                <w:rFonts w:ascii="宋体" w:hAnsi="宋体" w:cs="宋体" w:hint="eastAsia"/>
                <w:color w:val="000000"/>
                <w:spacing w:val="-4"/>
                <w:kern w:val="0"/>
                <w:szCs w:val="21"/>
              </w:rPr>
              <w:t>机构设置</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color w:val="000000"/>
                <w:spacing w:val="-4"/>
                <w:kern w:val="0"/>
                <w:szCs w:val="21"/>
              </w:rPr>
            </w:pPr>
            <w:r>
              <w:rPr>
                <w:rFonts w:asciiTheme="minorEastAsia" w:eastAsiaTheme="minorEastAsia" w:hAnsiTheme="minorEastAsia" w:cstheme="minorEastAsia" w:hint="eastAsia"/>
                <w:color w:val="000000"/>
                <w:spacing w:val="-4"/>
                <w:kern w:val="0"/>
                <w:szCs w:val="21"/>
              </w:rPr>
              <w:t>1.城市管理行政执法机构组织健全，建制规范，名称统一。市设支队，辖市区设大队，派驻的乡镇（街道）设中队。市、辖市区可以根据需要，在支队、大队内设置若干专业执法机构。</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color w:val="000000"/>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color w:val="FF0000"/>
                <w:spacing w:val="-4"/>
                <w:kern w:val="0"/>
                <w:szCs w:val="21"/>
              </w:rPr>
            </w:pPr>
            <w:r>
              <w:rPr>
                <w:rFonts w:asciiTheme="minorEastAsia" w:eastAsiaTheme="minorEastAsia" w:hAnsiTheme="minorEastAsia" w:cstheme="minorEastAsia" w:hint="eastAsia"/>
                <w:spacing w:val="-4"/>
                <w:kern w:val="0"/>
                <w:szCs w:val="21"/>
              </w:rPr>
              <w:t>2.市、辖市区城市管理行政执法机构应当设置综合、法制（案件处理）、督察、快速反应等内设机构；执法中队的法制（案件处理）、督察应当有专人负责。</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3.基层行政执法中队的设立、撤销或变更，由本级城市管理部门会同编制部门确定。</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4.基层行政执法中队的称谓，统一冠名为“常州市（）区城市管理行政执法大队（）中队”或“溧阳市城市管理行政执法大队（）中队”。</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辖市、区局</w:t>
            </w:r>
          </w:p>
        </w:tc>
      </w:tr>
      <w:tr w:rsidR="008D40E8">
        <w:trPr>
          <w:trHeight w:val="454"/>
        </w:trPr>
        <w:tc>
          <w:tcPr>
            <w:tcW w:w="1115" w:type="dxa"/>
            <w:vMerge w:val="restart"/>
            <w:tcBorders>
              <w:top w:val="single" w:sz="4" w:space="0" w:color="auto"/>
              <w:left w:val="single" w:sz="4" w:space="0" w:color="auto"/>
              <w:right w:val="single" w:sz="4" w:space="0" w:color="auto"/>
            </w:tcBorders>
            <w:vAlign w:val="center"/>
          </w:tcPr>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人员管理</w:t>
            </w: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人员管理</w:t>
            </w:r>
          </w:p>
        </w:tc>
        <w:tc>
          <w:tcPr>
            <w:tcW w:w="1400" w:type="dxa"/>
            <w:vMerge w:val="restart"/>
            <w:tcBorders>
              <w:top w:val="single" w:sz="4" w:space="0" w:color="auto"/>
              <w:left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lastRenderedPageBreak/>
              <w:t>执法人员</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1.行政执法人员应当按（参）照国家公务员标准招录，公开招考，择优录取。</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2.建立行政执法人员培训制度。结合当地实际情况和不同岗位特点，每年至少开展1次业务培训，年度培训时间累计不少于15天，</w:t>
            </w:r>
            <w:r>
              <w:rPr>
                <w:rFonts w:asciiTheme="minorEastAsia" w:eastAsiaTheme="minorEastAsia" w:hAnsiTheme="minorEastAsia" w:cstheme="minorEastAsia" w:hint="eastAsia"/>
              </w:rPr>
              <w:t>不断提高行政执法人员的法律素质和业务素质。</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rPr>
              <w:t>3.</w:t>
            </w:r>
            <w:r>
              <w:rPr>
                <w:rFonts w:asciiTheme="minorEastAsia" w:eastAsiaTheme="minorEastAsia" w:hAnsiTheme="minorEastAsia" w:cstheme="minorEastAsia" w:hint="eastAsia"/>
                <w:spacing w:val="-4"/>
                <w:kern w:val="0"/>
                <w:szCs w:val="21"/>
              </w:rPr>
              <w:t>完善基层行政执法人员工资政策，建立符合城管执法工作特点的工资和岗位津贴制度。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tcPr>
          <w:p w:rsidR="008D40E8" w:rsidRDefault="0062585F">
            <w:pPr>
              <w:widowControl/>
              <w:spacing w:line="260" w:lineRule="exact"/>
              <w:ind w:leftChars="-20" w:left="-42" w:rightChars="-20" w:right="-42"/>
              <w:rPr>
                <w:rFonts w:asciiTheme="minorEastAsia" w:eastAsiaTheme="minorEastAsia" w:hAnsiTheme="minorEastAsia" w:cstheme="minorEastAsia"/>
              </w:rPr>
            </w:pPr>
            <w:r>
              <w:rPr>
                <w:rFonts w:asciiTheme="minorEastAsia" w:eastAsiaTheme="minorEastAsia" w:hAnsiTheme="minorEastAsia" w:cstheme="minorEastAsia" w:hint="eastAsia"/>
              </w:rPr>
              <w:t>4.实行行政执法人员资格管理制度，严格持证上岗。行政执法人员经培训考核合格后，方可申领行政执法证。禁止无行政执法证、持过期执法证的人员从事执法工作。</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pPr>
            <w:r>
              <w:rPr>
                <w:rFonts w:ascii="宋体" w:hAnsi="宋体" w:hint="eastAsia"/>
                <w:spacing w:val="-4"/>
                <w:kern w:val="0"/>
                <w:szCs w:val="21"/>
              </w:rPr>
              <w:t>支队，辖市、区大队</w:t>
            </w:r>
          </w:p>
        </w:tc>
      </w:tr>
      <w:tr w:rsidR="008D40E8">
        <w:trPr>
          <w:trHeight w:val="384"/>
        </w:trPr>
        <w:tc>
          <w:tcPr>
            <w:tcW w:w="1115" w:type="dxa"/>
            <w:vMerge/>
            <w:tcBorders>
              <w:left w:val="single" w:sz="4" w:space="0" w:color="auto"/>
              <w:right w:val="single" w:sz="4" w:space="0" w:color="auto"/>
            </w:tcBorders>
            <w:vAlign w:val="center"/>
          </w:tcPr>
          <w:p w:rsidR="008D40E8" w:rsidRDefault="008D40E8">
            <w:pPr>
              <w:spacing w:line="260" w:lineRule="exact"/>
              <w:ind w:leftChars="-20" w:left="-42" w:rightChars="-20" w:right="-42"/>
              <w:jc w:val="center"/>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spacing w:line="260" w:lineRule="exact"/>
              <w:ind w:leftChars="-20" w:left="-42" w:rightChars="-20" w:right="-42"/>
              <w:jc w:val="center"/>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5.建立行政执法人员正常的职务晋升机制。</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36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6.建立行政执法人员执法档案管理制度。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380"/>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right w:val="single" w:sz="4" w:space="0" w:color="auto"/>
            </w:tcBorders>
            <w:vAlign w:val="center"/>
          </w:tcPr>
          <w:p w:rsidR="008D40E8" w:rsidRDefault="008D40E8">
            <w:pPr>
              <w:widowControl/>
              <w:spacing w:line="260" w:lineRule="exact"/>
              <w:jc w:val="center"/>
              <w:rPr>
                <w:rFonts w:ascii="宋体" w:hAnsi="宋体" w:cs="宋体"/>
                <w:spacing w:val="-4"/>
                <w:kern w:val="0"/>
                <w:szCs w:val="21"/>
              </w:rPr>
            </w:pPr>
          </w:p>
          <w:p w:rsidR="008D40E8" w:rsidRDefault="0062585F">
            <w:pPr>
              <w:widowControl/>
              <w:spacing w:line="260" w:lineRule="exact"/>
              <w:jc w:val="center"/>
              <w:rPr>
                <w:rFonts w:ascii="宋体" w:hAnsi="宋体" w:cs="宋体"/>
                <w:spacing w:val="-4"/>
                <w:kern w:val="0"/>
                <w:szCs w:val="21"/>
              </w:rPr>
            </w:pPr>
            <w:r>
              <w:rPr>
                <w:rFonts w:ascii="宋体" w:hAnsi="宋体" w:cs="宋体" w:hint="eastAsia"/>
                <w:spacing w:val="-4"/>
                <w:kern w:val="0"/>
                <w:szCs w:val="21"/>
              </w:rPr>
              <w:t>协管人员</w:t>
            </w:r>
          </w:p>
          <w:p w:rsidR="008D40E8" w:rsidRDefault="008D40E8">
            <w:pPr>
              <w:widowControl/>
              <w:spacing w:line="260" w:lineRule="exact"/>
              <w:jc w:val="center"/>
              <w:rPr>
                <w:rFonts w:ascii="宋体" w:hAnsi="宋体" w:cs="宋体"/>
                <w:spacing w:val="-4"/>
                <w:kern w:val="0"/>
                <w:szCs w:val="21"/>
              </w:rPr>
            </w:pPr>
          </w:p>
          <w:p w:rsidR="008D40E8" w:rsidRDefault="008D40E8">
            <w:pPr>
              <w:widowControl/>
              <w:spacing w:line="260" w:lineRule="exact"/>
              <w:jc w:val="center"/>
              <w:rPr>
                <w:rFonts w:ascii="宋体" w:hAnsi="宋体" w:cs="宋体"/>
                <w:spacing w:val="-4"/>
                <w:kern w:val="0"/>
                <w:szCs w:val="21"/>
              </w:rPr>
            </w:pPr>
          </w:p>
          <w:p w:rsidR="008D40E8" w:rsidRDefault="008D40E8">
            <w:pPr>
              <w:widowControl/>
              <w:spacing w:line="260" w:lineRule="exact"/>
              <w:jc w:val="center"/>
              <w:rPr>
                <w:rFonts w:ascii="宋体" w:hAnsi="宋体" w:cs="宋体"/>
                <w:spacing w:val="-4"/>
                <w:kern w:val="0"/>
                <w:szCs w:val="21"/>
              </w:rPr>
            </w:pPr>
          </w:p>
          <w:p w:rsidR="008D40E8" w:rsidRDefault="008D40E8">
            <w:pPr>
              <w:widowControl/>
              <w:spacing w:line="260" w:lineRule="exact"/>
              <w:jc w:val="center"/>
              <w:rPr>
                <w:rFonts w:ascii="宋体" w:hAnsi="宋体" w:cs="宋体"/>
                <w:spacing w:val="-4"/>
                <w:kern w:val="0"/>
                <w:szCs w:val="21"/>
              </w:rPr>
            </w:pPr>
          </w:p>
          <w:p w:rsidR="008D40E8" w:rsidRDefault="008D40E8">
            <w:pPr>
              <w:widowControl/>
              <w:spacing w:line="260" w:lineRule="exact"/>
              <w:jc w:val="center"/>
              <w:rPr>
                <w:rFonts w:ascii="宋体" w:hAnsi="宋体" w:cs="宋体"/>
                <w:spacing w:val="-4"/>
                <w:kern w:val="0"/>
                <w:szCs w:val="21"/>
              </w:rPr>
            </w:pPr>
          </w:p>
          <w:p w:rsidR="008D40E8" w:rsidRDefault="008D40E8">
            <w:pPr>
              <w:widowControl/>
              <w:spacing w:line="260" w:lineRule="exact"/>
              <w:jc w:val="center"/>
              <w:rPr>
                <w:rFonts w:ascii="宋体" w:hAnsi="宋体" w:cs="宋体"/>
                <w:spacing w:val="-4"/>
                <w:kern w:val="0"/>
                <w:szCs w:val="21"/>
              </w:rPr>
            </w:pPr>
          </w:p>
          <w:p w:rsidR="008D40E8" w:rsidRDefault="008D40E8">
            <w:pPr>
              <w:widowControl/>
              <w:spacing w:line="260" w:lineRule="exact"/>
              <w:jc w:val="center"/>
              <w:rPr>
                <w:rFonts w:ascii="宋体" w:hAnsi="宋体" w:cs="宋体"/>
                <w:spacing w:val="-4"/>
                <w:kern w:val="0"/>
                <w:szCs w:val="21"/>
              </w:rPr>
            </w:pPr>
          </w:p>
          <w:p w:rsidR="008D40E8" w:rsidRDefault="0062585F">
            <w:pPr>
              <w:widowControl/>
              <w:spacing w:line="260" w:lineRule="exact"/>
              <w:jc w:val="center"/>
              <w:rPr>
                <w:rFonts w:ascii="宋体" w:hAnsi="宋体" w:cs="宋体"/>
                <w:spacing w:val="-4"/>
                <w:kern w:val="0"/>
                <w:szCs w:val="21"/>
              </w:rPr>
            </w:pPr>
            <w:r>
              <w:rPr>
                <w:rFonts w:ascii="宋体" w:hAnsi="宋体" w:cs="宋体" w:hint="eastAsia"/>
                <w:spacing w:val="-4"/>
                <w:kern w:val="0"/>
                <w:szCs w:val="21"/>
              </w:rPr>
              <w:t>协管人员</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lastRenderedPageBreak/>
              <w:t>1.制定协管人员行为规范和管理规定。</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36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 xml:space="preserve">2.协管人员数量应当随城市管理行政执法体制改革逐步减少。 </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3.实行协管人员聘用制度。按照公开、平等、竞争、择优的原则，通过公布招</w:t>
            </w:r>
            <w:proofErr w:type="gramStart"/>
            <w:r>
              <w:rPr>
                <w:rFonts w:asciiTheme="minorEastAsia" w:eastAsiaTheme="minorEastAsia" w:hAnsiTheme="minorEastAsia" w:cstheme="minorEastAsia" w:hint="eastAsia"/>
                <w:spacing w:val="-4"/>
                <w:kern w:val="0"/>
                <w:szCs w:val="21"/>
              </w:rPr>
              <w:t>骋</w:t>
            </w:r>
            <w:proofErr w:type="gramEnd"/>
            <w:r>
              <w:rPr>
                <w:rFonts w:asciiTheme="minorEastAsia" w:eastAsiaTheme="minorEastAsia" w:hAnsiTheme="minorEastAsia" w:cstheme="minorEastAsia" w:hint="eastAsia"/>
                <w:spacing w:val="-4"/>
                <w:kern w:val="0"/>
                <w:szCs w:val="21"/>
              </w:rPr>
              <w:t>条件，公开报名、考试、体检、审查、聘用等程序进行，择优聘用，并签订劳动合同，接受社会监督。对解除劳动合同的协管人员，应当发布解除劳动关系的公告或声明。</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辖市、区大队</w:t>
            </w:r>
          </w:p>
        </w:tc>
      </w:tr>
      <w:tr w:rsidR="008D40E8">
        <w:trPr>
          <w:trHeight w:val="3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4.建立协管人员考核及奖惩制度。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spacing w:val="-4"/>
                <w:kern w:val="0"/>
                <w:szCs w:val="21"/>
              </w:rPr>
            </w:pPr>
            <w:r>
              <w:rPr>
                <w:rFonts w:ascii="宋体" w:hAnsi="宋体" w:hint="eastAsia"/>
                <w:spacing w:val="-4"/>
                <w:kern w:val="0"/>
                <w:szCs w:val="21"/>
              </w:rPr>
              <w:t>辖市、区大队</w:t>
            </w:r>
          </w:p>
        </w:tc>
      </w:tr>
      <w:tr w:rsidR="008D40E8">
        <w:trPr>
          <w:trHeight w:val="420"/>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5.协管人员的上岗培训时间不少于15个工作日。年度培训时间至少5天，受训率必须达到100%。</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6.协管人员主要承担行政执法辅助性事务，不得从事行政许可、行政强制、行政处罚等行政执法工作，也不得单独从事涉法的调查取证工作。协管人员执法辅助性事务所产生的法律后果，由其所在本级城市管理部门承担。按照谁聘用谁管理的原则，明确聘用主体责任。</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7.协管人员工作期间必须按照规定统一着装，持证上岗。</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辖市、区大队</w:t>
            </w:r>
          </w:p>
        </w:tc>
      </w:tr>
      <w:tr w:rsidR="008D40E8">
        <w:trPr>
          <w:trHeight w:val="454"/>
        </w:trPr>
        <w:tc>
          <w:tcPr>
            <w:tcW w:w="1115" w:type="dxa"/>
            <w:vMerge/>
            <w:tcBorders>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color w:val="C00000"/>
                <w:spacing w:val="-4"/>
                <w:kern w:val="0"/>
                <w:szCs w:val="21"/>
              </w:rPr>
            </w:pPr>
            <w:r>
              <w:rPr>
                <w:rFonts w:asciiTheme="minorEastAsia" w:eastAsiaTheme="minorEastAsia" w:hAnsiTheme="minorEastAsia" w:cstheme="minorEastAsia" w:hint="eastAsia"/>
                <w:spacing w:val="-4"/>
                <w:kern w:val="0"/>
                <w:szCs w:val="21"/>
              </w:rPr>
              <w:t>8.协管人员的工资由基本工资、工龄工资、岗位补助、绩效工资等组成，其中基本工资不得低于当地最低工资标准的1.5倍发放。各地可根据当地实际情况制定实施细则。同时用人单位应当按照法律规定为协管人员办理社会保险和住房公积金。</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辖市、区大队</w:t>
            </w:r>
          </w:p>
        </w:tc>
      </w:tr>
      <w:tr w:rsidR="008D40E8">
        <w:trPr>
          <w:trHeight w:val="414"/>
        </w:trPr>
        <w:tc>
          <w:tcPr>
            <w:tcW w:w="1115" w:type="dxa"/>
            <w:vMerge w:val="restart"/>
            <w:tcBorders>
              <w:top w:val="single" w:sz="4" w:space="0" w:color="auto"/>
              <w:left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内部管理</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规划目标</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1.队伍建设有长远规划、近期目标。</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2.年度工作有计划、有落实、有检查、有考核。</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队伍建设</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w:t>
            </w:r>
            <w:r>
              <w:rPr>
                <w:rFonts w:asciiTheme="minorEastAsia" w:eastAsiaTheme="minorEastAsia" w:hAnsiTheme="minorEastAsia" w:cstheme="minorEastAsia" w:hint="eastAsia"/>
              </w:rPr>
              <w:t xml:space="preserve"> </w:t>
            </w:r>
            <w:r>
              <w:rPr>
                <w:rFonts w:asciiTheme="minorEastAsia" w:eastAsiaTheme="minorEastAsia" w:hAnsiTheme="minorEastAsia" w:cstheme="minorEastAsia" w:hint="eastAsia"/>
                <w:spacing w:val="-4"/>
                <w:kern w:val="0"/>
                <w:szCs w:val="21"/>
              </w:rPr>
              <w:t>支队、大队应当配备政治主官，负责党建、意识形态和思想政治工作。</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2.按照有关规定，建立健全党、团、工、群组织。党、团、工、群工作制度化。各项制度健全，组织活动经常。注重发挥党员先锋模范作用。加强城管文化建设，积极开展健康有益、丰富多彩的文体活动。</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3.城市管理行政执法机构应当按照岗位职责要求和各层级的特点，开展教育培训，以政治理论、政策法规、业务知识、文化素养、技能训练等为基本内容。</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4.城市管理行政执法机构应当制定教育培训年度工作计划，落实培训经费，采取业务竞赛、委托办学、案例教学等多种形式开展教育培训，提高业务技能。教育培训考试合格率不低于90%，考试成绩与年终绩效考核挂钩，并存入人事档案。</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岗位管理</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1.行政执法人员按照职务序列进行岗位管理。</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2.建立科学合理的岗位交流、轮换制度。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3.一线执法人员的比例不得低于90%。</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val="restart"/>
            <w:tcBorders>
              <w:top w:val="single" w:sz="4" w:space="0" w:color="auto"/>
              <w:left w:val="single" w:sz="4" w:space="0" w:color="auto"/>
              <w:bottom w:val="single" w:sz="4" w:space="0" w:color="auto"/>
              <w:right w:val="single" w:sz="4" w:space="0" w:color="auto"/>
            </w:tcBorders>
            <w:vAlign w:val="center"/>
          </w:tcPr>
          <w:p w:rsidR="008D40E8" w:rsidRDefault="008D40E8">
            <w:pPr>
              <w:spacing w:line="260" w:lineRule="exact"/>
              <w:ind w:rightChars="-20" w:right="-42"/>
              <w:rPr>
                <w:rFonts w:ascii="宋体" w:hAnsi="宋体" w:cs="宋体"/>
                <w:spacing w:val="-4"/>
                <w:kern w:val="0"/>
                <w:szCs w:val="21"/>
              </w:rPr>
            </w:pPr>
          </w:p>
          <w:p w:rsidR="008D40E8" w:rsidRDefault="0062585F">
            <w:pPr>
              <w:spacing w:line="260" w:lineRule="exact"/>
              <w:ind w:rightChars="-20" w:right="-42"/>
              <w:rPr>
                <w:rFonts w:ascii="宋体" w:hAnsi="宋体" w:cs="宋体"/>
                <w:spacing w:val="-4"/>
                <w:kern w:val="0"/>
                <w:szCs w:val="21"/>
              </w:rPr>
            </w:pPr>
            <w:r>
              <w:rPr>
                <w:rFonts w:ascii="宋体" w:hAnsi="宋体" w:cs="宋体" w:hint="eastAsia"/>
                <w:spacing w:val="-4"/>
                <w:kern w:val="0"/>
                <w:szCs w:val="21"/>
              </w:rPr>
              <w:t>制度规范</w:t>
            </w:r>
          </w:p>
          <w:p w:rsidR="008D40E8" w:rsidRDefault="008D40E8">
            <w:pPr>
              <w:spacing w:line="260" w:lineRule="exact"/>
              <w:ind w:rightChars="-20" w:right="-42"/>
              <w:rPr>
                <w:rFonts w:ascii="宋体" w:hAnsi="宋体" w:cs="宋体"/>
                <w:spacing w:val="-4"/>
                <w:kern w:val="0"/>
                <w:szCs w:val="21"/>
              </w:rPr>
            </w:pPr>
          </w:p>
          <w:p w:rsidR="008D40E8" w:rsidRDefault="008D40E8">
            <w:pPr>
              <w:spacing w:line="260" w:lineRule="exact"/>
              <w:ind w:rightChars="-20" w:right="-42"/>
              <w:rPr>
                <w:rFonts w:ascii="宋体" w:hAnsi="宋体" w:cs="宋体"/>
                <w:spacing w:val="-4"/>
                <w:kern w:val="0"/>
                <w:szCs w:val="21"/>
              </w:rPr>
            </w:pPr>
          </w:p>
          <w:p w:rsidR="008D40E8" w:rsidRDefault="008D40E8">
            <w:pPr>
              <w:spacing w:line="260" w:lineRule="exact"/>
              <w:ind w:rightChars="-20" w:right="-42"/>
              <w:rPr>
                <w:rFonts w:ascii="宋体" w:hAnsi="宋体" w:cs="宋体"/>
                <w:spacing w:val="-4"/>
                <w:kern w:val="0"/>
                <w:szCs w:val="21"/>
              </w:rPr>
            </w:pPr>
          </w:p>
          <w:p w:rsidR="008D40E8" w:rsidRDefault="008D40E8">
            <w:pPr>
              <w:spacing w:line="260" w:lineRule="exact"/>
              <w:ind w:rightChars="-20" w:right="-42"/>
              <w:rPr>
                <w:rFonts w:ascii="宋体" w:hAnsi="宋体" w:cs="宋体"/>
                <w:spacing w:val="-4"/>
                <w:kern w:val="0"/>
                <w:szCs w:val="21"/>
              </w:rPr>
            </w:pPr>
          </w:p>
          <w:p w:rsidR="008D40E8" w:rsidRDefault="008D40E8">
            <w:pPr>
              <w:spacing w:line="260" w:lineRule="exact"/>
              <w:ind w:rightChars="-20" w:right="-42"/>
              <w:rPr>
                <w:rFonts w:ascii="宋体" w:hAnsi="宋体" w:cs="宋体"/>
                <w:spacing w:val="-4"/>
                <w:kern w:val="0"/>
                <w:szCs w:val="21"/>
              </w:rPr>
            </w:pPr>
          </w:p>
          <w:p w:rsidR="008D40E8" w:rsidRDefault="008D40E8">
            <w:pPr>
              <w:spacing w:line="260" w:lineRule="exact"/>
              <w:ind w:rightChars="-20" w:right="-42"/>
              <w:rPr>
                <w:rFonts w:ascii="宋体" w:hAnsi="宋体" w:cs="宋体"/>
                <w:spacing w:val="-4"/>
                <w:kern w:val="0"/>
                <w:szCs w:val="21"/>
              </w:rPr>
            </w:pPr>
          </w:p>
          <w:p w:rsidR="008D40E8" w:rsidRDefault="008D40E8">
            <w:pPr>
              <w:spacing w:line="260" w:lineRule="exact"/>
              <w:ind w:rightChars="-20" w:right="-42"/>
              <w:rPr>
                <w:rFonts w:ascii="宋体" w:hAnsi="宋体" w:cs="宋体"/>
                <w:spacing w:val="-4"/>
                <w:kern w:val="0"/>
                <w:szCs w:val="21"/>
              </w:rPr>
            </w:pPr>
          </w:p>
          <w:p w:rsidR="008D40E8" w:rsidRDefault="008D40E8">
            <w:pPr>
              <w:spacing w:line="260" w:lineRule="exact"/>
              <w:ind w:rightChars="-20" w:right="-42"/>
              <w:rPr>
                <w:rFonts w:ascii="宋体" w:hAnsi="宋体" w:cs="宋体"/>
                <w:spacing w:val="-4"/>
                <w:kern w:val="0"/>
                <w:szCs w:val="21"/>
              </w:rPr>
            </w:pPr>
          </w:p>
          <w:p w:rsidR="008D40E8" w:rsidRDefault="008D40E8">
            <w:pPr>
              <w:spacing w:line="260" w:lineRule="exact"/>
              <w:ind w:rightChars="-20" w:right="-42"/>
              <w:rPr>
                <w:rFonts w:ascii="宋体" w:hAnsi="宋体" w:cs="宋体"/>
                <w:spacing w:val="-4"/>
                <w:kern w:val="0"/>
                <w:szCs w:val="21"/>
              </w:rPr>
            </w:pPr>
          </w:p>
          <w:p w:rsidR="008D40E8" w:rsidRDefault="008D40E8">
            <w:pPr>
              <w:spacing w:line="260" w:lineRule="exact"/>
              <w:ind w:rightChars="-20" w:right="-42"/>
              <w:rPr>
                <w:rFonts w:ascii="宋体" w:hAnsi="宋体" w:cs="宋体"/>
                <w:spacing w:val="-4"/>
                <w:kern w:val="0"/>
                <w:szCs w:val="21"/>
              </w:rPr>
            </w:pPr>
          </w:p>
          <w:p w:rsidR="008D40E8" w:rsidRDefault="008D40E8">
            <w:pPr>
              <w:spacing w:line="260" w:lineRule="exact"/>
              <w:ind w:rightChars="-20" w:right="-42"/>
              <w:rPr>
                <w:rFonts w:ascii="宋体" w:hAnsi="宋体" w:cs="宋体"/>
                <w:spacing w:val="-4"/>
                <w:kern w:val="0"/>
                <w:szCs w:val="21"/>
              </w:rPr>
            </w:pPr>
          </w:p>
          <w:p w:rsidR="008D40E8" w:rsidRDefault="0062585F">
            <w:pPr>
              <w:spacing w:line="260" w:lineRule="exact"/>
              <w:ind w:rightChars="-20" w:right="-42"/>
              <w:rPr>
                <w:rFonts w:ascii="宋体" w:hAnsi="宋体" w:cs="宋体"/>
                <w:spacing w:val="-4"/>
                <w:kern w:val="0"/>
                <w:szCs w:val="21"/>
              </w:rPr>
            </w:pPr>
            <w:r>
              <w:rPr>
                <w:rFonts w:ascii="宋体" w:hAnsi="宋体" w:cs="宋体" w:hint="eastAsia"/>
                <w:spacing w:val="-4"/>
                <w:kern w:val="0"/>
                <w:szCs w:val="21"/>
              </w:rPr>
              <w:t>制度规范</w:t>
            </w: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lastRenderedPageBreak/>
              <w:t>三项制度</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建立健全执法公示制度、执法全过程记录制度和重大执法决定法制审核制度。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color w:val="000000"/>
                <w:spacing w:val="-4"/>
                <w:kern w:val="0"/>
                <w:sz w:val="24"/>
              </w:rPr>
            </w:pPr>
            <w:r>
              <w:rPr>
                <w:rFonts w:ascii="宋体" w:hAnsi="宋体" w:cs="宋体" w:hint="eastAsia"/>
                <w:color w:val="000000"/>
                <w:spacing w:val="-4"/>
                <w:kern w:val="0"/>
                <w:szCs w:val="21"/>
              </w:rPr>
              <w:t>行为规范</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color w:val="000000"/>
                <w:spacing w:val="-4"/>
                <w:kern w:val="0"/>
                <w:szCs w:val="21"/>
              </w:rPr>
            </w:pPr>
            <w:r>
              <w:rPr>
                <w:rFonts w:asciiTheme="minorEastAsia" w:eastAsiaTheme="minorEastAsia" w:hAnsiTheme="minorEastAsia" w:cstheme="minorEastAsia" w:hint="eastAsia"/>
                <w:bCs/>
                <w:color w:val="000000"/>
                <w:spacing w:val="-4"/>
                <w:kern w:val="0"/>
                <w:szCs w:val="21"/>
              </w:rPr>
              <w:t>建立覆盖执法过程、适应执法内容的窗口执法、执法检查、调查取证、行政处罚、行政强制、文书制作、执法装备、仪容仪表、巡查执勤等执法行为的规范</w:t>
            </w:r>
            <w:r>
              <w:rPr>
                <w:rFonts w:asciiTheme="minorEastAsia" w:eastAsiaTheme="minorEastAsia" w:hAnsiTheme="minorEastAsia" w:cstheme="minorEastAsia" w:hint="eastAsia"/>
                <w:color w:val="000000"/>
                <w:spacing w:val="-4"/>
                <w:kern w:val="0"/>
                <w:szCs w:val="21"/>
              </w:rPr>
              <w:t>。</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bCs/>
                <w:color w:val="000000"/>
                <w:spacing w:val="-4"/>
                <w:kern w:val="0"/>
                <w:szCs w:val="21"/>
              </w:rPr>
            </w:pPr>
            <w:r>
              <w:rPr>
                <w:rFonts w:ascii="宋体" w:hAnsi="宋体" w:cs="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执法文书</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1.使用全省统一的行政执法文书示范文本。</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cs="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2.填写文书应当语言规范、精练、准确，书写清晰、工整，制作、装订规范。</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cs="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3.重大、复杂、疑难案件，应当使用说理式文书。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cs="宋体" w:hint="eastAsia"/>
                <w:spacing w:val="-4"/>
                <w:kern w:val="0"/>
                <w:szCs w:val="21"/>
              </w:rPr>
              <w:t>市局，辖市、区局</w:t>
            </w:r>
          </w:p>
        </w:tc>
      </w:tr>
      <w:tr w:rsidR="008D40E8">
        <w:trPr>
          <w:trHeight w:val="37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自由裁量权</w:t>
            </w:r>
          </w:p>
          <w:p w:rsidR="008D40E8" w:rsidRDefault="0062585F">
            <w:pPr>
              <w:widowControl/>
              <w:spacing w:line="260" w:lineRule="exact"/>
              <w:ind w:leftChars="-20" w:left="-42" w:rightChars="-20" w:right="-42"/>
              <w:jc w:val="center"/>
              <w:rPr>
                <w:rFonts w:ascii="宋体" w:hAnsi="宋体" w:cs="宋体"/>
                <w:spacing w:val="-4"/>
                <w:kern w:val="0"/>
                <w:sz w:val="24"/>
              </w:rPr>
            </w:pPr>
            <w:r>
              <w:rPr>
                <w:rFonts w:ascii="宋体" w:hAnsi="宋体" w:cs="宋体" w:hint="eastAsia"/>
                <w:spacing w:val="-4"/>
                <w:kern w:val="0"/>
                <w:szCs w:val="21"/>
              </w:rPr>
              <w:t>制度</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 xml:space="preserve">1.建立并公开行政处罚自由裁量基准制度。 </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cs="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 w:val="24"/>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2.实施行政处罚，必须以事实为依据，充分考虑违法行为的性质、情节以及社会危害程度等情况，合理自由裁量，做到过罚相当。</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cs="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 w:val="24"/>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 xml:space="preserve">3.对于减轻、从轻、从重处罚的，在送达《行政处罚事先告知书》或者《听证告知书》时，一并告知拟作出减轻、从轻、从重处罚的事实、理由、依据。 </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cs="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 w:val="24"/>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4.对行政管理相对人减轻或者免于处罚的，应当经城市管理部门法制机构审核，报城市管理部门负责人审批。</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cs="宋体" w:hint="eastAsia"/>
                <w:spacing w:val="-4"/>
                <w:kern w:val="0"/>
                <w:szCs w:val="21"/>
              </w:rPr>
              <w:t>市局，辖市、区局</w:t>
            </w:r>
          </w:p>
        </w:tc>
      </w:tr>
      <w:tr w:rsidR="008D40E8">
        <w:trPr>
          <w:trHeight w:val="3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执法监督</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1.建立健全法制审核制度。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cs="宋体" w:hint="eastAsia"/>
                <w:spacing w:val="-4"/>
                <w:kern w:val="0"/>
                <w:szCs w:val="21"/>
              </w:rPr>
              <w:t>市局，辖市、区局</w:t>
            </w:r>
          </w:p>
        </w:tc>
      </w:tr>
      <w:tr w:rsidR="008D40E8">
        <w:trPr>
          <w:trHeight w:val="30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2.建立健全行政执法评议考核机制。</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cs="宋体" w:hint="eastAsia"/>
                <w:spacing w:val="-4"/>
                <w:kern w:val="0"/>
                <w:szCs w:val="21"/>
              </w:rPr>
              <w:t>市局，辖市、区局</w:t>
            </w:r>
          </w:p>
        </w:tc>
      </w:tr>
      <w:tr w:rsidR="008D40E8">
        <w:trPr>
          <w:trHeight w:val="38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3.建立健全行政执法责任追究制度。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cs="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信息公开</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1.建立执法信息公开制度，公示执法主体、执法人员、执法依据、执法程序、处罚标准、监督方式等信息。</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cs="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2.建立信息公开的考核和评议制度，并将结果纳入部门绩效考评体系。</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cs="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3.建立信息公开责任追究制度。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cs="宋体" w:hint="eastAsia"/>
                <w:spacing w:val="-4"/>
                <w:kern w:val="0"/>
                <w:szCs w:val="21"/>
              </w:rPr>
              <w:t>市局，辖市、区局</w:t>
            </w:r>
          </w:p>
        </w:tc>
      </w:tr>
      <w:tr w:rsidR="008D40E8">
        <w:trPr>
          <w:trHeight w:val="454"/>
        </w:trPr>
        <w:tc>
          <w:tcPr>
            <w:tcW w:w="1115" w:type="dxa"/>
            <w:vMerge w:val="restart"/>
            <w:tcBorders>
              <w:top w:val="single" w:sz="4" w:space="0" w:color="auto"/>
              <w:left w:val="single" w:sz="4" w:space="0" w:color="auto"/>
              <w:right w:val="single" w:sz="4" w:space="0" w:color="auto"/>
            </w:tcBorders>
            <w:vAlign w:val="center"/>
          </w:tcPr>
          <w:p w:rsidR="008D40E8" w:rsidRDefault="008D40E8">
            <w:pPr>
              <w:spacing w:line="260" w:lineRule="exact"/>
              <w:ind w:leftChars="-20" w:left="-42" w:rightChars="-20" w:right="-42"/>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62585F">
            <w:pPr>
              <w:widowControl/>
              <w:spacing w:line="260" w:lineRule="exact"/>
              <w:jc w:val="left"/>
              <w:rPr>
                <w:rFonts w:ascii="宋体" w:hAnsi="宋体" w:cs="宋体"/>
                <w:spacing w:val="-4"/>
                <w:kern w:val="0"/>
                <w:szCs w:val="21"/>
              </w:rPr>
            </w:pPr>
            <w:r>
              <w:rPr>
                <w:rFonts w:ascii="宋体" w:hAnsi="宋体" w:cs="宋体" w:hint="eastAsia"/>
                <w:spacing w:val="-4"/>
                <w:kern w:val="0"/>
                <w:szCs w:val="21"/>
              </w:rPr>
              <w:t>执法程序</w:t>
            </w: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8D40E8">
            <w:pPr>
              <w:widowControl/>
              <w:spacing w:line="260" w:lineRule="exact"/>
              <w:jc w:val="left"/>
              <w:rPr>
                <w:rFonts w:ascii="宋体" w:hAnsi="宋体" w:cs="宋体"/>
                <w:spacing w:val="-4"/>
                <w:kern w:val="0"/>
                <w:szCs w:val="21"/>
              </w:rPr>
            </w:pPr>
          </w:p>
          <w:p w:rsidR="008D40E8" w:rsidRDefault="0062585F">
            <w:pPr>
              <w:widowControl/>
              <w:spacing w:line="260" w:lineRule="exact"/>
              <w:jc w:val="left"/>
              <w:rPr>
                <w:rFonts w:ascii="宋体" w:hAnsi="宋体" w:cs="宋体"/>
                <w:spacing w:val="-4"/>
                <w:kern w:val="0"/>
                <w:szCs w:val="21"/>
              </w:rPr>
            </w:pPr>
            <w:r>
              <w:rPr>
                <w:rFonts w:ascii="宋体" w:hAnsi="宋体" w:cs="宋体" w:hint="eastAsia"/>
                <w:spacing w:val="-4"/>
                <w:kern w:val="0"/>
                <w:szCs w:val="21"/>
              </w:rPr>
              <w:t>执法程序</w:t>
            </w: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62585F">
            <w:pPr>
              <w:spacing w:line="260" w:lineRule="exact"/>
              <w:ind w:rightChars="-20" w:right="-42"/>
              <w:rPr>
                <w:rFonts w:ascii="宋体" w:hAnsi="宋体" w:cs="宋体"/>
                <w:spacing w:val="-4"/>
                <w:kern w:val="0"/>
                <w:szCs w:val="21"/>
              </w:rPr>
            </w:pPr>
            <w:r>
              <w:rPr>
                <w:rFonts w:ascii="宋体" w:hAnsi="宋体" w:cs="宋体" w:hint="eastAsia"/>
                <w:spacing w:val="-4"/>
                <w:kern w:val="0"/>
                <w:szCs w:val="21"/>
              </w:rPr>
              <w:t>执法程序</w:t>
            </w: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lastRenderedPageBreak/>
              <w:t>登记</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对于投诉、举报、其他机关移送、上级机关交办的材料，应当予以登记。</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受理和立案</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1.对于收到的登记材料应当在7个工作日内予以核查，并决定是否立案；特殊情况下，可延长至15个工作日，并告知举报人、投诉人。对于不予立案的投诉、举报，应当书面告知行政管理相对人，并备案。</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2.立案应当填写《立案审批表》，同时附上相关材料。对需要移送其他部门处理的案件，应当填写《案件移送审批表》以及《案件移送书》。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调查取证</w:t>
            </w: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调查取证</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lastRenderedPageBreak/>
              <w:t>1.调查取证中涉及专业性问题需要鉴定的，应当委托或者聘请有专业知识和技术能力并具有鉴定资格的机构和人员进行鉴定，并出具鉴定结论，签名和加盖鉴定机构印章。</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2.实施证据登记保存应当制作证据先行登记保存通知书，并应当在7日内</w:t>
            </w:r>
            <w:proofErr w:type="gramStart"/>
            <w:r>
              <w:rPr>
                <w:rFonts w:asciiTheme="minorEastAsia" w:eastAsiaTheme="minorEastAsia" w:hAnsiTheme="minorEastAsia" w:cstheme="minorEastAsia" w:hint="eastAsia"/>
                <w:spacing w:val="-4"/>
                <w:kern w:val="0"/>
                <w:szCs w:val="21"/>
              </w:rPr>
              <w:t>作出</w:t>
            </w:r>
            <w:proofErr w:type="gramEnd"/>
            <w:r>
              <w:rPr>
                <w:rFonts w:asciiTheme="minorEastAsia" w:eastAsiaTheme="minorEastAsia" w:hAnsiTheme="minorEastAsia" w:cstheme="minorEastAsia" w:hint="eastAsia"/>
                <w:spacing w:val="-4"/>
                <w:kern w:val="0"/>
                <w:szCs w:val="21"/>
              </w:rPr>
              <w:t>处理决定。不得登记保存与案件无关的物品或者超过法定期限登记保存证据物品。</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3.执法人员不得以偷拍、偷录、窃听等手段获取侵害他人合法权益的证据；不得以利诱、欺诈、胁迫、暴力等不正当手段调查收集证据。</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4.案件调查终结后，行政执法人员应对获得的证据材料进行整理、分类和采用，并制作《行政违法案件调查终结报告》，报行政执法机构负责人审核。</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5.调查取证时，执法人员不得少于2人；并应主动向行政管理相对人和有关人员出示执法证件，表明执法身份。</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6.行政执法人员收集的证据应当是原件，也可以是由证据提供人标明“经核对与原件无异”并注明原件出处，出证日期、并签名或者盖章确认的复制件、影印件或者抄录本。</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7.行政执法人员询问行政管理相对人和证人，应当个别进行，告知其相应的权利义务并制作询问笔录。被询问人要对询问整体内容做出属实认证。被询问人对调查询问笔录逐页签名、注明日期，行政执法人员要对询问笔录签名。被询问人拒绝签名的，行政执法人员应在询问笔录中注明情况。</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8.行政执法人员对与案件有关的物品或者现场进行勘验检查取证的，应当通知行政管理相对人到场，制作现场检查笔录。行政管理相对人拒绝签名、盖章或者不在现场的，应当由无利害关系的见证人签名或者盖章；无见证人或者见证人不愿意签名的，行政执法人员应当注明情况。</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9.行政执法人员对有关证据需要抽样调查取证的，应当制作抽样取证通知书。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案件审理</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调查取证终结后，应当及时填写《案件处理审批表》，按规定由城市管理部门法制机构审核后报城市管理部门负责人审批；对情节复杂或者重大违法行为给予较重的行政处罚，应当由城市管理部门集体讨论决定。</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2.城市管理部门应当加强法制机构建设，配备一定比例符合条件的法制审核人员，对重大执法决定在执法主体、管辖权限、执法程序、事实认定、法律适用等方面进行法制审核。</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决定</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1.适用一般程序处罚的案件应当自立案之日起的90日内</w:t>
            </w:r>
            <w:proofErr w:type="gramStart"/>
            <w:r>
              <w:rPr>
                <w:rFonts w:asciiTheme="minorEastAsia" w:eastAsiaTheme="minorEastAsia" w:hAnsiTheme="minorEastAsia" w:cstheme="minorEastAsia" w:hint="eastAsia"/>
                <w:spacing w:val="-4"/>
                <w:kern w:val="0"/>
                <w:szCs w:val="21"/>
              </w:rPr>
              <w:t>作出</w:t>
            </w:r>
            <w:proofErr w:type="gramEnd"/>
            <w:r>
              <w:rPr>
                <w:rFonts w:asciiTheme="minorEastAsia" w:eastAsiaTheme="minorEastAsia" w:hAnsiTheme="minorEastAsia" w:cstheme="minorEastAsia" w:hint="eastAsia"/>
                <w:spacing w:val="-4"/>
                <w:kern w:val="0"/>
                <w:szCs w:val="21"/>
              </w:rPr>
              <w:t>行政决定。案情特别复杂的，经城市管理部门主要负责人批准，可延长一次30日。</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2.实行行政处罚查处分离管理制度。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right w:val="single" w:sz="4" w:space="0" w:color="auto"/>
            </w:tcBorders>
            <w:vAlign w:val="center"/>
          </w:tcPr>
          <w:p w:rsidR="008D40E8" w:rsidRDefault="0062585F">
            <w:pPr>
              <w:widowControl/>
              <w:spacing w:line="260" w:lineRule="exact"/>
              <w:jc w:val="center"/>
              <w:rPr>
                <w:rFonts w:ascii="宋体" w:hAnsi="宋体" w:cs="宋体"/>
                <w:spacing w:val="-4"/>
                <w:kern w:val="0"/>
                <w:szCs w:val="21"/>
              </w:rPr>
            </w:pPr>
            <w:r>
              <w:rPr>
                <w:rFonts w:ascii="宋体" w:hAnsi="宋体" w:cs="宋体" w:hint="eastAsia"/>
                <w:spacing w:val="-4"/>
                <w:kern w:val="0"/>
                <w:szCs w:val="21"/>
              </w:rPr>
              <w:t>送达</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1.行政处罚决定书应当在7日内直接送达行政管理相对人，行政管理相对人拒绝接受或者无法直接送达行政管理相对人的，应当依照《中华人民共和国民事诉讼法》的有关规定送达。</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2.行政管理相对人提供送达地址或者同意电子送达的，可以按照其提供的地址或者传真、电子邮件送达。</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spacing w:line="260" w:lineRule="exact"/>
              <w:ind w:leftChars="-20" w:left="-42" w:rightChars="-20" w:right="-42"/>
              <w:jc w:val="center"/>
              <w:rPr>
                <w:rFonts w:ascii="宋体" w:hAnsi="宋体" w:cs="宋体"/>
                <w:spacing w:val="-4"/>
                <w:kern w:val="0"/>
                <w:szCs w:val="21"/>
              </w:rPr>
            </w:pPr>
          </w:p>
        </w:tc>
        <w:tc>
          <w:tcPr>
            <w:tcW w:w="1400" w:type="dxa"/>
            <w:vMerge/>
            <w:tcBorders>
              <w:left w:val="single" w:sz="4" w:space="0" w:color="auto"/>
              <w:bottom w:val="single" w:sz="4" w:space="0" w:color="auto"/>
              <w:right w:val="single" w:sz="4" w:space="0" w:color="auto"/>
            </w:tcBorders>
            <w:vAlign w:val="center"/>
          </w:tcPr>
          <w:p w:rsidR="008D40E8" w:rsidRDefault="008D40E8">
            <w:pPr>
              <w:widowControl/>
              <w:spacing w:line="260" w:lineRule="exact"/>
              <w:ind w:firstLineChars="200" w:firstLine="404"/>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3.采取直接、留置、邮寄、委托、转交等方式无法送达的，可以通过报纸、门户网站等方式公告送达。</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执行</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1.城市管理部门</w:t>
            </w:r>
            <w:proofErr w:type="gramStart"/>
            <w:r>
              <w:rPr>
                <w:rFonts w:asciiTheme="minorEastAsia" w:eastAsiaTheme="minorEastAsia" w:hAnsiTheme="minorEastAsia" w:cstheme="minorEastAsia" w:hint="eastAsia"/>
                <w:spacing w:val="-4"/>
                <w:kern w:val="0"/>
                <w:szCs w:val="21"/>
              </w:rPr>
              <w:t>作出</w:t>
            </w:r>
            <w:proofErr w:type="gramEnd"/>
            <w:r>
              <w:rPr>
                <w:rFonts w:asciiTheme="minorEastAsia" w:eastAsiaTheme="minorEastAsia" w:hAnsiTheme="minorEastAsia" w:cstheme="minorEastAsia" w:hint="eastAsia"/>
                <w:spacing w:val="-4"/>
                <w:kern w:val="0"/>
                <w:szCs w:val="21"/>
              </w:rPr>
              <w:t>的行政决定生效后，行政管理相对人不履行的，应当申请人民法院执行，法律有规定由行政机关执行的除外。</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2.实行罚缴分离规定，使用省财政部门统一罚没票据，且票据管理规范。</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结案与</w:t>
            </w:r>
          </w:p>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案卷管理</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1.案件执行完毕后，全过程文书档案信息齐全，一案一档。</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2.城市管理部门执法督察机构应当定期对执法记录的案卷、声像资料进行检查，并建立检查台帐。</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结果公开</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对涉及公共利益、公众普遍关注、需要社会知晓的执法信息，应当主动向社会公开；对不宜向社会公开，但涉及特定对象权利义务、需要特定对象知悉的，应当告知特定对象，或者为特定对象提供查询服务。</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color w:val="000000"/>
                <w:spacing w:val="-4"/>
                <w:kern w:val="0"/>
                <w:szCs w:val="21"/>
              </w:rPr>
            </w:pPr>
            <w:r>
              <w:rPr>
                <w:rFonts w:ascii="宋体" w:hAnsi="宋体" w:cs="宋体" w:hint="eastAsia"/>
                <w:color w:val="000000"/>
                <w:spacing w:val="-4"/>
                <w:kern w:val="0"/>
                <w:szCs w:val="21"/>
              </w:rPr>
              <w:t>执法全过程</w:t>
            </w:r>
          </w:p>
          <w:p w:rsidR="008D40E8" w:rsidRDefault="0062585F">
            <w:pPr>
              <w:spacing w:line="260" w:lineRule="exact"/>
              <w:ind w:leftChars="-20" w:left="-42" w:rightChars="-20" w:right="-42"/>
              <w:jc w:val="center"/>
              <w:rPr>
                <w:rFonts w:ascii="宋体" w:hAnsi="宋体" w:cs="宋体"/>
                <w:color w:val="000000"/>
                <w:spacing w:val="-4"/>
                <w:kern w:val="0"/>
                <w:szCs w:val="21"/>
              </w:rPr>
            </w:pPr>
            <w:r>
              <w:rPr>
                <w:rFonts w:ascii="宋体" w:hAnsi="宋体" w:cs="宋体" w:hint="eastAsia"/>
                <w:color w:val="000000"/>
                <w:spacing w:val="-4"/>
                <w:kern w:val="0"/>
                <w:szCs w:val="21"/>
              </w:rPr>
              <w:t>记录</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1.市、辖市区城市管理行政执法机构应当按照《江苏省城市管理执法全过程记录实施办法》，实施行政执法全过程记录，规范城市管理行政执法行为。</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 执法全过程记录应当坚持合法、全面、客观、公正、完整的原则。</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3.依职权开展日常巡查和相关行政执法活动时，应当启动行政执法全过程记录。</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4.执法全过程记录的主体是依法行使行政执法权的行政执法机关或具备行政执法资格并持有行政执法证件的执法人员。</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5.行政执法人员在查处违法行为、处理违法案件时，应当佩戴使用执法记录设备进行全程录音录像，记录执法工作情况及相关证据；受客观条件限制无法全程录音录像的，应对重要环节使用照相机、摄像机等设备录音录像，并做好执法文书记录。</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6.执法记录设备记录的声像应当按规定每日及时存储，并实行风险等级保存。</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7.建立健全执法全过程记录管理与使用制度，明确专门机构负责对全过程记录文字和音像资料的归档、保存和使用。</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val="restart"/>
            <w:tcBorders>
              <w:top w:val="single" w:sz="4" w:space="0" w:color="auto"/>
              <w:left w:val="single" w:sz="4" w:space="0" w:color="auto"/>
              <w:right w:val="single" w:sz="4" w:space="0" w:color="auto"/>
            </w:tcBorders>
            <w:vAlign w:val="center"/>
          </w:tcPr>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执法监督</w:t>
            </w: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8D40E8">
            <w:pPr>
              <w:spacing w:line="260" w:lineRule="exact"/>
              <w:ind w:leftChars="-20" w:left="-42" w:rightChars="-20" w:right="-42"/>
              <w:jc w:val="center"/>
              <w:rPr>
                <w:rFonts w:ascii="宋体" w:hAnsi="宋体" w:cs="宋体"/>
                <w:spacing w:val="-4"/>
                <w:kern w:val="0"/>
                <w:szCs w:val="21"/>
              </w:rPr>
            </w:pPr>
          </w:p>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执法监督</w:t>
            </w: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color w:val="000000"/>
                <w:spacing w:val="-4"/>
                <w:kern w:val="0"/>
                <w:szCs w:val="21"/>
              </w:rPr>
            </w:pPr>
            <w:r>
              <w:rPr>
                <w:rFonts w:ascii="宋体" w:hAnsi="宋体" w:cs="宋体" w:hint="eastAsia"/>
                <w:color w:val="000000"/>
                <w:spacing w:val="-4"/>
                <w:kern w:val="0"/>
                <w:szCs w:val="21"/>
              </w:rPr>
              <w:lastRenderedPageBreak/>
              <w:t>监督机构设置</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市、辖市区城市管理部门应当明确专门的监督机构，负责城市管理行政执法监督工作。</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color w:val="000000"/>
                <w:spacing w:val="-4"/>
                <w:kern w:val="0"/>
                <w:szCs w:val="21"/>
              </w:rPr>
            </w:pPr>
            <w:r>
              <w:rPr>
                <w:rFonts w:ascii="宋体" w:hAnsi="宋体" w:cs="宋体" w:hint="eastAsia"/>
                <w:color w:val="000000"/>
                <w:spacing w:val="-4"/>
                <w:kern w:val="0"/>
                <w:szCs w:val="21"/>
              </w:rPr>
              <w:t>执法监督内容</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对行政处罚案卷、执法人员行为规范等进行监督检查。</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执法监督实施</w:t>
            </w:r>
          </w:p>
          <w:p w:rsidR="008D40E8" w:rsidRDefault="008D40E8">
            <w:pPr>
              <w:spacing w:line="260" w:lineRule="exact"/>
              <w:ind w:leftChars="-20" w:left="-42" w:rightChars="-20" w:right="-42"/>
              <w:jc w:val="center"/>
              <w:rPr>
                <w:rFonts w:ascii="宋体" w:hAnsi="宋体" w:cs="宋体"/>
                <w:spacing w:val="-4"/>
                <w:kern w:val="0"/>
                <w:sz w:val="24"/>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1.行政执法监督实行层级管理制度。市城市管理部门负责对辖市区城市管理行政执法工作监督、检查和指导。</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2.组织督察暗访，必须经过授权或请示批准后由2人以上方可进行，严格按照批准的工作方案实施，未经批准不得随意改变工作方案。督察暗访结束后，应及时形成书面督察暗访报告。</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3.专项督察由监督机构负责人审核批准。对事关全局重大事项的督察必须经城市管理部门批准，由监督机构负责人组织实施。</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spacing w:line="260" w:lineRule="exact"/>
              <w:ind w:leftChars="-20" w:left="-42" w:rightChars="-20" w:right="-42"/>
              <w:jc w:val="center"/>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spacing w:line="260" w:lineRule="exact"/>
              <w:ind w:leftChars="-20" w:left="-42" w:rightChars="-20" w:right="-42"/>
              <w:jc w:val="center"/>
              <w:rPr>
                <w:rFonts w:ascii="宋体" w:hAnsi="宋体" w:cs="宋体"/>
                <w:spacing w:val="-4"/>
                <w:kern w:val="0"/>
                <w:sz w:val="24"/>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4.城市管理主管部门在监督检查时发现重大问题，应当制发《行政执法监督决定书》，通知相关</w:t>
            </w:r>
            <w:proofErr w:type="gramStart"/>
            <w:r>
              <w:rPr>
                <w:rFonts w:asciiTheme="minorEastAsia" w:eastAsiaTheme="minorEastAsia" w:hAnsiTheme="minorEastAsia" w:cstheme="minorEastAsia" w:hint="eastAsia"/>
                <w:spacing w:val="-4"/>
                <w:kern w:val="0"/>
                <w:szCs w:val="21"/>
              </w:rPr>
              <w:t>辖</w:t>
            </w:r>
            <w:proofErr w:type="gramEnd"/>
            <w:r>
              <w:rPr>
                <w:rFonts w:asciiTheme="minorEastAsia" w:eastAsiaTheme="minorEastAsia" w:hAnsiTheme="minorEastAsia" w:cstheme="minorEastAsia" w:hint="eastAsia"/>
                <w:spacing w:val="-4"/>
                <w:kern w:val="0"/>
                <w:szCs w:val="21"/>
              </w:rPr>
              <w:t>市区城市管理部门在规定时间内落实整改，并反馈整改结果。</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 w:val="24"/>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5.监督机构对群众实名投诉举报案件，从受理之日起7个工作日内查结并向投诉举报人反馈；期限内无法办结的，应告知投诉举报人进展情况。对匿名投诉举报的重大问题或有价值线索问题应及时开展调查。</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 w:val="24"/>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6.在规定时间内处理投诉、举报、来信、来访，办结</w:t>
            </w:r>
            <w:proofErr w:type="gramStart"/>
            <w:r>
              <w:rPr>
                <w:rFonts w:asciiTheme="minorEastAsia" w:eastAsiaTheme="minorEastAsia" w:hAnsiTheme="minorEastAsia" w:cstheme="minorEastAsia" w:hint="eastAsia"/>
                <w:spacing w:val="-4"/>
                <w:kern w:val="0"/>
                <w:szCs w:val="21"/>
              </w:rPr>
              <w:t>率应当</w:t>
            </w:r>
            <w:proofErr w:type="gramEnd"/>
            <w:r>
              <w:rPr>
                <w:rFonts w:asciiTheme="minorEastAsia" w:eastAsiaTheme="minorEastAsia" w:hAnsiTheme="minorEastAsia" w:cstheme="minorEastAsia" w:hint="eastAsia"/>
                <w:spacing w:val="-4"/>
                <w:kern w:val="0"/>
                <w:szCs w:val="21"/>
              </w:rPr>
              <w:t>在95%以上。</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 w:val="24"/>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7.应当使用规范性文书，统一编号，指定专人保管。</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 w:val="24"/>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8.设区的市、县（市、区）城市管理部门应当在15日内将重大行政处罚决定按规定备案。</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执法过错</w:t>
            </w:r>
          </w:p>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责任追究</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1.错案责任由城市管理部门或者报请同级政府纪检监察机关依法追究。</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2.城市管理部门监督机构，应当及时受理对执法人员过错行为的举报或投诉，并答复处理结果。</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3.城市管理部门受理案件后，应当及时组成调查组展开调查。</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4.根据调查结果，认定性质、责任后，经城市管理部门领导集体讨论，按照干部管理权限，及时做出处理决定。</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color w:val="000000"/>
                <w:spacing w:val="-4"/>
                <w:kern w:val="0"/>
                <w:szCs w:val="21"/>
              </w:rPr>
            </w:pPr>
            <w:r>
              <w:rPr>
                <w:rFonts w:ascii="宋体" w:hAnsi="宋体" w:cs="宋体" w:hint="eastAsia"/>
                <w:color w:val="000000"/>
                <w:spacing w:val="-4"/>
                <w:kern w:val="0"/>
                <w:szCs w:val="21"/>
              </w:rPr>
              <w:t>举报投诉办理（内部管理）</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1.群众对于行政执法机构及其执法人员在执法过程中的不当行为的投诉和举报，城市管理部门须明确专门机构负责办理群众投诉、举报案件，并做好案件办理权属确认、退单审核、联合办案以及督办、考核工作。</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2.建立承办单位责任人制度。明确监督部门和责任人负责接单和派单。</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3.建立案件受理、交办登记制度。所有案件从受理到结案应当登记造册，信息记录完整。</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399"/>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4.建立承办人责任制度。每个案件由2人或2人以上共同办理。</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399"/>
        </w:trPr>
        <w:tc>
          <w:tcPr>
            <w:tcW w:w="1115" w:type="dxa"/>
            <w:vMerge/>
            <w:tcBorders>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color w:val="000000"/>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5.建立案件督办与案卷考核制度。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服务理念</w:t>
            </w: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color w:val="000000"/>
                <w:spacing w:val="-4"/>
                <w:kern w:val="0"/>
                <w:szCs w:val="21"/>
              </w:rPr>
            </w:pPr>
            <w:r>
              <w:rPr>
                <w:rFonts w:ascii="宋体" w:hAnsi="宋体" w:cs="宋体" w:hint="eastAsia"/>
                <w:color w:val="000000"/>
                <w:spacing w:val="-4"/>
                <w:kern w:val="0"/>
                <w:szCs w:val="21"/>
              </w:rPr>
              <w:t>执法为民</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坚持以人民为中心，牢固树立为人民管理城市的行政执法服务理念。</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rightChars="-20" w:right="-42"/>
              <w:rPr>
                <w:rFonts w:ascii="宋体" w:hAnsi="宋体" w:cs="宋体"/>
                <w:spacing w:val="-4"/>
                <w:kern w:val="0"/>
                <w:szCs w:val="21"/>
              </w:rPr>
            </w:pPr>
            <w:r>
              <w:rPr>
                <w:rFonts w:ascii="宋体" w:hAnsi="宋体" w:cs="宋体" w:hint="eastAsia"/>
                <w:spacing w:val="-4"/>
                <w:kern w:val="0"/>
                <w:szCs w:val="21"/>
              </w:rPr>
              <w:t>服务内容</w:t>
            </w: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劝解疏导</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行政执法人员对轻微违法行为应当采取教育、劝诫、疏导等方式予以纠正。</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专项服务</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1.结合城市管理行政执法机构工作职能，为广大市民提供城管法律法规、城市秩序规范等咨询服务。</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2.积极创建城市管理行政执法队伍服务品牌，不断推进社会综治工作。</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应急保障</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1.建立城市管理应急保障机制和应急保障队伍。</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2.配置相应的应急保障装备和服务工具。</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志愿者服务</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1.建立城市管理行政执法志愿者服务队伍，定期开展志愿者服务活动。</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2.落实专门的志愿者服务队伍活动经费。</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服务方式</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行政指导</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1.建立行政指导制度，完善行政指导程序和规范行政指导文书。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jc w:val="center"/>
              <w:rPr>
                <w:rFonts w:ascii="宋体" w:hAnsi="宋体"/>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2.充分运用门户网站、城管宣传栏等多种形式，宣传城市管理方面的法律法规，引导广大市民自觉遵纪守法。</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jc w:val="center"/>
              <w:rPr>
                <w:rFonts w:ascii="宋体" w:hAnsi="宋体"/>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spacing w:val="-4"/>
                <w:kern w:val="0"/>
                <w:szCs w:val="21"/>
              </w:rPr>
            </w:pPr>
            <w:r>
              <w:rPr>
                <w:rFonts w:ascii="宋体" w:hAnsi="宋体" w:cs="宋体" w:hint="eastAsia"/>
                <w:spacing w:val="-4"/>
                <w:kern w:val="0"/>
                <w:szCs w:val="21"/>
              </w:rPr>
              <w:t>行政调解</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建立行政调解制度，完善行政调解程序和</w:t>
            </w:r>
            <w:r>
              <w:rPr>
                <w:rFonts w:asciiTheme="minorEastAsia" w:eastAsiaTheme="minorEastAsia" w:hAnsiTheme="minorEastAsia" w:cstheme="minorEastAsia" w:hint="eastAsia"/>
                <w:color w:val="000000"/>
                <w:spacing w:val="-4"/>
                <w:kern w:val="0"/>
                <w:szCs w:val="21"/>
              </w:rPr>
              <w:t>规范行政调解行为。</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jc w:val="center"/>
              <w:rPr>
                <w:rFonts w:ascii="宋体" w:hAnsi="宋体"/>
                <w:spacing w:val="-4"/>
                <w:kern w:val="0"/>
                <w:szCs w:val="21"/>
              </w:rPr>
            </w:pPr>
            <w:r>
              <w:rPr>
                <w:rFonts w:ascii="宋体" w:hAnsi="宋体" w:hint="eastAsia"/>
                <w:spacing w:val="-4"/>
                <w:kern w:val="0"/>
                <w:szCs w:val="21"/>
              </w:rPr>
              <w:t>市局，辖市、区局</w:t>
            </w:r>
          </w:p>
        </w:tc>
      </w:tr>
      <w:tr w:rsidR="008D40E8" w:rsidTr="0062585F">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服务专线</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市、辖市区城市管理部门应当建立完备的12319专线，推进群众举报、投诉的便捷化。</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hint="eastAsia"/>
                <w:spacing w:val="-4"/>
                <w:kern w:val="0"/>
                <w:szCs w:val="21"/>
              </w:rPr>
              <w:t>市局，辖市、区局</w:t>
            </w:r>
          </w:p>
        </w:tc>
      </w:tr>
      <w:tr w:rsidR="008D40E8" w:rsidTr="0062585F">
        <w:trPr>
          <w:trHeight w:val="454"/>
        </w:trPr>
        <w:tc>
          <w:tcPr>
            <w:tcW w:w="1115" w:type="dxa"/>
            <w:vMerge w:val="restart"/>
            <w:tcBorders>
              <w:top w:val="single" w:sz="4" w:space="0" w:color="auto"/>
              <w:left w:val="single" w:sz="4" w:space="0" w:color="auto"/>
              <w:right w:val="single" w:sz="4" w:space="0" w:color="auto"/>
            </w:tcBorders>
            <w:vAlign w:val="center"/>
          </w:tcPr>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设备管理</w:t>
            </w: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设备管理</w:t>
            </w: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p w:rsidR="008D40E8" w:rsidRDefault="008D40E8">
            <w:pPr>
              <w:widowControl/>
              <w:spacing w:line="260" w:lineRule="exact"/>
              <w:ind w:leftChars="-20" w:left="-42" w:rightChars="-20" w:right="-42"/>
              <w:jc w:val="center"/>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lastRenderedPageBreak/>
              <w:t>组织管理</w:t>
            </w:r>
          </w:p>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与经费</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1.城市管理行政执法机构负责执法装备的规范化管理。</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2.城市管理行政执法装备由同级财政部门统一拨付，并按照相关规定采购。</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rsidP="0062585F">
            <w:pPr>
              <w:spacing w:line="260" w:lineRule="exact"/>
              <w:ind w:left="99" w:rightChars="-20" w:right="-42" w:hangingChars="49" w:hanging="99"/>
              <w:rPr>
                <w:rFonts w:ascii="宋体" w:hAnsi="宋体" w:cs="宋体"/>
                <w:spacing w:val="-4"/>
                <w:kern w:val="0"/>
                <w:szCs w:val="21"/>
              </w:rPr>
            </w:pPr>
            <w:r>
              <w:rPr>
                <w:rFonts w:ascii="宋体" w:hAnsi="宋体" w:cs="宋体" w:hint="eastAsia"/>
                <w:spacing w:val="-4"/>
                <w:kern w:val="0"/>
                <w:szCs w:val="21"/>
              </w:rPr>
              <w:t>制式服装和标志标识管理</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1.城市管理部门应当严格按照规定配发制式服装和标志、标识。</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2.行政执法人员应当严格按照规定穿着制式服装，佩戴标志、标识。严禁非城管行政执法人员穿着制式服装，佩戴标志、标识。</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3.制式服装及标志、标识，不得擅自赠送、转借或出售他人。</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4.调离的行政执法人员，应当交回制式服装和标志标识。</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5.城市管理部门应当加强对制式服装和标志标识配发工作的监督检查，对违反规定配发制式服装和标志标识或擅自更改标志标识的予以责令纠正或收缴。</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执法车辆管理</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1.城市管理行政执法机构应当按照执法工作需要，配备人均不少于1座的执法车辆。</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2.执法车辆应当按照全国统一的标志、标识进行喷涂。</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3.执法机构应当按照一车</w:t>
            </w:r>
            <w:proofErr w:type="gramStart"/>
            <w:r>
              <w:rPr>
                <w:rFonts w:asciiTheme="minorEastAsia" w:eastAsiaTheme="minorEastAsia" w:hAnsiTheme="minorEastAsia" w:cstheme="minorEastAsia" w:hint="eastAsia"/>
                <w:spacing w:val="-4"/>
                <w:kern w:val="0"/>
                <w:szCs w:val="21"/>
              </w:rPr>
              <w:t>一</w:t>
            </w:r>
            <w:proofErr w:type="gramEnd"/>
            <w:r>
              <w:rPr>
                <w:rFonts w:asciiTheme="minorEastAsia" w:eastAsiaTheme="minorEastAsia" w:hAnsiTheme="minorEastAsia" w:cstheme="minorEastAsia" w:hint="eastAsia"/>
                <w:spacing w:val="-4"/>
                <w:kern w:val="0"/>
                <w:szCs w:val="21"/>
              </w:rPr>
              <w:t>档案的要求建立行政执法车辆档案。</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4.建立执法车辆维护、保养等管理制度。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5.严禁执法车辆外借、转借他人使用，严禁公车私用。</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通讯设备管理</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1.每个执法中队应当配备1套信息传输系统（含车载台）。</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2.每2名执法人员至少配备1台对讲机。</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勘查取证</w:t>
            </w:r>
          </w:p>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设备管理</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1.每名执法人员应当配备1部执法记录仪和1部执法通。</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2.每个执法大队应当配备1套专业摄像设备。</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警戒防护</w:t>
            </w:r>
          </w:p>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设备管理</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1城市管理行政执法机构应当配备一定数量的防护装备（多功能腰带、防刺背心、防割手套、钢盔、水壶、防护眼镜、手电筒等）。</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right w:val="single" w:sz="4" w:space="0" w:color="auto"/>
            </w:tcBorders>
            <w:vAlign w:val="center"/>
          </w:tcPr>
          <w:p w:rsidR="008D40E8" w:rsidRDefault="008D40E8">
            <w:pPr>
              <w:widowControl/>
              <w:spacing w:line="260" w:lineRule="exact"/>
              <w:ind w:firstLineChars="100" w:firstLine="202"/>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2.专业行政执法队伍在执法过程中，应当配备与执法种类相关的特种执法设备。</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3.每个执法大队应当配备不少于2套的大容量移动存储设备。</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办公设备管理</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1.配备电脑、电话、传真机、复（打）印机、扫描仪等办公设备。</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有固定的办公场所，包括办公室、会议室、案件处理室、值班室、物品存储室、停车场等；并有阅览室、活动室等文体活动场所。城市管理部门还应当有行政执法案卷（档案）室、行政处罚（行政复议）听证室。有城市管理巡回法庭的，应当有固定的审理场所。</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证件、印章</w:t>
            </w:r>
          </w:p>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管理规定</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1.行政执法人员在执行公务时应随身携带执法证件，依法使用，严禁转借、涂改，尽量避免遗失和损坏。</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2.行政执法证件应当妥善保管。遗失证件，应在3日内报告，经审查批准后报填发机关补发；行政执法人员调离或退休时，应将行政执法证件上缴城市管理部门法制机构。</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3.印章由专人保管，管理人员应严格按规定保管和使用印章。</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信息管理</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执法信息</w:t>
            </w:r>
          </w:p>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报送制度</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1.实行信息定期报送制度。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2.指定专人为执法信息员。信息资料实行专人管理。</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3.信息的编发实行层级审查。</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信息保密制度</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1.保密的管理和利用、密级的变更和解密，必须按照《保密法》及其实施办法的规定办理。</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2.严格防止通过互联网泄密，涉密计算机不得接通网络。</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3.对外活动（包括出国进修、讲学、考察、访问和接待外宾及技术交流）中，严守国家机密，做好保密工作。</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财务管理</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财务管理制度</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1.实行财务统一管理制度。</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2.罚没上缴国库，坚持财务收支两条线。</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3.按国家和上级规定的项目和标准进行，使用省财政部门统一印制的罚款票据，并按规定办理票据缴销手续。</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职业健康管理</w:t>
            </w: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定期体检制度</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每年至少组织行政执法人员和协管人员体检1次。</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心理危机</w:t>
            </w:r>
          </w:p>
          <w:p w:rsidR="008D40E8" w:rsidRDefault="0062585F">
            <w:pPr>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干预制度</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1.成立行政执法人员心理危机干预机构，加强行政执法人员心理健康状况的分析研究。</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rsidTr="0062585F">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2.建立心理危机应急响应机制。</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rsidTr="0062585F">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3.定期组织心理专家开展心理疏导。</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rsidTr="0062585F">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4.建立行政执法人员、协管人员人身意外伤害保险机制。</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市局，辖市、区局</w:t>
            </w:r>
          </w:p>
        </w:tc>
      </w:tr>
      <w:tr w:rsidR="008D40E8">
        <w:trPr>
          <w:trHeight w:val="454"/>
        </w:trPr>
        <w:tc>
          <w:tcPr>
            <w:tcW w:w="1115" w:type="dxa"/>
            <w:vMerge w:val="restart"/>
            <w:tcBorders>
              <w:top w:val="single" w:sz="4" w:space="0" w:color="auto"/>
              <w:left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执法信息化</w:t>
            </w: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信息系统建设</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积极推进案源信息受理系统、案件处理系统、执法信息统计系统建设，促进执法效率的提升。</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案件网上办理</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案件全流程网上运行，实现PC端、移动</w:t>
            </w:r>
            <w:proofErr w:type="gramStart"/>
            <w:r>
              <w:rPr>
                <w:rFonts w:asciiTheme="minorEastAsia" w:eastAsiaTheme="minorEastAsia" w:hAnsiTheme="minorEastAsia" w:cstheme="minorEastAsia" w:hint="eastAsia"/>
                <w:spacing w:val="-4"/>
                <w:kern w:val="0"/>
                <w:szCs w:val="21"/>
              </w:rPr>
              <w:t>端案件</w:t>
            </w:r>
            <w:proofErr w:type="gramEnd"/>
            <w:r>
              <w:rPr>
                <w:rFonts w:asciiTheme="minorEastAsia" w:eastAsiaTheme="minorEastAsia" w:hAnsiTheme="minorEastAsia" w:cstheme="minorEastAsia" w:hint="eastAsia"/>
                <w:spacing w:val="-4"/>
                <w:kern w:val="0"/>
                <w:szCs w:val="21"/>
              </w:rPr>
              <w:t>办理。</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right w:val="single" w:sz="4" w:space="0" w:color="auto"/>
            </w:tcBorders>
            <w:vAlign w:val="center"/>
          </w:tcPr>
          <w:p w:rsidR="008D40E8" w:rsidRDefault="008D40E8">
            <w:pPr>
              <w:widowControl/>
              <w:spacing w:line="260" w:lineRule="exact"/>
              <w:rPr>
                <w:rFonts w:ascii="宋体" w:hAnsi="宋体" w:cs="宋体"/>
                <w:spacing w:val="-4"/>
                <w:kern w:val="0"/>
                <w:szCs w:val="21"/>
              </w:rPr>
            </w:pP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应急通讯覆盖</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实现执法辖区内应急通讯网全覆盖，执法干部按标准配备手持对讲终端。</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hint="eastAsia"/>
                <w:spacing w:val="-4"/>
                <w:kern w:val="0"/>
                <w:szCs w:val="21"/>
              </w:rPr>
              <w:t>市局，辖市、区局</w:t>
            </w:r>
          </w:p>
        </w:tc>
      </w:tr>
      <w:tr w:rsidR="008D40E8">
        <w:trPr>
          <w:trHeight w:val="454"/>
        </w:trPr>
        <w:tc>
          <w:tcPr>
            <w:tcW w:w="1115" w:type="dxa"/>
            <w:vMerge/>
            <w:tcBorders>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指挥调度</w:t>
            </w:r>
          </w:p>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系统应用</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建立统一的指挥调度平台。</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hint="eastAsia"/>
                <w:spacing w:val="-4"/>
                <w:kern w:val="0"/>
                <w:szCs w:val="21"/>
              </w:rPr>
              <w:t>市局，辖市、区局</w:t>
            </w:r>
          </w:p>
        </w:tc>
      </w:tr>
      <w:tr w:rsidR="008D40E8">
        <w:trPr>
          <w:trHeight w:val="454"/>
        </w:trPr>
        <w:tc>
          <w:tcPr>
            <w:tcW w:w="1115"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评价对象</w:t>
            </w: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城市管理部门及执法机构</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rPr>
              <w:t>对城市管理部门及执法机构的行政执法工作效能和水平实施综合评价。</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pPr>
            <w:r>
              <w:rPr>
                <w:rFonts w:ascii="宋体" w:hAnsi="宋体" w:hint="eastAsia"/>
                <w:spacing w:val="-4"/>
                <w:kern w:val="0"/>
                <w:szCs w:val="21"/>
              </w:rPr>
              <w:t>市局，辖市、区局</w:t>
            </w:r>
          </w:p>
        </w:tc>
      </w:tr>
      <w:tr w:rsidR="008D40E8">
        <w:trPr>
          <w:trHeight w:val="454"/>
        </w:trPr>
        <w:tc>
          <w:tcPr>
            <w:tcW w:w="1115"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评价方式</w:t>
            </w: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行业评价</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rPr>
              <w:t>通过城市治理委员会成员单位对</w:t>
            </w:r>
            <w:r>
              <w:rPr>
                <w:rFonts w:asciiTheme="minorEastAsia" w:eastAsiaTheme="minorEastAsia" w:hAnsiTheme="minorEastAsia" w:cstheme="minorEastAsia" w:hint="eastAsia"/>
                <w:spacing w:val="-4"/>
                <w:kern w:val="0"/>
                <w:szCs w:val="21"/>
              </w:rPr>
              <w:t>行业形象进行评价，并获得认可。</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社会评价</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rPr>
              <w:t>定期组织市民代表、基层社区、 行业协会、志愿者组织、新闻媒体等评价城市管理执法工作，总体满意度达85%</w:t>
            </w:r>
            <w:r>
              <w:rPr>
                <w:rFonts w:asciiTheme="minorEastAsia" w:eastAsiaTheme="minorEastAsia" w:hAnsiTheme="minorEastAsia" w:cstheme="minorEastAsia" w:hint="eastAsia"/>
                <w:spacing w:val="-4"/>
                <w:kern w:val="0"/>
                <w:szCs w:val="21"/>
              </w:rPr>
              <w:t>以上。</w:t>
            </w:r>
            <w:r>
              <w:rPr>
                <w:rFonts w:asciiTheme="minorEastAsia" w:eastAsiaTheme="minorEastAsia" w:hAnsiTheme="minorEastAsia" w:cstheme="minorEastAsia" w:hint="eastAsia"/>
              </w:rPr>
              <w:t>政府</w:t>
            </w:r>
            <w:r>
              <w:rPr>
                <w:rFonts w:asciiTheme="minorEastAsia" w:eastAsiaTheme="minorEastAsia" w:hAnsiTheme="minorEastAsia" w:cstheme="minorEastAsia" w:hint="eastAsia"/>
                <w:spacing w:val="-4"/>
                <w:kern w:val="0"/>
                <w:szCs w:val="21"/>
              </w:rPr>
              <w:t>12345服务热线和城市管理服务热线投诉举报案件及时办结。</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pPr>
            <w:r>
              <w:rPr>
                <w:rFonts w:ascii="宋体" w:hAnsi="宋体" w:hint="eastAsia"/>
                <w:spacing w:val="-4"/>
                <w:kern w:val="0"/>
                <w:szCs w:val="21"/>
              </w:rPr>
              <w:t>支队，辖市、区大队</w:t>
            </w:r>
          </w:p>
        </w:tc>
      </w:tr>
      <w:tr w:rsidR="008D40E8">
        <w:trPr>
          <w:trHeight w:val="454"/>
        </w:trPr>
        <w:tc>
          <w:tcPr>
            <w:tcW w:w="1115" w:type="dxa"/>
            <w:vMerge w:val="restart"/>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评价应用</w:t>
            </w: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综合决策</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作为领导决策、政策制定的重要参考依据。</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spacing w:val="-4"/>
                <w:kern w:val="0"/>
                <w:szCs w:val="21"/>
              </w:rPr>
            </w:pPr>
            <w:r>
              <w:rPr>
                <w:rFonts w:ascii="宋体" w:hAnsi="宋体" w:hint="eastAsia"/>
                <w:spacing w:val="-4"/>
                <w:kern w:val="0"/>
                <w:szCs w:val="21"/>
              </w:rPr>
              <w:t>支队，辖市、区大队</w:t>
            </w:r>
          </w:p>
        </w:tc>
      </w:tr>
      <w:tr w:rsidR="008D40E8">
        <w:trPr>
          <w:trHeight w:val="454"/>
        </w:trPr>
        <w:tc>
          <w:tcPr>
            <w:tcW w:w="1115" w:type="dxa"/>
            <w:vMerge/>
            <w:tcBorders>
              <w:top w:val="single" w:sz="4" w:space="0" w:color="auto"/>
              <w:left w:val="single" w:sz="4" w:space="0" w:color="auto"/>
              <w:bottom w:val="single" w:sz="4" w:space="0" w:color="auto"/>
              <w:right w:val="single" w:sz="4" w:space="0" w:color="auto"/>
            </w:tcBorders>
            <w:vAlign w:val="center"/>
          </w:tcPr>
          <w:p w:rsidR="008D40E8" w:rsidRDefault="008D40E8">
            <w:pPr>
              <w:widowControl/>
              <w:spacing w:line="260" w:lineRule="exact"/>
              <w:jc w:val="left"/>
              <w:rPr>
                <w:rFonts w:ascii="宋体" w:hAnsi="宋体" w:cs="宋体"/>
                <w:spacing w:val="-4"/>
                <w:kern w:val="0"/>
                <w:szCs w:val="21"/>
              </w:rPr>
            </w:pPr>
          </w:p>
        </w:tc>
        <w:tc>
          <w:tcPr>
            <w:tcW w:w="1400"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rPr>
                <w:rFonts w:ascii="宋体" w:hAnsi="宋体" w:cs="宋体"/>
                <w:spacing w:val="-4"/>
                <w:kern w:val="0"/>
                <w:szCs w:val="21"/>
              </w:rPr>
            </w:pPr>
            <w:r>
              <w:rPr>
                <w:rFonts w:ascii="宋体" w:hAnsi="宋体" w:cs="宋体" w:hint="eastAsia"/>
                <w:spacing w:val="-4"/>
                <w:kern w:val="0"/>
                <w:szCs w:val="21"/>
              </w:rPr>
              <w:t>绩效考核</w:t>
            </w:r>
          </w:p>
        </w:tc>
        <w:tc>
          <w:tcPr>
            <w:tcW w:w="9928"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rPr>
                <w:rFonts w:asciiTheme="minorEastAsia" w:eastAsiaTheme="minorEastAsia" w:hAnsiTheme="minorEastAsia" w:cstheme="minorEastAsia"/>
              </w:rPr>
            </w:pPr>
            <w:r>
              <w:rPr>
                <w:rFonts w:asciiTheme="minorEastAsia" w:eastAsiaTheme="minorEastAsia" w:hAnsiTheme="minorEastAsia" w:cstheme="minorEastAsia" w:hint="eastAsia"/>
              </w:rPr>
              <w:t>作为城市管理行政执法机构和行政执法人员日常管理及绩效考核的重要内容。</w:t>
            </w:r>
          </w:p>
        </w:tc>
        <w:tc>
          <w:tcPr>
            <w:tcW w:w="1872" w:type="dxa"/>
            <w:tcBorders>
              <w:top w:val="single" w:sz="4" w:space="0" w:color="auto"/>
              <w:left w:val="single" w:sz="4" w:space="0" w:color="auto"/>
              <w:bottom w:val="single" w:sz="4" w:space="0" w:color="auto"/>
              <w:right w:val="single" w:sz="4" w:space="0" w:color="auto"/>
            </w:tcBorders>
            <w:vAlign w:val="center"/>
          </w:tcPr>
          <w:p w:rsidR="008D40E8" w:rsidRDefault="0062585F">
            <w:pPr>
              <w:widowControl/>
              <w:spacing w:line="260" w:lineRule="exact"/>
              <w:ind w:leftChars="-20" w:left="-42" w:rightChars="-20" w:right="-42"/>
              <w:jc w:val="center"/>
            </w:pPr>
            <w:r>
              <w:rPr>
                <w:rFonts w:ascii="宋体" w:hAnsi="宋体" w:hint="eastAsia"/>
                <w:spacing w:val="-4"/>
                <w:kern w:val="0"/>
                <w:szCs w:val="21"/>
              </w:rPr>
              <w:t>支队，辖市、区大队</w:t>
            </w:r>
          </w:p>
        </w:tc>
      </w:tr>
    </w:tbl>
    <w:p w:rsidR="008D40E8" w:rsidRDefault="008D40E8">
      <w:pPr>
        <w:rPr>
          <w:b/>
          <w:sz w:val="36"/>
          <w:szCs w:val="36"/>
        </w:rPr>
        <w:sectPr w:rsidR="008D40E8">
          <w:footerReference w:type="even" r:id="rId8"/>
          <w:footerReference w:type="default" r:id="rId9"/>
          <w:pgSz w:w="16838" w:h="11906" w:orient="landscape"/>
          <w:pgMar w:top="1020" w:right="720" w:bottom="283" w:left="720" w:header="709" w:footer="1361" w:gutter="0"/>
          <w:cols w:space="0"/>
          <w:docGrid w:type="linesAndChars" w:linePitch="312"/>
        </w:sectPr>
      </w:pPr>
    </w:p>
    <w:p w:rsidR="008D40E8" w:rsidRDefault="008D40E8" w:rsidP="00887CF9">
      <w:pPr>
        <w:spacing w:before="240" w:line="400" w:lineRule="exact"/>
        <w:rPr>
          <w:rFonts w:ascii="仿宋" w:eastAsia="仿宋" w:hAnsi="仿宋"/>
          <w:sz w:val="28"/>
          <w:szCs w:val="28"/>
        </w:rPr>
      </w:pPr>
      <w:bookmarkStart w:id="0" w:name="_GoBack"/>
      <w:bookmarkEnd w:id="0"/>
    </w:p>
    <w:sectPr w:rsidR="008D40E8" w:rsidSect="00887CF9">
      <w:pgSz w:w="16838" w:h="11906" w:orient="landscape"/>
      <w:pgMar w:top="1531" w:right="2098" w:bottom="1531" w:left="1985" w:header="709" w:footer="1361"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4C97" w:rsidRDefault="006F4C97">
      <w:r>
        <w:separator/>
      </w:r>
    </w:p>
  </w:endnote>
  <w:endnote w:type="continuationSeparator" w:id="0">
    <w:p w:rsidR="006F4C97" w:rsidRDefault="006F4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方正小标宋简体">
    <w:panose1 w:val="03000509000000000000"/>
    <w:charset w:val="86"/>
    <w:family w:val="script"/>
    <w:pitch w:val="fixed"/>
    <w:sig w:usb0="00000001" w:usb1="080E0000" w:usb2="00000010" w:usb3="00000000" w:csb0="00040000" w:csb1="00000000"/>
    <w:embedRegular r:id="rId1" w:subsetted="1" w:fontKey="{74CCBB8A-3AD2-440D-BB9E-C3EF88E80761}"/>
  </w:font>
  <w:font w:name="黑体">
    <w:altName w:val="SimHei"/>
    <w:panose1 w:val="02010609060101010101"/>
    <w:charset w:val="86"/>
    <w:family w:val="modern"/>
    <w:pitch w:val="fixed"/>
    <w:sig w:usb0="800002BF" w:usb1="38CF7CFA" w:usb2="00000016" w:usb3="00000000" w:csb0="00040001" w:csb1="00000000"/>
    <w:embedRegular r:id="rId2" w:subsetted="1" w:fontKey="{E96626FA-E3A7-4E96-B7F5-65F8103A432E}"/>
  </w:font>
  <w:font w:name="仿宋_GB2312">
    <w:panose1 w:val="02010609030101010101"/>
    <w:charset w:val="86"/>
    <w:family w:val="modern"/>
    <w:pitch w:val="fixed"/>
    <w:sig w:usb0="00000001" w:usb1="080E0000" w:usb2="00000010" w:usb3="00000000" w:csb0="00040000" w:csb1="00000000"/>
    <w:embedRegular r:id="rId3" w:subsetted="1" w:fontKey="{36A1306C-564D-4AC6-9CBD-9A7D00E5F06B}"/>
  </w:font>
  <w:font w:name="隶书">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585F" w:rsidRDefault="0062585F">
    <w:pPr>
      <w:pStyle w:val="a4"/>
      <w:framePr w:wrap="around" w:vAnchor="text" w:hAnchor="margin" w:xAlign="outside" w:y="1"/>
      <w:rPr>
        <w:rStyle w:val="a6"/>
      </w:rPr>
    </w:pPr>
    <w:r>
      <w:fldChar w:fldCharType="begin"/>
    </w:r>
    <w:r>
      <w:rPr>
        <w:rStyle w:val="a6"/>
      </w:rPr>
      <w:instrText xml:space="preserve">PAGE  </w:instrText>
    </w:r>
    <w:r>
      <w:fldChar w:fldCharType="end"/>
    </w:r>
  </w:p>
  <w:p w:rsidR="0062585F" w:rsidRDefault="0062585F">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585F" w:rsidRDefault="0062585F">
    <w:pPr>
      <w:pStyle w:val="a4"/>
      <w:framePr w:h="1451" w:hRule="exact" w:wrap="around" w:vAnchor="text" w:hAnchor="margin" w:xAlign="outside" w:y="367"/>
      <w:ind w:right="296" w:firstLine="280"/>
      <w:rPr>
        <w:rStyle w:val="a6"/>
        <w:rFonts w:ascii="仿宋_GB2312" w:eastAsia="仿宋_GB2312"/>
        <w:sz w:val="28"/>
        <w:szCs w:val="28"/>
      </w:rPr>
    </w:pPr>
    <w:r>
      <w:rPr>
        <w:rStyle w:val="a6"/>
        <w:rFonts w:ascii="仿宋_GB2312" w:eastAsia="仿宋_GB2312" w:hint="eastAsia"/>
        <w:sz w:val="28"/>
        <w:szCs w:val="28"/>
      </w:rPr>
      <w:t xml:space="preserve">— </w:t>
    </w:r>
    <w:r>
      <w:rPr>
        <w:rFonts w:eastAsia="隶书"/>
        <w:sz w:val="28"/>
        <w:szCs w:val="28"/>
      </w:rPr>
      <w:fldChar w:fldCharType="begin"/>
    </w:r>
    <w:r>
      <w:rPr>
        <w:rStyle w:val="a6"/>
        <w:rFonts w:eastAsia="隶书"/>
        <w:sz w:val="28"/>
        <w:szCs w:val="28"/>
      </w:rPr>
      <w:instrText xml:space="preserve">PAGE  </w:instrText>
    </w:r>
    <w:r>
      <w:rPr>
        <w:rFonts w:eastAsia="隶书"/>
        <w:sz w:val="28"/>
        <w:szCs w:val="28"/>
      </w:rPr>
      <w:fldChar w:fldCharType="separate"/>
    </w:r>
    <w:r w:rsidR="00887CF9">
      <w:rPr>
        <w:rStyle w:val="a6"/>
        <w:rFonts w:eastAsia="隶书"/>
        <w:noProof/>
        <w:sz w:val="28"/>
        <w:szCs w:val="28"/>
      </w:rPr>
      <w:t>1</w:t>
    </w:r>
    <w:r>
      <w:rPr>
        <w:rFonts w:eastAsia="隶书"/>
        <w:sz w:val="28"/>
        <w:szCs w:val="28"/>
      </w:rPr>
      <w:fldChar w:fldCharType="end"/>
    </w:r>
    <w:r>
      <w:rPr>
        <w:rStyle w:val="a6"/>
        <w:rFonts w:eastAsia="隶书" w:hint="eastAsia"/>
        <w:sz w:val="28"/>
        <w:szCs w:val="28"/>
      </w:rPr>
      <w:t xml:space="preserve"> </w:t>
    </w:r>
    <w:r>
      <w:rPr>
        <w:rStyle w:val="a6"/>
        <w:rFonts w:ascii="仿宋_GB2312" w:eastAsia="仿宋_GB2312" w:hint="eastAsia"/>
        <w:sz w:val="28"/>
        <w:szCs w:val="28"/>
      </w:rPr>
      <w:t>—</w:t>
    </w:r>
  </w:p>
  <w:p w:rsidR="0062585F" w:rsidRDefault="0062585F">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4C97" w:rsidRDefault="006F4C97">
      <w:r>
        <w:separator/>
      </w:r>
    </w:p>
  </w:footnote>
  <w:footnote w:type="continuationSeparator" w:id="0">
    <w:p w:rsidR="006F4C97" w:rsidRDefault="006F4C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24D"/>
    <w:rsid w:val="00000573"/>
    <w:rsid w:val="00011AE0"/>
    <w:rsid w:val="00016907"/>
    <w:rsid w:val="000203D7"/>
    <w:rsid w:val="00022C6E"/>
    <w:rsid w:val="00026350"/>
    <w:rsid w:val="00031D5F"/>
    <w:rsid w:val="00031DDA"/>
    <w:rsid w:val="000354E2"/>
    <w:rsid w:val="000431B9"/>
    <w:rsid w:val="00044C5F"/>
    <w:rsid w:val="000464C9"/>
    <w:rsid w:val="00051B92"/>
    <w:rsid w:val="000566E3"/>
    <w:rsid w:val="00061F67"/>
    <w:rsid w:val="00065D5E"/>
    <w:rsid w:val="00066BD5"/>
    <w:rsid w:val="00073972"/>
    <w:rsid w:val="00074196"/>
    <w:rsid w:val="00075E0F"/>
    <w:rsid w:val="00076575"/>
    <w:rsid w:val="000808A8"/>
    <w:rsid w:val="00081455"/>
    <w:rsid w:val="00082531"/>
    <w:rsid w:val="0008728D"/>
    <w:rsid w:val="000913A6"/>
    <w:rsid w:val="0009198E"/>
    <w:rsid w:val="00091D98"/>
    <w:rsid w:val="000938F1"/>
    <w:rsid w:val="000967A0"/>
    <w:rsid w:val="00097540"/>
    <w:rsid w:val="000A0CF6"/>
    <w:rsid w:val="000A2947"/>
    <w:rsid w:val="000A4AEF"/>
    <w:rsid w:val="000A5533"/>
    <w:rsid w:val="000B0CF7"/>
    <w:rsid w:val="000B2D87"/>
    <w:rsid w:val="000B4E42"/>
    <w:rsid w:val="000B5989"/>
    <w:rsid w:val="000C087C"/>
    <w:rsid w:val="000C1A5D"/>
    <w:rsid w:val="000C629D"/>
    <w:rsid w:val="000C739A"/>
    <w:rsid w:val="000C7E34"/>
    <w:rsid w:val="000C7F72"/>
    <w:rsid w:val="000D0A53"/>
    <w:rsid w:val="000D1B2A"/>
    <w:rsid w:val="000D2D89"/>
    <w:rsid w:val="000D4555"/>
    <w:rsid w:val="000E0C34"/>
    <w:rsid w:val="000E2990"/>
    <w:rsid w:val="000E6396"/>
    <w:rsid w:val="000F15F0"/>
    <w:rsid w:val="000F4321"/>
    <w:rsid w:val="000F517F"/>
    <w:rsid w:val="000F5B00"/>
    <w:rsid w:val="000F5C38"/>
    <w:rsid w:val="000F7A9A"/>
    <w:rsid w:val="00100025"/>
    <w:rsid w:val="00105DB2"/>
    <w:rsid w:val="00110C36"/>
    <w:rsid w:val="0011257B"/>
    <w:rsid w:val="00112F4E"/>
    <w:rsid w:val="001174DC"/>
    <w:rsid w:val="00120F1B"/>
    <w:rsid w:val="00131012"/>
    <w:rsid w:val="0013171D"/>
    <w:rsid w:val="00132465"/>
    <w:rsid w:val="00133421"/>
    <w:rsid w:val="00135AF0"/>
    <w:rsid w:val="00135D15"/>
    <w:rsid w:val="00146071"/>
    <w:rsid w:val="00146F54"/>
    <w:rsid w:val="001474B1"/>
    <w:rsid w:val="00151CFE"/>
    <w:rsid w:val="00157A78"/>
    <w:rsid w:val="00157B72"/>
    <w:rsid w:val="00170954"/>
    <w:rsid w:val="00175ECD"/>
    <w:rsid w:val="00176A32"/>
    <w:rsid w:val="0018417E"/>
    <w:rsid w:val="001865B4"/>
    <w:rsid w:val="00186E77"/>
    <w:rsid w:val="00191ECC"/>
    <w:rsid w:val="00193224"/>
    <w:rsid w:val="0019638E"/>
    <w:rsid w:val="001A6E30"/>
    <w:rsid w:val="001C0C85"/>
    <w:rsid w:val="001D58EC"/>
    <w:rsid w:val="001D69EB"/>
    <w:rsid w:val="001E2603"/>
    <w:rsid w:val="001E38F8"/>
    <w:rsid w:val="001E3EF4"/>
    <w:rsid w:val="001E6394"/>
    <w:rsid w:val="001E7C71"/>
    <w:rsid w:val="001F0195"/>
    <w:rsid w:val="001F202F"/>
    <w:rsid w:val="001F33A6"/>
    <w:rsid w:val="001F4A79"/>
    <w:rsid w:val="001F654B"/>
    <w:rsid w:val="0020169C"/>
    <w:rsid w:val="00201F8F"/>
    <w:rsid w:val="00202D64"/>
    <w:rsid w:val="00203EDC"/>
    <w:rsid w:val="002123C5"/>
    <w:rsid w:val="00213FD5"/>
    <w:rsid w:val="00215038"/>
    <w:rsid w:val="00215956"/>
    <w:rsid w:val="00220DD9"/>
    <w:rsid w:val="00227C38"/>
    <w:rsid w:val="002323FE"/>
    <w:rsid w:val="0023389F"/>
    <w:rsid w:val="002338FF"/>
    <w:rsid w:val="002355BF"/>
    <w:rsid w:val="00242A43"/>
    <w:rsid w:val="00242B22"/>
    <w:rsid w:val="00244DA8"/>
    <w:rsid w:val="0024721E"/>
    <w:rsid w:val="00256AD8"/>
    <w:rsid w:val="00257BF4"/>
    <w:rsid w:val="0026282D"/>
    <w:rsid w:val="002667E9"/>
    <w:rsid w:val="002702D4"/>
    <w:rsid w:val="0027378C"/>
    <w:rsid w:val="00277CDB"/>
    <w:rsid w:val="00277D8D"/>
    <w:rsid w:val="00280DCD"/>
    <w:rsid w:val="0028125E"/>
    <w:rsid w:val="002837C6"/>
    <w:rsid w:val="00283A75"/>
    <w:rsid w:val="00284DBB"/>
    <w:rsid w:val="00287CAD"/>
    <w:rsid w:val="0029594D"/>
    <w:rsid w:val="00295C5B"/>
    <w:rsid w:val="002A6D6F"/>
    <w:rsid w:val="002B0A9E"/>
    <w:rsid w:val="002B1F7D"/>
    <w:rsid w:val="002B31B6"/>
    <w:rsid w:val="002B519C"/>
    <w:rsid w:val="002B6772"/>
    <w:rsid w:val="002C1405"/>
    <w:rsid w:val="002C23DF"/>
    <w:rsid w:val="002C3BC3"/>
    <w:rsid w:val="002C4330"/>
    <w:rsid w:val="002C4D6F"/>
    <w:rsid w:val="002D0E64"/>
    <w:rsid w:val="002D1554"/>
    <w:rsid w:val="002D1FAF"/>
    <w:rsid w:val="002D46C1"/>
    <w:rsid w:val="002D561B"/>
    <w:rsid w:val="002E0E1C"/>
    <w:rsid w:val="002E1DE4"/>
    <w:rsid w:val="002E26A7"/>
    <w:rsid w:val="002E4E37"/>
    <w:rsid w:val="002F3E53"/>
    <w:rsid w:val="002F6DB9"/>
    <w:rsid w:val="0030053F"/>
    <w:rsid w:val="00303F86"/>
    <w:rsid w:val="00304821"/>
    <w:rsid w:val="003056B8"/>
    <w:rsid w:val="00306BE8"/>
    <w:rsid w:val="00307EA9"/>
    <w:rsid w:val="00314BC3"/>
    <w:rsid w:val="00316B8C"/>
    <w:rsid w:val="00316EB6"/>
    <w:rsid w:val="0032199A"/>
    <w:rsid w:val="00322224"/>
    <w:rsid w:val="00324373"/>
    <w:rsid w:val="00324ABA"/>
    <w:rsid w:val="00337750"/>
    <w:rsid w:val="00342A7A"/>
    <w:rsid w:val="00346F5B"/>
    <w:rsid w:val="00347610"/>
    <w:rsid w:val="00350334"/>
    <w:rsid w:val="003537C7"/>
    <w:rsid w:val="003549B3"/>
    <w:rsid w:val="003666F0"/>
    <w:rsid w:val="0037157C"/>
    <w:rsid w:val="00375A61"/>
    <w:rsid w:val="003815B2"/>
    <w:rsid w:val="003838F9"/>
    <w:rsid w:val="00383CF2"/>
    <w:rsid w:val="003861CF"/>
    <w:rsid w:val="0038674B"/>
    <w:rsid w:val="00395D11"/>
    <w:rsid w:val="003A0109"/>
    <w:rsid w:val="003A3EED"/>
    <w:rsid w:val="003B39F8"/>
    <w:rsid w:val="003C303D"/>
    <w:rsid w:val="003C6145"/>
    <w:rsid w:val="003C69EF"/>
    <w:rsid w:val="003D3A1C"/>
    <w:rsid w:val="003E29D8"/>
    <w:rsid w:val="003E3CD2"/>
    <w:rsid w:val="003E5E5C"/>
    <w:rsid w:val="003F1863"/>
    <w:rsid w:val="003F1A2A"/>
    <w:rsid w:val="003F3FB7"/>
    <w:rsid w:val="003F46A0"/>
    <w:rsid w:val="003F498B"/>
    <w:rsid w:val="004007CA"/>
    <w:rsid w:val="0040696B"/>
    <w:rsid w:val="0041225E"/>
    <w:rsid w:val="00413566"/>
    <w:rsid w:val="00420E69"/>
    <w:rsid w:val="004212CD"/>
    <w:rsid w:val="004235D7"/>
    <w:rsid w:val="004263A1"/>
    <w:rsid w:val="004340A9"/>
    <w:rsid w:val="004418B1"/>
    <w:rsid w:val="00441F8F"/>
    <w:rsid w:val="00442A6A"/>
    <w:rsid w:val="004437EB"/>
    <w:rsid w:val="004441D5"/>
    <w:rsid w:val="004460CA"/>
    <w:rsid w:val="00451EF0"/>
    <w:rsid w:val="00451F11"/>
    <w:rsid w:val="004533DF"/>
    <w:rsid w:val="00454DEE"/>
    <w:rsid w:val="0045654A"/>
    <w:rsid w:val="00457956"/>
    <w:rsid w:val="004622B9"/>
    <w:rsid w:val="0046261C"/>
    <w:rsid w:val="00462C45"/>
    <w:rsid w:val="00484AE0"/>
    <w:rsid w:val="004927F5"/>
    <w:rsid w:val="00494573"/>
    <w:rsid w:val="004973E1"/>
    <w:rsid w:val="004A031D"/>
    <w:rsid w:val="004A0D74"/>
    <w:rsid w:val="004A309F"/>
    <w:rsid w:val="004B2E39"/>
    <w:rsid w:val="004C0367"/>
    <w:rsid w:val="004C4A95"/>
    <w:rsid w:val="004C549B"/>
    <w:rsid w:val="004C5B9C"/>
    <w:rsid w:val="004C5C38"/>
    <w:rsid w:val="004C7880"/>
    <w:rsid w:val="004D496B"/>
    <w:rsid w:val="004D6178"/>
    <w:rsid w:val="004D6DE9"/>
    <w:rsid w:val="004E440B"/>
    <w:rsid w:val="004F0A09"/>
    <w:rsid w:val="004F50AD"/>
    <w:rsid w:val="004F7B04"/>
    <w:rsid w:val="00501993"/>
    <w:rsid w:val="005041DC"/>
    <w:rsid w:val="00504C6B"/>
    <w:rsid w:val="0050502A"/>
    <w:rsid w:val="00506E45"/>
    <w:rsid w:val="005121A2"/>
    <w:rsid w:val="005132DF"/>
    <w:rsid w:val="0051535B"/>
    <w:rsid w:val="0052279E"/>
    <w:rsid w:val="00523176"/>
    <w:rsid w:val="005241ED"/>
    <w:rsid w:val="005243EF"/>
    <w:rsid w:val="0053362A"/>
    <w:rsid w:val="005411FE"/>
    <w:rsid w:val="005451BF"/>
    <w:rsid w:val="005464E3"/>
    <w:rsid w:val="005474F2"/>
    <w:rsid w:val="00552DEB"/>
    <w:rsid w:val="00554DA4"/>
    <w:rsid w:val="00571556"/>
    <w:rsid w:val="005721F1"/>
    <w:rsid w:val="0057404B"/>
    <w:rsid w:val="0057642F"/>
    <w:rsid w:val="0057714C"/>
    <w:rsid w:val="005807FB"/>
    <w:rsid w:val="00581D67"/>
    <w:rsid w:val="00586167"/>
    <w:rsid w:val="005867FC"/>
    <w:rsid w:val="005874E4"/>
    <w:rsid w:val="00590A60"/>
    <w:rsid w:val="005A1589"/>
    <w:rsid w:val="005A46AD"/>
    <w:rsid w:val="005A4AFA"/>
    <w:rsid w:val="005A6CC7"/>
    <w:rsid w:val="005C212E"/>
    <w:rsid w:val="005C2791"/>
    <w:rsid w:val="005C6A01"/>
    <w:rsid w:val="005C7667"/>
    <w:rsid w:val="005D0899"/>
    <w:rsid w:val="005D70C0"/>
    <w:rsid w:val="005D7EA9"/>
    <w:rsid w:val="005E14AE"/>
    <w:rsid w:val="005E22A8"/>
    <w:rsid w:val="005E4B1F"/>
    <w:rsid w:val="005E4CF9"/>
    <w:rsid w:val="005E5B46"/>
    <w:rsid w:val="005F0403"/>
    <w:rsid w:val="005F0EF9"/>
    <w:rsid w:val="005F2A2B"/>
    <w:rsid w:val="005F3EEB"/>
    <w:rsid w:val="005F5BEE"/>
    <w:rsid w:val="005F5C8F"/>
    <w:rsid w:val="005F617E"/>
    <w:rsid w:val="00604302"/>
    <w:rsid w:val="00605D19"/>
    <w:rsid w:val="00610855"/>
    <w:rsid w:val="00612FE0"/>
    <w:rsid w:val="00614921"/>
    <w:rsid w:val="00615618"/>
    <w:rsid w:val="0061774E"/>
    <w:rsid w:val="0061776C"/>
    <w:rsid w:val="00624A94"/>
    <w:rsid w:val="0062585F"/>
    <w:rsid w:val="006274AA"/>
    <w:rsid w:val="00630FA1"/>
    <w:rsid w:val="00645526"/>
    <w:rsid w:val="0064640A"/>
    <w:rsid w:val="00647758"/>
    <w:rsid w:val="00650C08"/>
    <w:rsid w:val="00651580"/>
    <w:rsid w:val="00651EA8"/>
    <w:rsid w:val="00652190"/>
    <w:rsid w:val="00653B0D"/>
    <w:rsid w:val="0065484C"/>
    <w:rsid w:val="00662BCD"/>
    <w:rsid w:val="006634F4"/>
    <w:rsid w:val="00670FB5"/>
    <w:rsid w:val="00682498"/>
    <w:rsid w:val="00682DCD"/>
    <w:rsid w:val="00683839"/>
    <w:rsid w:val="00686DD3"/>
    <w:rsid w:val="00697498"/>
    <w:rsid w:val="00697BE0"/>
    <w:rsid w:val="006A19FC"/>
    <w:rsid w:val="006A557E"/>
    <w:rsid w:val="006A6567"/>
    <w:rsid w:val="006A7FA8"/>
    <w:rsid w:val="006B0191"/>
    <w:rsid w:val="006B55A5"/>
    <w:rsid w:val="006C2DB5"/>
    <w:rsid w:val="006C6FB5"/>
    <w:rsid w:val="006C71D5"/>
    <w:rsid w:val="006E2258"/>
    <w:rsid w:val="006E2309"/>
    <w:rsid w:val="006E26FB"/>
    <w:rsid w:val="006F011B"/>
    <w:rsid w:val="006F11C4"/>
    <w:rsid w:val="006F30D4"/>
    <w:rsid w:val="006F4C97"/>
    <w:rsid w:val="006F7429"/>
    <w:rsid w:val="007026F4"/>
    <w:rsid w:val="007113D2"/>
    <w:rsid w:val="00714F21"/>
    <w:rsid w:val="00723985"/>
    <w:rsid w:val="00726F75"/>
    <w:rsid w:val="00735C2F"/>
    <w:rsid w:val="00737641"/>
    <w:rsid w:val="0073775F"/>
    <w:rsid w:val="00741943"/>
    <w:rsid w:val="00742FC6"/>
    <w:rsid w:val="00744F03"/>
    <w:rsid w:val="00747F4F"/>
    <w:rsid w:val="00750EB9"/>
    <w:rsid w:val="007514D7"/>
    <w:rsid w:val="00751E90"/>
    <w:rsid w:val="00752492"/>
    <w:rsid w:val="007547EC"/>
    <w:rsid w:val="0075497F"/>
    <w:rsid w:val="00756D59"/>
    <w:rsid w:val="00764FA8"/>
    <w:rsid w:val="00770F10"/>
    <w:rsid w:val="00772E70"/>
    <w:rsid w:val="0077598F"/>
    <w:rsid w:val="00775BF6"/>
    <w:rsid w:val="0077769A"/>
    <w:rsid w:val="007805B7"/>
    <w:rsid w:val="00780BD2"/>
    <w:rsid w:val="00780C8B"/>
    <w:rsid w:val="00782085"/>
    <w:rsid w:val="00782417"/>
    <w:rsid w:val="00784D57"/>
    <w:rsid w:val="0078544D"/>
    <w:rsid w:val="00790142"/>
    <w:rsid w:val="00793AD0"/>
    <w:rsid w:val="007A05FD"/>
    <w:rsid w:val="007A3E4A"/>
    <w:rsid w:val="007A3FDC"/>
    <w:rsid w:val="007A4DB6"/>
    <w:rsid w:val="007B178A"/>
    <w:rsid w:val="007C0CC5"/>
    <w:rsid w:val="007D3045"/>
    <w:rsid w:val="007E19FD"/>
    <w:rsid w:val="007E52D3"/>
    <w:rsid w:val="007F03DC"/>
    <w:rsid w:val="007F2651"/>
    <w:rsid w:val="007F2D79"/>
    <w:rsid w:val="007F4132"/>
    <w:rsid w:val="007F68C7"/>
    <w:rsid w:val="007F7F46"/>
    <w:rsid w:val="00803F05"/>
    <w:rsid w:val="0081004E"/>
    <w:rsid w:val="00810170"/>
    <w:rsid w:val="008104BB"/>
    <w:rsid w:val="0081086E"/>
    <w:rsid w:val="0081135B"/>
    <w:rsid w:val="008130AA"/>
    <w:rsid w:val="008146B7"/>
    <w:rsid w:val="00815E23"/>
    <w:rsid w:val="00820FD5"/>
    <w:rsid w:val="00822A7D"/>
    <w:rsid w:val="00824CB9"/>
    <w:rsid w:val="0082658B"/>
    <w:rsid w:val="00827651"/>
    <w:rsid w:val="00842007"/>
    <w:rsid w:val="008436F2"/>
    <w:rsid w:val="00852411"/>
    <w:rsid w:val="00852C32"/>
    <w:rsid w:val="00855506"/>
    <w:rsid w:val="0085772B"/>
    <w:rsid w:val="00863D47"/>
    <w:rsid w:val="008668E8"/>
    <w:rsid w:val="0087127A"/>
    <w:rsid w:val="00874B57"/>
    <w:rsid w:val="00876CE7"/>
    <w:rsid w:val="00877A1F"/>
    <w:rsid w:val="008814FD"/>
    <w:rsid w:val="00887CF9"/>
    <w:rsid w:val="0089102F"/>
    <w:rsid w:val="00892821"/>
    <w:rsid w:val="00893ED9"/>
    <w:rsid w:val="00896601"/>
    <w:rsid w:val="008A203F"/>
    <w:rsid w:val="008A2526"/>
    <w:rsid w:val="008A4BDB"/>
    <w:rsid w:val="008A6023"/>
    <w:rsid w:val="008B1A63"/>
    <w:rsid w:val="008B25F5"/>
    <w:rsid w:val="008B7556"/>
    <w:rsid w:val="008C007B"/>
    <w:rsid w:val="008C038C"/>
    <w:rsid w:val="008C0431"/>
    <w:rsid w:val="008C1362"/>
    <w:rsid w:val="008C513A"/>
    <w:rsid w:val="008C68ED"/>
    <w:rsid w:val="008C6EEB"/>
    <w:rsid w:val="008D3DDB"/>
    <w:rsid w:val="008D40E8"/>
    <w:rsid w:val="008D6CF8"/>
    <w:rsid w:val="008D6F06"/>
    <w:rsid w:val="008E3514"/>
    <w:rsid w:val="008F5B4E"/>
    <w:rsid w:val="008F5FAA"/>
    <w:rsid w:val="008F7A77"/>
    <w:rsid w:val="00900837"/>
    <w:rsid w:val="00900A09"/>
    <w:rsid w:val="009139C3"/>
    <w:rsid w:val="00913FDE"/>
    <w:rsid w:val="00915205"/>
    <w:rsid w:val="00917920"/>
    <w:rsid w:val="00920AF0"/>
    <w:rsid w:val="0092220B"/>
    <w:rsid w:val="0092346B"/>
    <w:rsid w:val="009250DC"/>
    <w:rsid w:val="0093002E"/>
    <w:rsid w:val="00931999"/>
    <w:rsid w:val="00937912"/>
    <w:rsid w:val="00943D71"/>
    <w:rsid w:val="009560FE"/>
    <w:rsid w:val="009607B1"/>
    <w:rsid w:val="00967E4D"/>
    <w:rsid w:val="00971AF9"/>
    <w:rsid w:val="00972F37"/>
    <w:rsid w:val="00974507"/>
    <w:rsid w:val="0098069C"/>
    <w:rsid w:val="00982CD2"/>
    <w:rsid w:val="00985059"/>
    <w:rsid w:val="00994AEB"/>
    <w:rsid w:val="009974B6"/>
    <w:rsid w:val="009975A6"/>
    <w:rsid w:val="00997D04"/>
    <w:rsid w:val="00997DD8"/>
    <w:rsid w:val="009A033D"/>
    <w:rsid w:val="009A52CB"/>
    <w:rsid w:val="009A57FF"/>
    <w:rsid w:val="009B19EF"/>
    <w:rsid w:val="009B58FA"/>
    <w:rsid w:val="009B61DB"/>
    <w:rsid w:val="009C1AE2"/>
    <w:rsid w:val="009C343A"/>
    <w:rsid w:val="009C5A85"/>
    <w:rsid w:val="009C6298"/>
    <w:rsid w:val="009C78B0"/>
    <w:rsid w:val="009D28AF"/>
    <w:rsid w:val="009D52E2"/>
    <w:rsid w:val="009D6125"/>
    <w:rsid w:val="009E1D98"/>
    <w:rsid w:val="009E25F2"/>
    <w:rsid w:val="009E3CE5"/>
    <w:rsid w:val="009E3EC3"/>
    <w:rsid w:val="009E7675"/>
    <w:rsid w:val="009E778A"/>
    <w:rsid w:val="009F1D69"/>
    <w:rsid w:val="009F5390"/>
    <w:rsid w:val="009F7D45"/>
    <w:rsid w:val="00A00E35"/>
    <w:rsid w:val="00A01707"/>
    <w:rsid w:val="00A02F0F"/>
    <w:rsid w:val="00A2089D"/>
    <w:rsid w:val="00A22690"/>
    <w:rsid w:val="00A31B1C"/>
    <w:rsid w:val="00A322B7"/>
    <w:rsid w:val="00A33732"/>
    <w:rsid w:val="00A35C5D"/>
    <w:rsid w:val="00A37011"/>
    <w:rsid w:val="00A50715"/>
    <w:rsid w:val="00A51B24"/>
    <w:rsid w:val="00A541E4"/>
    <w:rsid w:val="00A548F3"/>
    <w:rsid w:val="00A558B0"/>
    <w:rsid w:val="00A608E6"/>
    <w:rsid w:val="00A624A0"/>
    <w:rsid w:val="00A62662"/>
    <w:rsid w:val="00A74599"/>
    <w:rsid w:val="00A74B25"/>
    <w:rsid w:val="00A802F6"/>
    <w:rsid w:val="00A92933"/>
    <w:rsid w:val="00A93340"/>
    <w:rsid w:val="00A95914"/>
    <w:rsid w:val="00A97065"/>
    <w:rsid w:val="00AA4B31"/>
    <w:rsid w:val="00AA509C"/>
    <w:rsid w:val="00AA7643"/>
    <w:rsid w:val="00AB0544"/>
    <w:rsid w:val="00AB0C74"/>
    <w:rsid w:val="00AB47F7"/>
    <w:rsid w:val="00AB4B31"/>
    <w:rsid w:val="00AC12E8"/>
    <w:rsid w:val="00AC24B9"/>
    <w:rsid w:val="00AC2D9F"/>
    <w:rsid w:val="00AC44F0"/>
    <w:rsid w:val="00AC7D22"/>
    <w:rsid w:val="00AD28A1"/>
    <w:rsid w:val="00AD4A81"/>
    <w:rsid w:val="00AD535A"/>
    <w:rsid w:val="00AE2925"/>
    <w:rsid w:val="00AE3BCF"/>
    <w:rsid w:val="00AE579F"/>
    <w:rsid w:val="00AF129B"/>
    <w:rsid w:val="00AF1A93"/>
    <w:rsid w:val="00AF27A3"/>
    <w:rsid w:val="00AF27AF"/>
    <w:rsid w:val="00AF3649"/>
    <w:rsid w:val="00AF3DA2"/>
    <w:rsid w:val="00AF58DD"/>
    <w:rsid w:val="00B00878"/>
    <w:rsid w:val="00B04E35"/>
    <w:rsid w:val="00B14884"/>
    <w:rsid w:val="00B17581"/>
    <w:rsid w:val="00B21962"/>
    <w:rsid w:val="00B22931"/>
    <w:rsid w:val="00B22ED8"/>
    <w:rsid w:val="00B27168"/>
    <w:rsid w:val="00B326F7"/>
    <w:rsid w:val="00B35C4A"/>
    <w:rsid w:val="00B36FE8"/>
    <w:rsid w:val="00B3781F"/>
    <w:rsid w:val="00B406F7"/>
    <w:rsid w:val="00B42A23"/>
    <w:rsid w:val="00B524B5"/>
    <w:rsid w:val="00B552A3"/>
    <w:rsid w:val="00B604B6"/>
    <w:rsid w:val="00B610B5"/>
    <w:rsid w:val="00B62DCD"/>
    <w:rsid w:val="00B63280"/>
    <w:rsid w:val="00B63BAA"/>
    <w:rsid w:val="00B65D15"/>
    <w:rsid w:val="00B67EE2"/>
    <w:rsid w:val="00B7307B"/>
    <w:rsid w:val="00B74B43"/>
    <w:rsid w:val="00B759FE"/>
    <w:rsid w:val="00B9347D"/>
    <w:rsid w:val="00B9512C"/>
    <w:rsid w:val="00B95FC4"/>
    <w:rsid w:val="00B96638"/>
    <w:rsid w:val="00B97CD2"/>
    <w:rsid w:val="00BA0949"/>
    <w:rsid w:val="00BA31DD"/>
    <w:rsid w:val="00BA5E63"/>
    <w:rsid w:val="00BB034F"/>
    <w:rsid w:val="00BB200A"/>
    <w:rsid w:val="00BC1326"/>
    <w:rsid w:val="00BC53D8"/>
    <w:rsid w:val="00BD64EB"/>
    <w:rsid w:val="00BD7C3E"/>
    <w:rsid w:val="00BE0119"/>
    <w:rsid w:val="00BE0507"/>
    <w:rsid w:val="00BE18CC"/>
    <w:rsid w:val="00BE2232"/>
    <w:rsid w:val="00BE23BC"/>
    <w:rsid w:val="00BE54D6"/>
    <w:rsid w:val="00BF15ED"/>
    <w:rsid w:val="00BF344A"/>
    <w:rsid w:val="00BF3F5C"/>
    <w:rsid w:val="00C019E0"/>
    <w:rsid w:val="00C061F7"/>
    <w:rsid w:val="00C0773D"/>
    <w:rsid w:val="00C10F52"/>
    <w:rsid w:val="00C112C5"/>
    <w:rsid w:val="00C113AC"/>
    <w:rsid w:val="00C13DB2"/>
    <w:rsid w:val="00C1580F"/>
    <w:rsid w:val="00C22781"/>
    <w:rsid w:val="00C22CAF"/>
    <w:rsid w:val="00C24F8B"/>
    <w:rsid w:val="00C25408"/>
    <w:rsid w:val="00C31BB4"/>
    <w:rsid w:val="00C344E2"/>
    <w:rsid w:val="00C3523B"/>
    <w:rsid w:val="00C352EF"/>
    <w:rsid w:val="00C356F7"/>
    <w:rsid w:val="00C35E46"/>
    <w:rsid w:val="00C40FC1"/>
    <w:rsid w:val="00C41878"/>
    <w:rsid w:val="00C41F8A"/>
    <w:rsid w:val="00C55F15"/>
    <w:rsid w:val="00C5622C"/>
    <w:rsid w:val="00C60BAD"/>
    <w:rsid w:val="00C67895"/>
    <w:rsid w:val="00C6793E"/>
    <w:rsid w:val="00C7079A"/>
    <w:rsid w:val="00C71205"/>
    <w:rsid w:val="00C745B2"/>
    <w:rsid w:val="00C749F9"/>
    <w:rsid w:val="00C85844"/>
    <w:rsid w:val="00C91A30"/>
    <w:rsid w:val="00C9273B"/>
    <w:rsid w:val="00C95EEB"/>
    <w:rsid w:val="00C97377"/>
    <w:rsid w:val="00CA463A"/>
    <w:rsid w:val="00CA527A"/>
    <w:rsid w:val="00CA7D4D"/>
    <w:rsid w:val="00CB0933"/>
    <w:rsid w:val="00CB644C"/>
    <w:rsid w:val="00CB65AF"/>
    <w:rsid w:val="00CB68BC"/>
    <w:rsid w:val="00CC02C1"/>
    <w:rsid w:val="00CC4FDD"/>
    <w:rsid w:val="00CC540C"/>
    <w:rsid w:val="00CD1CC9"/>
    <w:rsid w:val="00CD72B6"/>
    <w:rsid w:val="00CE4806"/>
    <w:rsid w:val="00CE5D24"/>
    <w:rsid w:val="00CE7FA1"/>
    <w:rsid w:val="00CF5B1F"/>
    <w:rsid w:val="00CF75E9"/>
    <w:rsid w:val="00D009A6"/>
    <w:rsid w:val="00D053F9"/>
    <w:rsid w:val="00D05C8B"/>
    <w:rsid w:val="00D16627"/>
    <w:rsid w:val="00D17FA9"/>
    <w:rsid w:val="00D2108C"/>
    <w:rsid w:val="00D22C77"/>
    <w:rsid w:val="00D235A1"/>
    <w:rsid w:val="00D313F6"/>
    <w:rsid w:val="00D327C8"/>
    <w:rsid w:val="00D33A9A"/>
    <w:rsid w:val="00D36D56"/>
    <w:rsid w:val="00D422D1"/>
    <w:rsid w:val="00D43BEB"/>
    <w:rsid w:val="00D44E89"/>
    <w:rsid w:val="00D516F7"/>
    <w:rsid w:val="00D602EC"/>
    <w:rsid w:val="00D61168"/>
    <w:rsid w:val="00D62993"/>
    <w:rsid w:val="00D62B52"/>
    <w:rsid w:val="00D7259B"/>
    <w:rsid w:val="00D73781"/>
    <w:rsid w:val="00D73AA1"/>
    <w:rsid w:val="00D73C65"/>
    <w:rsid w:val="00D74E82"/>
    <w:rsid w:val="00D7724D"/>
    <w:rsid w:val="00D80897"/>
    <w:rsid w:val="00D810A4"/>
    <w:rsid w:val="00D825F1"/>
    <w:rsid w:val="00D933C3"/>
    <w:rsid w:val="00D96174"/>
    <w:rsid w:val="00D9652D"/>
    <w:rsid w:val="00D9674A"/>
    <w:rsid w:val="00D967F7"/>
    <w:rsid w:val="00DA3ACA"/>
    <w:rsid w:val="00DA48FD"/>
    <w:rsid w:val="00DA5B41"/>
    <w:rsid w:val="00DA7DD9"/>
    <w:rsid w:val="00DA7E26"/>
    <w:rsid w:val="00DC0092"/>
    <w:rsid w:val="00DC0C2B"/>
    <w:rsid w:val="00DC1F29"/>
    <w:rsid w:val="00DC3EDA"/>
    <w:rsid w:val="00DC5562"/>
    <w:rsid w:val="00DC68DF"/>
    <w:rsid w:val="00DE3284"/>
    <w:rsid w:val="00DE3D8C"/>
    <w:rsid w:val="00DE5577"/>
    <w:rsid w:val="00DE64DF"/>
    <w:rsid w:val="00E0163C"/>
    <w:rsid w:val="00E0205C"/>
    <w:rsid w:val="00E022F3"/>
    <w:rsid w:val="00E02328"/>
    <w:rsid w:val="00E02BDD"/>
    <w:rsid w:val="00E04202"/>
    <w:rsid w:val="00E057D9"/>
    <w:rsid w:val="00E12FBC"/>
    <w:rsid w:val="00E1394E"/>
    <w:rsid w:val="00E32E26"/>
    <w:rsid w:val="00E36A93"/>
    <w:rsid w:val="00E37AFD"/>
    <w:rsid w:val="00E40CAE"/>
    <w:rsid w:val="00E41111"/>
    <w:rsid w:val="00E412C9"/>
    <w:rsid w:val="00E459D3"/>
    <w:rsid w:val="00E46553"/>
    <w:rsid w:val="00E46FB5"/>
    <w:rsid w:val="00E51428"/>
    <w:rsid w:val="00E535D5"/>
    <w:rsid w:val="00E603C9"/>
    <w:rsid w:val="00E6083E"/>
    <w:rsid w:val="00E63E8C"/>
    <w:rsid w:val="00E648ED"/>
    <w:rsid w:val="00E70CDD"/>
    <w:rsid w:val="00E71198"/>
    <w:rsid w:val="00E75DE0"/>
    <w:rsid w:val="00E75F1D"/>
    <w:rsid w:val="00E76E71"/>
    <w:rsid w:val="00E867DD"/>
    <w:rsid w:val="00E876C2"/>
    <w:rsid w:val="00E904D6"/>
    <w:rsid w:val="00E90F32"/>
    <w:rsid w:val="00E941CE"/>
    <w:rsid w:val="00E942FB"/>
    <w:rsid w:val="00E95C7B"/>
    <w:rsid w:val="00EA442D"/>
    <w:rsid w:val="00EA5D63"/>
    <w:rsid w:val="00EC0AA1"/>
    <w:rsid w:val="00EC5E71"/>
    <w:rsid w:val="00EC5EFA"/>
    <w:rsid w:val="00EC72CD"/>
    <w:rsid w:val="00ED1E28"/>
    <w:rsid w:val="00ED5482"/>
    <w:rsid w:val="00ED60F9"/>
    <w:rsid w:val="00EE3B7E"/>
    <w:rsid w:val="00EE5ECB"/>
    <w:rsid w:val="00EE6D22"/>
    <w:rsid w:val="00EF010F"/>
    <w:rsid w:val="00EF3343"/>
    <w:rsid w:val="00F02B4D"/>
    <w:rsid w:val="00F05F97"/>
    <w:rsid w:val="00F154DF"/>
    <w:rsid w:val="00F20167"/>
    <w:rsid w:val="00F22320"/>
    <w:rsid w:val="00F27E58"/>
    <w:rsid w:val="00F27F69"/>
    <w:rsid w:val="00F35854"/>
    <w:rsid w:val="00F42E86"/>
    <w:rsid w:val="00F45714"/>
    <w:rsid w:val="00F46320"/>
    <w:rsid w:val="00F517BB"/>
    <w:rsid w:val="00F52BA8"/>
    <w:rsid w:val="00F63B0A"/>
    <w:rsid w:val="00F653F1"/>
    <w:rsid w:val="00F66B6C"/>
    <w:rsid w:val="00F7249C"/>
    <w:rsid w:val="00F74933"/>
    <w:rsid w:val="00F74E15"/>
    <w:rsid w:val="00F76FB2"/>
    <w:rsid w:val="00F775FA"/>
    <w:rsid w:val="00F81991"/>
    <w:rsid w:val="00F83D6E"/>
    <w:rsid w:val="00F87ABC"/>
    <w:rsid w:val="00F915A3"/>
    <w:rsid w:val="00F9527B"/>
    <w:rsid w:val="00FA34A5"/>
    <w:rsid w:val="00FC132D"/>
    <w:rsid w:val="00FC240A"/>
    <w:rsid w:val="00FC63C7"/>
    <w:rsid w:val="00FD117A"/>
    <w:rsid w:val="00FD161F"/>
    <w:rsid w:val="00FE1126"/>
    <w:rsid w:val="00FE48A9"/>
    <w:rsid w:val="00FE5B56"/>
    <w:rsid w:val="00FF3475"/>
    <w:rsid w:val="00FF46D6"/>
    <w:rsid w:val="00FF4D29"/>
    <w:rsid w:val="00FF5FB4"/>
    <w:rsid w:val="00FF685F"/>
    <w:rsid w:val="00FF7B5F"/>
    <w:rsid w:val="022D1099"/>
    <w:rsid w:val="02E65E9F"/>
    <w:rsid w:val="03B172E0"/>
    <w:rsid w:val="05D37352"/>
    <w:rsid w:val="06BD3D09"/>
    <w:rsid w:val="0DC6786B"/>
    <w:rsid w:val="0E2E5828"/>
    <w:rsid w:val="0EC46DD8"/>
    <w:rsid w:val="11411021"/>
    <w:rsid w:val="11C0298E"/>
    <w:rsid w:val="141B1BBB"/>
    <w:rsid w:val="16E76622"/>
    <w:rsid w:val="1856596B"/>
    <w:rsid w:val="190A5C64"/>
    <w:rsid w:val="19BF6C61"/>
    <w:rsid w:val="1B170449"/>
    <w:rsid w:val="1BA82AD4"/>
    <w:rsid w:val="1C3C61C5"/>
    <w:rsid w:val="1D3A65CE"/>
    <w:rsid w:val="204834AC"/>
    <w:rsid w:val="21EF2377"/>
    <w:rsid w:val="21F7769B"/>
    <w:rsid w:val="224658C0"/>
    <w:rsid w:val="23537B83"/>
    <w:rsid w:val="24EF257E"/>
    <w:rsid w:val="25B56B7F"/>
    <w:rsid w:val="25E46366"/>
    <w:rsid w:val="29231B32"/>
    <w:rsid w:val="2A1976ED"/>
    <w:rsid w:val="2A493CD9"/>
    <w:rsid w:val="2E0F6697"/>
    <w:rsid w:val="2E993981"/>
    <w:rsid w:val="2EDB2A75"/>
    <w:rsid w:val="2EF607A2"/>
    <w:rsid w:val="2F021D4D"/>
    <w:rsid w:val="2F790605"/>
    <w:rsid w:val="2FB8601C"/>
    <w:rsid w:val="2FC347F0"/>
    <w:rsid w:val="3B0A569C"/>
    <w:rsid w:val="3C9115B1"/>
    <w:rsid w:val="3D3C1C20"/>
    <w:rsid w:val="3E956F21"/>
    <w:rsid w:val="3F0B62DF"/>
    <w:rsid w:val="3F15465E"/>
    <w:rsid w:val="3FA6041F"/>
    <w:rsid w:val="3FE439C5"/>
    <w:rsid w:val="40557C66"/>
    <w:rsid w:val="4344637B"/>
    <w:rsid w:val="441D2173"/>
    <w:rsid w:val="443C64A7"/>
    <w:rsid w:val="443F1C3F"/>
    <w:rsid w:val="44CC1927"/>
    <w:rsid w:val="47514393"/>
    <w:rsid w:val="484D020E"/>
    <w:rsid w:val="497C5285"/>
    <w:rsid w:val="4A5A5D5C"/>
    <w:rsid w:val="4A5E5E6C"/>
    <w:rsid w:val="4B48050C"/>
    <w:rsid w:val="4C541806"/>
    <w:rsid w:val="507D45DA"/>
    <w:rsid w:val="517C3FDA"/>
    <w:rsid w:val="51BE436F"/>
    <w:rsid w:val="5242439E"/>
    <w:rsid w:val="538909AF"/>
    <w:rsid w:val="53C77BFB"/>
    <w:rsid w:val="540236E4"/>
    <w:rsid w:val="550037A5"/>
    <w:rsid w:val="55C54B06"/>
    <w:rsid w:val="56845172"/>
    <w:rsid w:val="570704A4"/>
    <w:rsid w:val="57EC04B8"/>
    <w:rsid w:val="5B0A31E9"/>
    <w:rsid w:val="5E5557C4"/>
    <w:rsid w:val="5E710887"/>
    <w:rsid w:val="5F5A1FE1"/>
    <w:rsid w:val="60235ECC"/>
    <w:rsid w:val="6113624D"/>
    <w:rsid w:val="6141334B"/>
    <w:rsid w:val="619A65B8"/>
    <w:rsid w:val="629330AE"/>
    <w:rsid w:val="63695756"/>
    <w:rsid w:val="6500291E"/>
    <w:rsid w:val="661C5596"/>
    <w:rsid w:val="69504BFE"/>
    <w:rsid w:val="6C27755A"/>
    <w:rsid w:val="6C2B5227"/>
    <w:rsid w:val="6C905722"/>
    <w:rsid w:val="6E1971E4"/>
    <w:rsid w:val="6E2E03C4"/>
    <w:rsid w:val="72105BBF"/>
    <w:rsid w:val="7376186E"/>
    <w:rsid w:val="73952CB2"/>
    <w:rsid w:val="73FF1AEC"/>
    <w:rsid w:val="742A0F47"/>
    <w:rsid w:val="780B3E41"/>
    <w:rsid w:val="799E6DE4"/>
    <w:rsid w:val="7AD60AF3"/>
    <w:rsid w:val="7EE77C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Char"/>
    <w:basedOn w:val="a"/>
    <w:qFormat/>
    <w:pPr>
      <w:widowControl/>
      <w:spacing w:after="160" w:line="240" w:lineRule="exact"/>
      <w:jc w:val="left"/>
    </w:pPr>
    <w:rPr>
      <w:rFonts w:ascii="Arial" w:eastAsia="Times New Roman" w:hAnsi="Arial" w:cs="Verdana"/>
      <w:b/>
      <w:kern w:val="0"/>
      <w:sz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Char"/>
    <w:basedOn w:val="a"/>
    <w:qFormat/>
    <w:pPr>
      <w:widowControl/>
      <w:spacing w:after="160" w:line="240" w:lineRule="exact"/>
      <w:jc w:val="left"/>
    </w:pPr>
    <w:rPr>
      <w:rFonts w:ascii="Arial" w:eastAsia="Times New Roman" w:hAnsi="Arial" w:cs="Verdana"/>
      <w:b/>
      <w:kern w:val="0"/>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1593</Words>
  <Characters>9085</Characters>
  <Application>Microsoft Office Word</Application>
  <DocSecurity>0</DocSecurity>
  <Lines>75</Lines>
  <Paragraphs>21</Paragraphs>
  <ScaleCrop>false</ScaleCrop>
  <Company>Microsoft</Company>
  <LinksUpToDate>false</LinksUpToDate>
  <CharactersWithSpaces>10657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关于深化全市城管行政执法队伍</dc:title>
  <dc:creator>雨林木风</dc:creator>
  <cp:lastModifiedBy>pc</cp:lastModifiedBy>
  <cp:revision>2</cp:revision>
  <cp:lastPrinted>2018-12-18T03:51:00Z</cp:lastPrinted>
  <dcterms:created xsi:type="dcterms:W3CDTF">2019-01-03T08:32:00Z</dcterms:created>
  <dcterms:modified xsi:type="dcterms:W3CDTF">2019-01-03T08:32:00Z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