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616" w:type="dxa"/>
        <w:tblInd w:w="93" w:type="dxa"/>
        <w:tblLayout w:type="autofit"/>
        <w:tblCellMar>
          <w:top w:w="0" w:type="dxa"/>
          <w:left w:w="108" w:type="dxa"/>
          <w:bottom w:w="0" w:type="dxa"/>
          <w:right w:w="108" w:type="dxa"/>
        </w:tblCellMar>
      </w:tblPr>
      <w:tblGrid>
        <w:gridCol w:w="560"/>
        <w:gridCol w:w="846"/>
        <w:gridCol w:w="1434"/>
        <w:gridCol w:w="976"/>
        <w:gridCol w:w="6264"/>
        <w:gridCol w:w="2268"/>
        <w:gridCol w:w="2268"/>
      </w:tblGrid>
      <w:tr>
        <w:tblPrEx>
          <w:tblCellMar>
            <w:top w:w="0" w:type="dxa"/>
            <w:left w:w="108" w:type="dxa"/>
            <w:bottom w:w="0" w:type="dxa"/>
            <w:right w:w="108" w:type="dxa"/>
          </w:tblCellMar>
        </w:tblPrEx>
        <w:trPr>
          <w:trHeight w:val="915" w:hRule="atLeast"/>
        </w:trPr>
        <w:tc>
          <w:tcPr>
            <w:tcW w:w="14616" w:type="dxa"/>
            <w:gridSpan w:val="7"/>
            <w:tcBorders>
              <w:top w:val="nil"/>
              <w:left w:val="nil"/>
              <w:bottom w:val="nil"/>
              <w:right w:val="nil"/>
            </w:tcBorders>
            <w:vAlign w:val="center"/>
          </w:tcPr>
          <w:p>
            <w:pPr>
              <w:widowControl/>
              <w:jc w:val="left"/>
              <w:rPr>
                <w:rFonts w:ascii="黑体" w:hAnsi="黑体" w:eastAsia="黑体" w:cs="宋体"/>
                <w:kern w:val="0"/>
                <w:sz w:val="32"/>
                <w:szCs w:val="32"/>
              </w:rPr>
            </w:pPr>
            <w:r>
              <w:rPr>
                <w:rFonts w:hint="eastAsia" w:ascii="黑体" w:hAnsi="黑体" w:eastAsia="黑体" w:cs="宋体"/>
                <w:kern w:val="0"/>
                <w:sz w:val="32"/>
                <w:szCs w:val="32"/>
              </w:rPr>
              <w:t>附件：</w:t>
            </w:r>
          </w:p>
          <w:p>
            <w:pPr>
              <w:widowControl/>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江苏省“互联网</w:t>
            </w:r>
            <w:r>
              <w:rPr>
                <w:rFonts w:ascii="方正小标宋简体" w:hAnsi="宋体" w:eastAsia="方正小标宋简体" w:cs="宋体"/>
                <w:kern w:val="0"/>
                <w:sz w:val="44"/>
                <w:szCs w:val="44"/>
              </w:rPr>
              <w:t>+</w:t>
            </w:r>
            <w:r>
              <w:rPr>
                <w:rFonts w:hint="eastAsia" w:ascii="方正小标宋简体" w:hAnsi="宋体" w:eastAsia="方正小标宋简体" w:cs="宋体"/>
                <w:kern w:val="0"/>
                <w:sz w:val="44"/>
                <w:szCs w:val="44"/>
              </w:rPr>
              <w:t>护理服务”试点服务项目名录</w:t>
            </w:r>
          </w:p>
        </w:tc>
      </w:tr>
      <w:tr>
        <w:tblPrEx>
          <w:tblCellMar>
            <w:top w:w="0" w:type="dxa"/>
            <w:left w:w="108" w:type="dxa"/>
            <w:bottom w:w="0" w:type="dxa"/>
            <w:right w:w="108" w:type="dxa"/>
          </w:tblCellMar>
        </w:tblPrEx>
        <w:trPr>
          <w:trHeight w:val="450" w:hRule="atLeast"/>
        </w:trPr>
        <w:tc>
          <w:tcPr>
            <w:tcW w:w="560" w:type="dxa"/>
            <w:tcBorders>
              <w:top w:val="nil"/>
              <w:left w:val="nil"/>
              <w:bottom w:val="nil"/>
              <w:right w:val="nil"/>
            </w:tcBorders>
            <w:vAlign w:val="center"/>
          </w:tcPr>
          <w:p>
            <w:pPr>
              <w:widowControl/>
              <w:jc w:val="center"/>
              <w:rPr>
                <w:rFonts w:ascii="方正小标宋_GBK" w:hAnsi="宋体" w:eastAsia="方正小标宋_GBK" w:cs="宋体"/>
                <w:kern w:val="0"/>
                <w:sz w:val="40"/>
                <w:szCs w:val="40"/>
              </w:rPr>
            </w:pPr>
          </w:p>
        </w:tc>
        <w:tc>
          <w:tcPr>
            <w:tcW w:w="846" w:type="dxa"/>
            <w:tcBorders>
              <w:top w:val="nil"/>
              <w:left w:val="nil"/>
              <w:bottom w:val="nil"/>
              <w:right w:val="nil"/>
            </w:tcBorders>
            <w:vAlign w:val="center"/>
          </w:tcPr>
          <w:p>
            <w:pPr>
              <w:widowControl/>
              <w:jc w:val="center"/>
              <w:rPr>
                <w:rFonts w:ascii="方正小标宋_GBK" w:hAnsi="宋体" w:eastAsia="方正小标宋_GBK" w:cs="宋体"/>
                <w:kern w:val="0"/>
                <w:sz w:val="40"/>
                <w:szCs w:val="40"/>
              </w:rPr>
            </w:pPr>
          </w:p>
        </w:tc>
        <w:tc>
          <w:tcPr>
            <w:tcW w:w="1434" w:type="dxa"/>
            <w:tcBorders>
              <w:top w:val="nil"/>
              <w:left w:val="nil"/>
              <w:bottom w:val="nil"/>
              <w:right w:val="nil"/>
            </w:tcBorders>
            <w:vAlign w:val="center"/>
          </w:tcPr>
          <w:p>
            <w:pPr>
              <w:widowControl/>
              <w:jc w:val="center"/>
              <w:rPr>
                <w:rFonts w:ascii="方正小标宋_GBK" w:hAnsi="宋体" w:eastAsia="方正小标宋_GBK" w:cs="宋体"/>
                <w:kern w:val="0"/>
                <w:sz w:val="40"/>
                <w:szCs w:val="40"/>
              </w:rPr>
            </w:pPr>
          </w:p>
        </w:tc>
        <w:tc>
          <w:tcPr>
            <w:tcW w:w="976" w:type="dxa"/>
            <w:tcBorders>
              <w:top w:val="nil"/>
              <w:left w:val="nil"/>
              <w:bottom w:val="nil"/>
              <w:right w:val="nil"/>
            </w:tcBorders>
            <w:vAlign w:val="center"/>
          </w:tcPr>
          <w:p>
            <w:pPr>
              <w:widowControl/>
              <w:jc w:val="center"/>
              <w:rPr>
                <w:rFonts w:ascii="方正小标宋_GBK" w:hAnsi="宋体" w:eastAsia="方正小标宋_GBK" w:cs="宋体"/>
                <w:kern w:val="0"/>
                <w:sz w:val="40"/>
                <w:szCs w:val="40"/>
              </w:rPr>
            </w:pPr>
          </w:p>
        </w:tc>
        <w:tc>
          <w:tcPr>
            <w:tcW w:w="6264" w:type="dxa"/>
            <w:tcBorders>
              <w:top w:val="nil"/>
              <w:left w:val="nil"/>
              <w:bottom w:val="nil"/>
              <w:right w:val="nil"/>
            </w:tcBorders>
            <w:vAlign w:val="center"/>
          </w:tcPr>
          <w:p>
            <w:pPr>
              <w:widowControl/>
              <w:jc w:val="center"/>
              <w:rPr>
                <w:rFonts w:ascii="宋体" w:cs="宋体"/>
                <w:b/>
                <w:bCs/>
                <w:kern w:val="0"/>
                <w:sz w:val="28"/>
                <w:szCs w:val="28"/>
              </w:rPr>
            </w:pPr>
            <w:r>
              <w:rPr>
                <w:rFonts w:hint="eastAsia" w:ascii="宋体" w:hAnsi="宋体" w:cs="宋体"/>
                <w:b/>
                <w:bCs/>
                <w:kern w:val="0"/>
                <w:sz w:val="28"/>
                <w:szCs w:val="28"/>
              </w:rPr>
              <w:t>（</w:t>
            </w:r>
            <w:r>
              <w:rPr>
                <w:rFonts w:ascii="宋体" w:hAnsi="宋体" w:cs="宋体"/>
                <w:b/>
                <w:bCs/>
                <w:kern w:val="0"/>
                <w:sz w:val="28"/>
                <w:szCs w:val="28"/>
              </w:rPr>
              <w:t>43</w:t>
            </w:r>
            <w:r>
              <w:rPr>
                <w:rFonts w:hint="eastAsia" w:ascii="宋体" w:hAnsi="宋体" w:cs="宋体"/>
                <w:b/>
                <w:bCs/>
                <w:kern w:val="0"/>
                <w:sz w:val="28"/>
                <w:szCs w:val="28"/>
              </w:rPr>
              <w:t>项）</w:t>
            </w:r>
          </w:p>
        </w:tc>
        <w:tc>
          <w:tcPr>
            <w:tcW w:w="2268" w:type="dxa"/>
            <w:tcBorders>
              <w:top w:val="nil"/>
              <w:left w:val="nil"/>
              <w:bottom w:val="nil"/>
              <w:right w:val="nil"/>
            </w:tcBorders>
            <w:vAlign w:val="center"/>
          </w:tcPr>
          <w:p>
            <w:pPr>
              <w:widowControl/>
              <w:jc w:val="center"/>
              <w:rPr>
                <w:rFonts w:ascii="方正小标宋_GBK" w:hAnsi="宋体" w:eastAsia="方正小标宋_GBK" w:cs="宋体"/>
                <w:kern w:val="0"/>
                <w:sz w:val="40"/>
                <w:szCs w:val="40"/>
              </w:rPr>
            </w:pPr>
          </w:p>
        </w:tc>
        <w:tc>
          <w:tcPr>
            <w:tcW w:w="2268" w:type="dxa"/>
            <w:tcBorders>
              <w:top w:val="nil"/>
              <w:left w:val="nil"/>
              <w:bottom w:val="nil"/>
              <w:right w:val="nil"/>
            </w:tcBorders>
            <w:vAlign w:val="center"/>
          </w:tcPr>
          <w:p>
            <w:pPr>
              <w:widowControl/>
              <w:jc w:val="center"/>
              <w:rPr>
                <w:rFonts w:ascii="方正小标宋_GBK" w:hAnsi="宋体" w:eastAsia="方正小标宋_GBK" w:cs="宋体"/>
                <w:kern w:val="0"/>
                <w:sz w:val="40"/>
                <w:szCs w:val="40"/>
              </w:rPr>
            </w:pPr>
          </w:p>
        </w:tc>
      </w:tr>
      <w:tr>
        <w:tblPrEx>
          <w:tblCellMar>
            <w:top w:w="0" w:type="dxa"/>
            <w:left w:w="108" w:type="dxa"/>
            <w:bottom w:w="0" w:type="dxa"/>
            <w:right w:w="108" w:type="dxa"/>
          </w:tblCellMar>
        </w:tblPrEx>
        <w:trPr>
          <w:trHeight w:val="774" w:hRule="atLeast"/>
        </w:trPr>
        <w:tc>
          <w:tcPr>
            <w:tcW w:w="56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cs="宋体"/>
                <w:b/>
                <w:bCs/>
                <w:kern w:val="0"/>
                <w:sz w:val="28"/>
                <w:szCs w:val="28"/>
              </w:rPr>
            </w:pPr>
            <w:r>
              <w:rPr>
                <w:rFonts w:hint="eastAsia" w:ascii="宋体" w:hAnsi="宋体" w:cs="宋体"/>
                <w:b/>
                <w:bCs/>
                <w:kern w:val="0"/>
                <w:sz w:val="28"/>
                <w:szCs w:val="28"/>
              </w:rPr>
              <w:t>序号</w:t>
            </w:r>
          </w:p>
        </w:tc>
        <w:tc>
          <w:tcPr>
            <w:tcW w:w="846"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cs="宋体"/>
                <w:b/>
                <w:bCs/>
                <w:kern w:val="0"/>
                <w:sz w:val="28"/>
                <w:szCs w:val="28"/>
              </w:rPr>
            </w:pPr>
            <w:r>
              <w:rPr>
                <w:rFonts w:hint="eastAsia" w:ascii="宋体" w:hAnsi="宋体" w:cs="宋体"/>
                <w:b/>
                <w:bCs/>
                <w:kern w:val="0"/>
                <w:sz w:val="28"/>
                <w:szCs w:val="28"/>
              </w:rPr>
              <w:t>　</w:t>
            </w:r>
          </w:p>
        </w:tc>
        <w:tc>
          <w:tcPr>
            <w:tcW w:w="2410" w:type="dxa"/>
            <w:gridSpan w:val="2"/>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cs="宋体"/>
                <w:b/>
                <w:bCs/>
                <w:kern w:val="0"/>
                <w:sz w:val="28"/>
                <w:szCs w:val="28"/>
              </w:rPr>
            </w:pPr>
            <w:r>
              <w:rPr>
                <w:rFonts w:hint="eastAsia" w:ascii="宋体" w:hAnsi="宋体" w:cs="宋体"/>
                <w:b/>
                <w:bCs/>
                <w:kern w:val="0"/>
                <w:sz w:val="28"/>
                <w:szCs w:val="28"/>
              </w:rPr>
              <w:t>项目名称</w:t>
            </w:r>
          </w:p>
        </w:tc>
        <w:tc>
          <w:tcPr>
            <w:tcW w:w="6264"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cs="宋体"/>
                <w:b/>
                <w:bCs/>
                <w:kern w:val="0"/>
                <w:sz w:val="28"/>
                <w:szCs w:val="28"/>
              </w:rPr>
            </w:pPr>
            <w:r>
              <w:rPr>
                <w:rFonts w:hint="eastAsia" w:ascii="宋体" w:hAnsi="宋体" w:cs="宋体"/>
                <w:b/>
                <w:bCs/>
                <w:kern w:val="0"/>
                <w:sz w:val="28"/>
                <w:szCs w:val="28"/>
              </w:rPr>
              <w:t>项目内涵</w:t>
            </w:r>
          </w:p>
        </w:tc>
        <w:tc>
          <w:tcPr>
            <w:tcW w:w="2268"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cs="宋体"/>
                <w:b/>
                <w:bCs/>
                <w:kern w:val="0"/>
                <w:sz w:val="28"/>
                <w:szCs w:val="28"/>
              </w:rPr>
            </w:pPr>
            <w:r>
              <w:rPr>
                <w:rFonts w:hint="eastAsia" w:ascii="宋体" w:hAnsi="宋体" w:cs="宋体"/>
                <w:b/>
                <w:bCs/>
                <w:kern w:val="0"/>
                <w:sz w:val="28"/>
                <w:szCs w:val="28"/>
              </w:rPr>
              <w:t>人员条件</w:t>
            </w:r>
          </w:p>
        </w:tc>
        <w:tc>
          <w:tcPr>
            <w:tcW w:w="2268"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宋体" w:cs="宋体"/>
                <w:b/>
                <w:bCs/>
                <w:kern w:val="0"/>
                <w:sz w:val="28"/>
                <w:szCs w:val="28"/>
              </w:rPr>
            </w:pPr>
            <w:r>
              <w:rPr>
                <w:rFonts w:hint="eastAsia" w:ascii="宋体" w:hAnsi="宋体" w:cs="宋体"/>
                <w:b/>
                <w:bCs/>
                <w:kern w:val="0"/>
                <w:sz w:val="28"/>
                <w:szCs w:val="28"/>
              </w:rPr>
              <w:t>备注</w:t>
            </w:r>
          </w:p>
        </w:tc>
      </w:tr>
      <w:tr>
        <w:tblPrEx>
          <w:tblCellMar>
            <w:top w:w="0" w:type="dxa"/>
            <w:left w:w="108" w:type="dxa"/>
            <w:bottom w:w="0" w:type="dxa"/>
            <w:right w:w="108" w:type="dxa"/>
          </w:tblCellMar>
        </w:tblPrEx>
        <w:trPr>
          <w:trHeight w:val="600" w:hRule="atLeast"/>
        </w:trPr>
        <w:tc>
          <w:tcPr>
            <w:tcW w:w="14616"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cs="宋体"/>
                <w:b/>
                <w:bCs/>
                <w:kern w:val="0"/>
                <w:sz w:val="22"/>
                <w:szCs w:val="22"/>
              </w:rPr>
            </w:pPr>
            <w:r>
              <w:rPr>
                <w:rFonts w:hint="eastAsia" w:ascii="宋体" w:hAnsi="宋体" w:cs="宋体"/>
                <w:b/>
                <w:bCs/>
                <w:kern w:val="0"/>
                <w:sz w:val="22"/>
                <w:szCs w:val="22"/>
              </w:rPr>
              <w:t>线上服务项目（正面清单）</w:t>
            </w:r>
          </w:p>
        </w:tc>
      </w:tr>
      <w:tr>
        <w:tblPrEx>
          <w:tblCellMar>
            <w:top w:w="0" w:type="dxa"/>
            <w:left w:w="108" w:type="dxa"/>
            <w:bottom w:w="0" w:type="dxa"/>
            <w:right w:w="108" w:type="dxa"/>
          </w:tblCellMar>
        </w:tblPrEx>
        <w:trPr>
          <w:trHeight w:val="145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w:t>
            </w:r>
          </w:p>
        </w:tc>
        <w:tc>
          <w:tcPr>
            <w:tcW w:w="846" w:type="dxa"/>
            <w:vMerge w:val="restart"/>
            <w:tcBorders>
              <w:top w:val="nil"/>
              <w:left w:val="single" w:color="auto" w:sz="4" w:space="0"/>
              <w:bottom w:val="single" w:color="000000" w:sz="4" w:space="0"/>
              <w:right w:val="single" w:color="auto" w:sz="4" w:space="0"/>
            </w:tcBorders>
            <w:textDirection w:val="tbRlV"/>
            <w:vAlign w:val="center"/>
          </w:tcPr>
          <w:p>
            <w:pPr>
              <w:widowControl/>
              <w:jc w:val="center"/>
              <w:rPr>
                <w:rFonts w:ascii="宋体" w:cs="宋体"/>
                <w:b/>
                <w:bCs/>
                <w:kern w:val="0"/>
                <w:sz w:val="28"/>
                <w:szCs w:val="28"/>
              </w:rPr>
            </w:pPr>
            <w:r>
              <w:rPr>
                <w:rFonts w:hint="eastAsia" w:ascii="宋体" w:hAnsi="宋体" w:cs="宋体"/>
                <w:b/>
                <w:bCs/>
                <w:kern w:val="0"/>
                <w:sz w:val="28"/>
                <w:szCs w:val="28"/>
              </w:rPr>
              <w:t>慢病个案管理和健康促进</w:t>
            </w: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脑卒中康复管理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、根据评估情况进行日常生活能力、吞咽方式、用药指导、语言康复训练，给予留置胃管、尿管等管道维护；</w:t>
            </w:r>
            <w:r>
              <w:rPr>
                <w:rFonts w:ascii="宋体" w:hAnsi="宋体" w:cs="宋体"/>
                <w:kern w:val="0"/>
                <w:sz w:val="22"/>
                <w:szCs w:val="22"/>
              </w:rPr>
              <w:t xml:space="preserve">                                                                            2</w:t>
            </w:r>
            <w:r>
              <w:rPr>
                <w:rFonts w:hint="eastAsia" w:ascii="宋体" w:hAnsi="宋体" w:cs="宋体"/>
                <w:kern w:val="0"/>
                <w:sz w:val="22"/>
                <w:szCs w:val="22"/>
              </w:rPr>
              <w:t>、基础疾病如高血压、高血脂、糖尿病等疾病管理；</w:t>
            </w:r>
            <w:r>
              <w:rPr>
                <w:rFonts w:ascii="宋体" w:hAnsi="宋体" w:cs="宋体"/>
                <w:kern w:val="0"/>
                <w:sz w:val="22"/>
                <w:szCs w:val="22"/>
              </w:rPr>
              <w:t xml:space="preserve">                                               3</w:t>
            </w:r>
            <w:r>
              <w:rPr>
                <w:rFonts w:hint="eastAsia" w:ascii="宋体" w:hAnsi="宋体" w:cs="宋体"/>
                <w:kern w:val="0"/>
                <w:sz w:val="22"/>
                <w:szCs w:val="22"/>
              </w:rPr>
              <w:t>、健康教育：再发卒中早期症状的识别与应急处理。</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r>
              <w:rPr>
                <w:rFonts w:ascii="宋体" w:hAnsi="宋体" w:cs="宋体"/>
                <w:kern w:val="0"/>
                <w:sz w:val="22"/>
                <w:szCs w:val="22"/>
              </w:rPr>
              <w:t xml:space="preserve"> </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可结合线下服务</w:t>
            </w:r>
          </w:p>
        </w:tc>
      </w:tr>
      <w:tr>
        <w:tblPrEx>
          <w:tblCellMar>
            <w:top w:w="0" w:type="dxa"/>
            <w:left w:w="108" w:type="dxa"/>
            <w:bottom w:w="0" w:type="dxa"/>
            <w:right w:w="108" w:type="dxa"/>
          </w:tblCellMar>
        </w:tblPrEx>
        <w:trPr>
          <w:trHeight w:val="232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慢性心衰自我管理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、根据评估情况给予活动量及活动方式、饮食及用药指导；</w:t>
            </w:r>
            <w:r>
              <w:rPr>
                <w:rFonts w:ascii="宋体" w:hAnsi="宋体" w:cs="宋体"/>
                <w:kern w:val="0"/>
                <w:sz w:val="22"/>
                <w:szCs w:val="22"/>
              </w:rPr>
              <w:t xml:space="preserve">                                                                                                                              2</w:t>
            </w:r>
            <w:r>
              <w:rPr>
                <w:rFonts w:hint="eastAsia" w:ascii="宋体" w:hAnsi="宋体" w:cs="宋体"/>
                <w:kern w:val="0"/>
                <w:sz w:val="22"/>
                <w:szCs w:val="22"/>
              </w:rPr>
              <w:t>、指导患者加强自我管理，了解体重、出入量、腹围、血压的变化；</w:t>
            </w:r>
            <w:r>
              <w:rPr>
                <w:rFonts w:ascii="宋体" w:hAnsi="宋体" w:cs="宋体"/>
                <w:kern w:val="0"/>
                <w:sz w:val="22"/>
                <w:szCs w:val="22"/>
              </w:rPr>
              <w:t xml:space="preserve">                                           </w:t>
            </w:r>
          </w:p>
          <w:p>
            <w:pPr>
              <w:widowControl/>
              <w:jc w:val="left"/>
              <w:rPr>
                <w:rFonts w:ascii="宋体" w:cs="宋体"/>
                <w:kern w:val="0"/>
                <w:sz w:val="22"/>
                <w:szCs w:val="22"/>
              </w:rPr>
            </w:pPr>
            <w:r>
              <w:rPr>
                <w:rFonts w:ascii="宋体" w:hAnsi="宋体" w:cs="宋体"/>
                <w:kern w:val="0"/>
                <w:sz w:val="22"/>
                <w:szCs w:val="22"/>
              </w:rPr>
              <w:t>3</w:t>
            </w:r>
            <w:r>
              <w:rPr>
                <w:rFonts w:hint="eastAsia" w:ascii="宋体" w:hAnsi="宋体" w:cs="宋体"/>
                <w:kern w:val="0"/>
                <w:sz w:val="22"/>
                <w:szCs w:val="22"/>
              </w:rPr>
              <w:t>、健康教育：加重心衰诱因的预防和控制，心衰症状加重的先兆和就医指导；</w:t>
            </w:r>
            <w:r>
              <w:rPr>
                <w:rFonts w:ascii="宋体" w:hAnsi="宋体" w:cs="宋体"/>
                <w:kern w:val="0"/>
                <w:sz w:val="22"/>
                <w:szCs w:val="22"/>
              </w:rPr>
              <w:t xml:space="preserve">                                                       4</w:t>
            </w:r>
            <w:r>
              <w:rPr>
                <w:rFonts w:hint="eastAsia" w:ascii="宋体" w:hAnsi="宋体" w:cs="宋体"/>
                <w:kern w:val="0"/>
                <w:sz w:val="22"/>
                <w:szCs w:val="22"/>
              </w:rPr>
              <w:t>、基础疾病的管理：如冠心病等。</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专科护士</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1980" w:hRule="atLeast"/>
        </w:trPr>
        <w:tc>
          <w:tcPr>
            <w:tcW w:w="5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糖尿病管理</w:t>
            </w:r>
          </w:p>
        </w:tc>
        <w:tc>
          <w:tcPr>
            <w:tcW w:w="6264"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、根据评估情况和血糖分级目标分析患者相关饮食、运动、用药、情绪等影响因素，给予针对性指导处理；</w:t>
            </w:r>
            <w:r>
              <w:rPr>
                <w:rFonts w:ascii="宋体" w:hAnsi="宋体" w:cs="宋体"/>
                <w:kern w:val="0"/>
                <w:sz w:val="22"/>
                <w:szCs w:val="22"/>
              </w:rPr>
              <w:t xml:space="preserve">                                                                   </w:t>
            </w:r>
            <w:r>
              <w:rPr>
                <w:rFonts w:ascii="宋体" w:hAns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、健康教育：胰岛素注射笔的使用，胰岛素皮下泵及动态血糖监测的护理，指导口服降糖药的使用；糖尿病酮症酸中毒、高渗性昏迷、糖尿病大血管、微血管等急慢性并发症的早期识别及应急处理。</w:t>
            </w:r>
          </w:p>
        </w:tc>
        <w:tc>
          <w:tcPr>
            <w:tcW w:w="2268" w:type="dxa"/>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专科护士</w:t>
            </w:r>
          </w:p>
        </w:tc>
        <w:tc>
          <w:tcPr>
            <w:tcW w:w="2268"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2372"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4</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慢性阻塞性肺病</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、评估患者体温、脉率、呼吸频率、血压、</w:t>
            </w:r>
            <w:r>
              <w:rPr>
                <w:rFonts w:ascii="宋体" w:hAnsi="宋体" w:cs="宋体"/>
                <w:kern w:val="0"/>
                <w:sz w:val="22"/>
                <w:szCs w:val="22"/>
              </w:rPr>
              <w:t>SPO2</w:t>
            </w:r>
            <w:r>
              <w:rPr>
                <w:rFonts w:hint="eastAsia" w:ascii="宋体" w:hAnsi="宋体" w:cs="宋体"/>
                <w:kern w:val="0"/>
                <w:sz w:val="22"/>
                <w:szCs w:val="22"/>
              </w:rPr>
              <w:t>、咳嗽情况、排痰能力、痰液性质、呼吸困难程度等；</w:t>
            </w:r>
            <w:r>
              <w:rPr>
                <w:rFonts w:ascii="宋体" w:hAnsi="宋体" w:cs="宋体"/>
                <w:kern w:val="0"/>
                <w:sz w:val="22"/>
                <w:szCs w:val="22"/>
              </w:rPr>
              <w:t xml:space="preserve">                                                                                   2</w:t>
            </w:r>
            <w:r>
              <w:rPr>
                <w:rFonts w:hint="eastAsia" w:ascii="宋体" w:hAnsi="宋体" w:cs="宋体"/>
                <w:kern w:val="0"/>
                <w:sz w:val="22"/>
                <w:szCs w:val="22"/>
              </w:rPr>
              <w:t>、指导合适的排痰技术，进行用氧安全和制氧机清洁维护的指导，指导用药、营养、日常活动及呼吸功能锻炼；</w:t>
            </w:r>
            <w:r>
              <w:rPr>
                <w:rFonts w:ascii="宋体" w:hAnsi="宋体" w:cs="宋体"/>
                <w:kern w:val="0"/>
                <w:sz w:val="22"/>
                <w:szCs w:val="22"/>
              </w:rPr>
              <w:t xml:space="preserve">                                                                              3</w:t>
            </w:r>
            <w:r>
              <w:rPr>
                <w:rFonts w:hint="eastAsia" w:ascii="宋体" w:hAnsi="宋体" w:cs="宋体"/>
                <w:kern w:val="0"/>
                <w:sz w:val="22"/>
                <w:szCs w:val="22"/>
              </w:rPr>
              <w:t>、健康教育：指导加重疾病诱因的控制及出现呼吸衰竭等并发症时的应急处置与就医；</w:t>
            </w:r>
            <w:r>
              <w:rPr>
                <w:rFonts w:ascii="宋体" w:cs="宋体"/>
                <w:kern w:val="0"/>
                <w:sz w:val="22"/>
                <w:szCs w:val="22"/>
              </w:rPr>
              <w:br w:type="textWrapping"/>
            </w:r>
            <w:r>
              <w:rPr>
                <w:rFonts w:ascii="宋体" w:hAnsi="宋体" w:cs="宋体"/>
                <w:kern w:val="0"/>
                <w:sz w:val="22"/>
                <w:szCs w:val="22"/>
              </w:rPr>
              <w:t>4</w:t>
            </w:r>
            <w:r>
              <w:rPr>
                <w:rFonts w:hint="eastAsia" w:ascii="宋体" w:hAnsi="宋体" w:cs="宋体"/>
                <w:kern w:val="0"/>
                <w:sz w:val="22"/>
                <w:szCs w:val="22"/>
              </w:rPr>
              <w:t>、指导患者自我管理并记录自我管理日记。</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r>
              <w:rPr>
                <w:rFonts w:ascii="宋体" w:hAnsi="宋体" w:cs="宋体"/>
                <w:kern w:val="0"/>
                <w:sz w:val="22"/>
                <w:szCs w:val="22"/>
              </w:rPr>
              <w:t xml:space="preserve"> </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可结合线下服务</w:t>
            </w:r>
          </w:p>
        </w:tc>
      </w:tr>
      <w:tr>
        <w:tblPrEx>
          <w:tblCellMar>
            <w:top w:w="0" w:type="dxa"/>
            <w:left w:w="108" w:type="dxa"/>
            <w:bottom w:w="0" w:type="dxa"/>
            <w:right w:w="108" w:type="dxa"/>
          </w:tblCellMar>
        </w:tblPrEx>
        <w:trPr>
          <w:trHeight w:val="190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5</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高血压管理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、根据评估情况对患者进行生活方式、活动、饮食及用药指导；</w:t>
            </w:r>
            <w:r>
              <w:rPr>
                <w:rFonts w:ascii="宋体" w:hAnsi="宋体" w:cs="宋体"/>
                <w:kern w:val="0"/>
                <w:sz w:val="22"/>
                <w:szCs w:val="22"/>
              </w:rPr>
              <w:t xml:space="preserve">                                                2</w:t>
            </w:r>
            <w:r>
              <w:rPr>
                <w:rFonts w:hint="eastAsia" w:ascii="宋体" w:hAnsi="宋体" w:cs="宋体"/>
                <w:kern w:val="0"/>
                <w:sz w:val="22"/>
                <w:szCs w:val="22"/>
              </w:rPr>
              <w:t>、基础疾病管理，如冠心病、高血脂、糖尿病等。</w:t>
            </w:r>
            <w:r>
              <w:rPr>
                <w:rFonts w:ascii="宋体" w:hAnsi="宋体" w:cs="宋体"/>
                <w:kern w:val="0"/>
                <w:sz w:val="22"/>
                <w:szCs w:val="22"/>
              </w:rPr>
              <w:t xml:space="preserve">                                               3</w:t>
            </w:r>
            <w:r>
              <w:rPr>
                <w:rFonts w:hint="eastAsia" w:ascii="宋体" w:hAnsi="宋体" w:cs="宋体"/>
                <w:kern w:val="0"/>
                <w:sz w:val="22"/>
                <w:szCs w:val="22"/>
              </w:rPr>
              <w:t>、指导识别高血压相关的急性疾病先兆与及时就医。</w:t>
            </w:r>
            <w:r>
              <w:rPr>
                <w:rFonts w:ascii="宋体" w:cs="宋体"/>
                <w:kern w:val="0"/>
                <w:sz w:val="22"/>
                <w:szCs w:val="22"/>
              </w:rPr>
              <w:br w:type="textWrapping"/>
            </w:r>
            <w:r>
              <w:rPr>
                <w:rFonts w:ascii="宋体" w:hAnsi="宋体" w:cs="宋体"/>
                <w:kern w:val="0"/>
                <w:sz w:val="22"/>
                <w:szCs w:val="22"/>
              </w:rPr>
              <w:t>4</w:t>
            </w:r>
            <w:r>
              <w:rPr>
                <w:rFonts w:hint="eastAsia" w:ascii="宋体" w:hAnsi="宋体" w:cs="宋体"/>
                <w:kern w:val="0"/>
                <w:sz w:val="22"/>
                <w:szCs w:val="22"/>
              </w:rPr>
              <w:t>、指导患者自我管理并记录自我管理日记。</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年以上临床护理工作经验和护师及以上技术职称，经过上岗前专业培训</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154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6</w:t>
            </w: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压力性损伤预防</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对存在压力性损伤发生风险的患者采取预防措施，包括指导翻身、支撑面减压、皮肤保护等，为患者及照顾者提供压力性损伤护理的健康指导。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可结合线下服务</w:t>
            </w:r>
          </w:p>
        </w:tc>
      </w:tr>
      <w:tr>
        <w:tblPrEx>
          <w:tblCellMar>
            <w:top w:w="0" w:type="dxa"/>
            <w:left w:w="108" w:type="dxa"/>
            <w:bottom w:w="0" w:type="dxa"/>
            <w:right w:w="108" w:type="dxa"/>
          </w:tblCellMar>
        </w:tblPrEx>
        <w:trPr>
          <w:trHeight w:val="450" w:hRule="atLeast"/>
        </w:trPr>
        <w:tc>
          <w:tcPr>
            <w:tcW w:w="14616" w:type="dxa"/>
            <w:gridSpan w:val="7"/>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宋体" w:cs="宋体"/>
                <w:b/>
                <w:bCs/>
                <w:kern w:val="0"/>
                <w:sz w:val="22"/>
                <w:szCs w:val="22"/>
              </w:rPr>
            </w:pPr>
            <w:r>
              <w:rPr>
                <w:rFonts w:hint="eastAsia" w:ascii="宋体" w:hAnsi="宋体" w:cs="宋体"/>
                <w:b/>
                <w:bCs/>
                <w:kern w:val="0"/>
                <w:sz w:val="22"/>
                <w:szCs w:val="22"/>
              </w:rPr>
              <w:t>线下服务项目（正面清单）</w:t>
            </w:r>
          </w:p>
        </w:tc>
      </w:tr>
      <w:tr>
        <w:tblPrEx>
          <w:tblCellMar>
            <w:top w:w="0" w:type="dxa"/>
            <w:left w:w="108" w:type="dxa"/>
            <w:bottom w:w="0" w:type="dxa"/>
            <w:right w:w="108" w:type="dxa"/>
          </w:tblCellMar>
        </w:tblPrEx>
        <w:trPr>
          <w:trHeight w:val="121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7</w:t>
            </w:r>
          </w:p>
        </w:tc>
        <w:tc>
          <w:tcPr>
            <w:tcW w:w="846" w:type="dxa"/>
            <w:vMerge w:val="restart"/>
            <w:tcBorders>
              <w:top w:val="nil"/>
              <w:left w:val="single" w:color="auto" w:sz="4" w:space="0"/>
              <w:bottom w:val="single" w:color="000000" w:sz="4" w:space="0"/>
              <w:right w:val="single" w:color="auto" w:sz="4" w:space="0"/>
            </w:tcBorders>
            <w:textDirection w:val="tbRlV"/>
            <w:vAlign w:val="center"/>
          </w:tcPr>
          <w:p>
            <w:pPr>
              <w:widowControl/>
              <w:jc w:val="center"/>
              <w:rPr>
                <w:rFonts w:ascii="宋体" w:cs="宋体"/>
                <w:b/>
                <w:bCs/>
                <w:kern w:val="0"/>
                <w:sz w:val="28"/>
                <w:szCs w:val="28"/>
              </w:rPr>
            </w:pPr>
            <w:r>
              <w:rPr>
                <w:rFonts w:hint="eastAsia" w:ascii="宋体" w:hAnsi="宋体" w:cs="宋体"/>
                <w:b/>
                <w:bCs/>
                <w:kern w:val="0"/>
                <w:sz w:val="28"/>
                <w:szCs w:val="28"/>
              </w:rPr>
              <w:t>常见临床护理</w:t>
            </w: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生命体征测量</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为患者测量体温、脉搏、呼吸、血压、血氧饱和度。</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96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8</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留置</w:t>
            </w:r>
            <w:r>
              <w:rPr>
                <w:rFonts w:ascii="宋体" w:hAnsi="宋体" w:cs="宋体"/>
                <w:kern w:val="0"/>
                <w:sz w:val="22"/>
                <w:szCs w:val="22"/>
              </w:rPr>
              <w:t>/</w:t>
            </w:r>
            <w:r>
              <w:rPr>
                <w:rFonts w:hint="eastAsia" w:ascii="宋体" w:hAnsi="宋体" w:cs="宋体"/>
                <w:kern w:val="0"/>
                <w:sz w:val="22"/>
                <w:szCs w:val="22"/>
              </w:rPr>
              <w:t>更换导尿管</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遵医嘱留置导尿管，更换导尿管及引流袋，指导患者及照顾者会阴护理，保持尿道口清洁。</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99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9</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物理降温</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根据患者病情采取物理降温措施，包括冰袋、冰帽、降温贴、酒精擦浴、温水擦浴等。</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20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w:t>
            </w:r>
            <w:r>
              <w:rPr>
                <w:rFonts w:ascii="宋体" w:cs="宋体"/>
                <w:kern w:val="0"/>
                <w:sz w:val="22"/>
                <w:szCs w:val="22"/>
              </w:rPr>
              <w:t>0</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标本采集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遵医嘱采集标本进行检验，包括静脉采血、分泌物、呕吐物、排泄物、体液等。</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102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11</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雾化吸入</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遵医嘱通过雾化装置将药液形成雾状由呼吸道吸入。</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需雾化装置</w:t>
            </w:r>
          </w:p>
        </w:tc>
      </w:tr>
      <w:tr>
        <w:tblPrEx>
          <w:tblCellMar>
            <w:top w:w="0" w:type="dxa"/>
            <w:left w:w="108" w:type="dxa"/>
            <w:bottom w:w="0" w:type="dxa"/>
            <w:right w:w="108" w:type="dxa"/>
          </w:tblCellMar>
        </w:tblPrEx>
        <w:trPr>
          <w:trHeight w:val="106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12</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皮下注射</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遵医嘱将药物准确注入皮下组织。常用注射部位为上臂、腹部及股外侧。</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仅限胰岛素、日达仙</w:t>
            </w:r>
          </w:p>
        </w:tc>
      </w:tr>
      <w:tr>
        <w:tblPrEx>
          <w:tblCellMar>
            <w:top w:w="0" w:type="dxa"/>
            <w:left w:w="108" w:type="dxa"/>
            <w:bottom w:w="0" w:type="dxa"/>
            <w:right w:w="108" w:type="dxa"/>
          </w:tblCellMar>
        </w:tblPrEx>
        <w:trPr>
          <w:trHeight w:val="103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13</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肌肉注射</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遵医嘱将药物准确注入肌肉组织。</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仅限黄体酮、密盖息</w:t>
            </w:r>
          </w:p>
        </w:tc>
      </w:tr>
      <w:tr>
        <w:tblPrEx>
          <w:tblCellMar>
            <w:top w:w="0" w:type="dxa"/>
            <w:left w:w="108" w:type="dxa"/>
            <w:bottom w:w="0" w:type="dxa"/>
            <w:right w:w="108" w:type="dxa"/>
          </w:tblCellMar>
        </w:tblPrEx>
        <w:trPr>
          <w:trHeight w:val="1073"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14</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氧气吸入</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遵医嘱通过鼻氧管、鼻塞、面罩等方法给予患者吸入氧气，做好健康教育及心理护理。</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需氧气装置</w:t>
            </w:r>
          </w:p>
        </w:tc>
      </w:tr>
      <w:tr>
        <w:tblPrEx>
          <w:tblCellMar>
            <w:top w:w="0" w:type="dxa"/>
            <w:left w:w="108" w:type="dxa"/>
            <w:bottom w:w="0" w:type="dxa"/>
            <w:right w:w="108" w:type="dxa"/>
          </w:tblCellMar>
        </w:tblPrEx>
        <w:trPr>
          <w:trHeight w:val="94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15</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灌肠</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遵医嘱将灌肠液经肛门灌入肠道，用于软化粪块、解除便秘，为患者及照顾者提供排便指导。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09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16</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鼻饲</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遵医嘱留置或更换鼻胃管，经鼻胃</w:t>
            </w:r>
            <w:r>
              <w:rPr>
                <w:rFonts w:ascii="宋体" w:hAnsi="宋体" w:cs="宋体"/>
                <w:kern w:val="0"/>
                <w:sz w:val="22"/>
                <w:szCs w:val="22"/>
              </w:rPr>
              <w:t>/</w:t>
            </w:r>
            <w:r>
              <w:rPr>
                <w:rFonts w:hint="eastAsia" w:ascii="宋体" w:hAnsi="宋体" w:cs="宋体"/>
                <w:kern w:val="0"/>
                <w:sz w:val="22"/>
                <w:szCs w:val="22"/>
              </w:rPr>
              <w:t>肠管给予肠内营养，注入药物和水，为患者及照顾者提供鼻饲指导。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124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17</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血糖监测</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测量指末梢血糖，给予血糖管理相关的健康教育。</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727"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18</w:t>
            </w:r>
          </w:p>
        </w:tc>
        <w:tc>
          <w:tcPr>
            <w:tcW w:w="846" w:type="dxa"/>
            <w:vMerge w:val="restart"/>
            <w:tcBorders>
              <w:top w:val="nil"/>
              <w:left w:val="single" w:color="auto" w:sz="4" w:space="0"/>
              <w:bottom w:val="single" w:color="000000" w:sz="4" w:space="0"/>
              <w:right w:val="single" w:color="auto" w:sz="4" w:space="0"/>
            </w:tcBorders>
            <w:textDirection w:val="tbRlV"/>
            <w:vAlign w:val="center"/>
          </w:tcPr>
          <w:p>
            <w:pPr>
              <w:widowControl/>
              <w:jc w:val="center"/>
              <w:rPr>
                <w:rFonts w:ascii="宋体" w:cs="宋体"/>
                <w:b/>
                <w:bCs/>
                <w:kern w:val="0"/>
                <w:sz w:val="28"/>
                <w:szCs w:val="28"/>
              </w:rPr>
            </w:pPr>
            <w:r>
              <w:rPr>
                <w:rFonts w:hint="eastAsia" w:ascii="宋体" w:hAnsi="宋体" w:cs="宋体"/>
                <w:b/>
                <w:bCs/>
                <w:kern w:val="0"/>
                <w:sz w:val="28"/>
                <w:szCs w:val="28"/>
              </w:rPr>
              <w:t>专科（专项）护理</w:t>
            </w: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无创呼吸机管理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、指导正确、舒适的佩戴呼吸机面罩，预防面部压疮；</w:t>
            </w:r>
            <w:r>
              <w:rPr>
                <w:rFonts w:ascii="宋体" w:hAnsi="宋体" w:cs="宋体"/>
                <w:kern w:val="0"/>
                <w:sz w:val="22"/>
                <w:szCs w:val="22"/>
              </w:rPr>
              <w:t>2</w:t>
            </w:r>
            <w:r>
              <w:rPr>
                <w:rFonts w:hint="eastAsia" w:ascii="宋体" w:hAnsi="宋体" w:cs="宋体"/>
                <w:kern w:val="0"/>
                <w:sz w:val="22"/>
                <w:szCs w:val="22"/>
              </w:rPr>
              <w:t>、湿化装置的消毒、清洁；</w:t>
            </w:r>
            <w:r>
              <w:rPr>
                <w:rFonts w:ascii="宋体" w:hAnsi="宋体" w:cs="宋体"/>
                <w:kern w:val="0"/>
                <w:sz w:val="22"/>
                <w:szCs w:val="22"/>
              </w:rPr>
              <w:t>3</w:t>
            </w:r>
            <w:r>
              <w:rPr>
                <w:rFonts w:hint="eastAsia" w:ascii="宋体" w:hAnsi="宋体" w:cs="宋体"/>
                <w:kern w:val="0"/>
                <w:sz w:val="22"/>
                <w:szCs w:val="22"/>
              </w:rPr>
              <w:t>、指导使用要点；</w:t>
            </w:r>
            <w:r>
              <w:rPr>
                <w:rFonts w:ascii="宋体" w:hAnsi="宋体" w:cs="宋体"/>
                <w:kern w:val="0"/>
                <w:sz w:val="22"/>
                <w:szCs w:val="22"/>
              </w:rPr>
              <w:t>4</w:t>
            </w:r>
            <w:r>
              <w:rPr>
                <w:rFonts w:hint="eastAsia" w:ascii="宋体" w:hAnsi="宋体" w:cs="宋体"/>
                <w:kern w:val="0"/>
                <w:sz w:val="22"/>
                <w:szCs w:val="22"/>
              </w:rPr>
              <w:t>、预防无创呼吸机各种并发症。</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ascii="宋体" w:cs="宋体"/>
                <w:b/>
                <w:bCs/>
                <w:kern w:val="0"/>
                <w:sz w:val="22"/>
                <w:szCs w:val="22"/>
              </w:rPr>
              <w:br w:type="textWrapping"/>
            </w:r>
            <w:r>
              <w:rPr>
                <w:rFonts w:hint="eastAsia" w:ascii="宋体" w:hAnsi="宋体" w:cs="宋体"/>
                <w:b/>
                <w:bCs/>
                <w:kern w:val="0"/>
                <w:sz w:val="22"/>
                <w:szCs w:val="22"/>
              </w:rPr>
              <w:t>需要呼吸机装置</w:t>
            </w:r>
          </w:p>
        </w:tc>
      </w:tr>
      <w:tr>
        <w:tblPrEx>
          <w:tblCellMar>
            <w:top w:w="0" w:type="dxa"/>
            <w:left w:w="108" w:type="dxa"/>
            <w:bottom w:w="0" w:type="dxa"/>
            <w:right w:w="108" w:type="dxa"/>
          </w:tblCellMar>
        </w:tblPrEx>
        <w:trPr>
          <w:trHeight w:val="105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19</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气管切开护理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、评估患者和管道；</w:t>
            </w:r>
            <w:r>
              <w:rPr>
                <w:rFonts w:ascii="宋体" w:hAnsi="宋体" w:cs="宋体"/>
                <w:kern w:val="0"/>
                <w:sz w:val="22"/>
                <w:szCs w:val="22"/>
              </w:rPr>
              <w:t xml:space="preserve"> 2</w:t>
            </w:r>
            <w:r>
              <w:rPr>
                <w:rFonts w:hint="eastAsia" w:ascii="宋体" w:hAnsi="宋体" w:cs="宋体"/>
                <w:kern w:val="0"/>
                <w:sz w:val="22"/>
                <w:szCs w:val="22"/>
              </w:rPr>
              <w:t>、观察切口处周围皮肤</w:t>
            </w:r>
            <w:r>
              <w:rPr>
                <w:rFonts w:ascii="宋体" w:hAnsi="宋体" w:cs="宋体"/>
                <w:kern w:val="0"/>
                <w:sz w:val="22"/>
                <w:szCs w:val="22"/>
              </w:rPr>
              <w:t xml:space="preserve"> </w:t>
            </w:r>
            <w:r>
              <w:rPr>
                <w:rFonts w:hint="eastAsia" w:ascii="宋体" w:hAnsi="宋体" w:cs="宋体"/>
                <w:kern w:val="0"/>
                <w:sz w:val="22"/>
                <w:szCs w:val="22"/>
              </w:rPr>
              <w:t>；</w:t>
            </w:r>
            <w:r>
              <w:rPr>
                <w:rFonts w:ascii="宋体" w:hAnsi="宋体" w:cs="宋体"/>
                <w:kern w:val="0"/>
                <w:sz w:val="22"/>
                <w:szCs w:val="22"/>
              </w:rPr>
              <w:t>3</w:t>
            </w:r>
            <w:r>
              <w:rPr>
                <w:rFonts w:hint="eastAsia" w:ascii="宋体" w:hAnsi="宋体" w:cs="宋体"/>
                <w:kern w:val="0"/>
                <w:sz w:val="22"/>
                <w:szCs w:val="22"/>
              </w:rPr>
              <w:t>、更换切口处敷料；</w:t>
            </w:r>
            <w:r>
              <w:rPr>
                <w:rFonts w:ascii="宋体" w:hAnsi="宋体" w:cs="宋体"/>
                <w:kern w:val="0"/>
                <w:sz w:val="22"/>
                <w:szCs w:val="22"/>
              </w:rPr>
              <w:t>4</w:t>
            </w:r>
            <w:r>
              <w:rPr>
                <w:rFonts w:hint="eastAsia" w:ascii="宋体" w:hAnsi="宋体" w:cs="宋体"/>
                <w:kern w:val="0"/>
                <w:sz w:val="22"/>
                <w:szCs w:val="22"/>
              </w:rPr>
              <w:t>、消毒金属气管套管并指导；</w:t>
            </w:r>
            <w:r>
              <w:rPr>
                <w:rFonts w:ascii="宋体" w:hAnsi="宋体" w:cs="宋体"/>
                <w:kern w:val="0"/>
                <w:sz w:val="22"/>
                <w:szCs w:val="22"/>
              </w:rPr>
              <w:t>5</w:t>
            </w:r>
            <w:r>
              <w:rPr>
                <w:rFonts w:hint="eastAsia" w:ascii="宋体" w:hAnsi="宋体" w:cs="宋体"/>
                <w:kern w:val="0"/>
                <w:sz w:val="22"/>
                <w:szCs w:val="22"/>
              </w:rPr>
              <w:t>、指导并发症预防；</w:t>
            </w:r>
            <w:r>
              <w:rPr>
                <w:rFonts w:ascii="宋体" w:hAnsi="宋体" w:cs="宋体"/>
                <w:kern w:val="0"/>
                <w:sz w:val="22"/>
                <w:szCs w:val="22"/>
              </w:rPr>
              <w:t>6</w:t>
            </w:r>
            <w:r>
              <w:rPr>
                <w:rFonts w:hint="eastAsia" w:ascii="宋体" w:hAnsi="宋体" w:cs="宋体"/>
                <w:kern w:val="0"/>
                <w:sz w:val="22"/>
                <w:szCs w:val="22"/>
              </w:rPr>
              <w:t>、健康教育。</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包括吸痰及物理排痰</w:t>
            </w:r>
            <w:r>
              <w:rPr>
                <w:rFonts w:ascii="宋体" w:hAnsi="宋体" w:cs="宋体"/>
                <w:b/>
                <w:bCs/>
                <w:kern w:val="0"/>
                <w:sz w:val="22"/>
                <w:szCs w:val="22"/>
              </w:rPr>
              <w:t>(</w:t>
            </w:r>
            <w:r>
              <w:rPr>
                <w:rFonts w:hint="eastAsia" w:ascii="宋体" w:hAnsi="宋体" w:cs="宋体"/>
                <w:b/>
                <w:bCs/>
                <w:kern w:val="0"/>
                <w:sz w:val="22"/>
                <w:szCs w:val="22"/>
              </w:rPr>
              <w:t>需吸引装置</w:t>
            </w:r>
            <w:r>
              <w:rPr>
                <w:rFonts w:ascii="宋体" w:hAnsi="宋体" w:cs="宋体"/>
                <w:b/>
                <w:bCs/>
                <w:kern w:val="0"/>
                <w:sz w:val="22"/>
                <w:szCs w:val="22"/>
              </w:rPr>
              <w:t>)</w:t>
            </w:r>
          </w:p>
        </w:tc>
      </w:tr>
      <w:tr>
        <w:tblPrEx>
          <w:tblCellMar>
            <w:top w:w="0" w:type="dxa"/>
            <w:left w:w="108" w:type="dxa"/>
            <w:bottom w:w="0" w:type="dxa"/>
            <w:right w:w="108" w:type="dxa"/>
          </w:tblCellMar>
        </w:tblPrEx>
        <w:trPr>
          <w:trHeight w:val="99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w:t>
            </w:r>
            <w:r>
              <w:rPr>
                <w:rFonts w:ascii="宋体" w:cs="宋体"/>
                <w:kern w:val="0"/>
                <w:sz w:val="22"/>
                <w:szCs w:val="22"/>
              </w:rPr>
              <w:t>0</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造瘘管护理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、管道的评估；</w:t>
            </w:r>
            <w:r>
              <w:rPr>
                <w:rFonts w:ascii="宋体" w:hAnsi="宋体" w:cs="宋体"/>
                <w:kern w:val="0"/>
                <w:sz w:val="22"/>
                <w:szCs w:val="22"/>
              </w:rPr>
              <w:t>2</w:t>
            </w:r>
            <w:r>
              <w:rPr>
                <w:rFonts w:hint="eastAsia" w:ascii="宋体" w:hAnsi="宋体" w:cs="宋体"/>
                <w:kern w:val="0"/>
                <w:sz w:val="22"/>
                <w:szCs w:val="22"/>
              </w:rPr>
              <w:t>、造瘘管的冲管；</w:t>
            </w:r>
            <w:r>
              <w:rPr>
                <w:rFonts w:ascii="宋体" w:hAnsi="宋体" w:cs="宋体"/>
                <w:kern w:val="0"/>
                <w:sz w:val="22"/>
                <w:szCs w:val="22"/>
              </w:rPr>
              <w:t>3</w:t>
            </w:r>
            <w:r>
              <w:rPr>
                <w:rFonts w:hint="eastAsia" w:ascii="宋体" w:hAnsi="宋体" w:cs="宋体"/>
                <w:kern w:val="0"/>
                <w:sz w:val="22"/>
                <w:szCs w:val="22"/>
              </w:rPr>
              <w:t>、造瘘口周围皮肤的护理及管道的固定；</w:t>
            </w:r>
            <w:r>
              <w:rPr>
                <w:rFonts w:ascii="宋体" w:hAnsi="宋体" w:cs="宋体"/>
                <w:kern w:val="0"/>
                <w:sz w:val="22"/>
                <w:szCs w:val="22"/>
              </w:rPr>
              <w:t>4</w:t>
            </w:r>
            <w:r>
              <w:rPr>
                <w:rFonts w:hint="eastAsia" w:ascii="宋体" w:hAnsi="宋体" w:cs="宋体"/>
                <w:kern w:val="0"/>
                <w:sz w:val="22"/>
                <w:szCs w:val="22"/>
              </w:rPr>
              <w:t>、固定贴膜的更换；</w:t>
            </w:r>
            <w:r>
              <w:rPr>
                <w:rFonts w:ascii="宋体" w:hAnsi="宋体" w:cs="宋体"/>
                <w:kern w:val="0"/>
                <w:sz w:val="22"/>
                <w:szCs w:val="22"/>
              </w:rPr>
              <w:t>5</w:t>
            </w:r>
            <w:r>
              <w:rPr>
                <w:rFonts w:hint="eastAsia" w:ascii="宋体" w:hAnsi="宋体" w:cs="宋体"/>
                <w:kern w:val="0"/>
                <w:sz w:val="22"/>
                <w:szCs w:val="22"/>
              </w:rPr>
              <w:t>、胃</w:t>
            </w:r>
            <w:r>
              <w:rPr>
                <w:rFonts w:ascii="宋体" w:hAnsi="宋体" w:cs="宋体"/>
                <w:kern w:val="0"/>
                <w:sz w:val="22"/>
                <w:szCs w:val="22"/>
              </w:rPr>
              <w:t>/</w:t>
            </w:r>
            <w:r>
              <w:rPr>
                <w:rFonts w:hint="eastAsia" w:ascii="宋体" w:hAnsi="宋体" w:cs="宋体"/>
                <w:kern w:val="0"/>
                <w:sz w:val="22"/>
                <w:szCs w:val="22"/>
              </w:rPr>
              <w:t>空肠造瘘管内给予肠内营养；</w:t>
            </w:r>
            <w:r>
              <w:rPr>
                <w:rFonts w:ascii="宋体" w:hAnsi="宋体" w:cs="宋体"/>
                <w:kern w:val="0"/>
                <w:sz w:val="22"/>
                <w:szCs w:val="22"/>
              </w:rPr>
              <w:t>6</w:t>
            </w:r>
            <w:r>
              <w:rPr>
                <w:rFonts w:hint="eastAsia" w:ascii="宋体" w:hAnsi="宋体" w:cs="宋体"/>
                <w:kern w:val="0"/>
                <w:sz w:val="22"/>
                <w:szCs w:val="22"/>
              </w:rPr>
              <w:t>、健康教育。</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08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21</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引流管护理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、管道固定；</w:t>
            </w:r>
            <w:r>
              <w:rPr>
                <w:rFonts w:ascii="宋体" w:hAnsi="宋体" w:cs="宋体"/>
                <w:kern w:val="0"/>
                <w:sz w:val="22"/>
                <w:szCs w:val="22"/>
              </w:rPr>
              <w:t>2</w:t>
            </w:r>
            <w:r>
              <w:rPr>
                <w:rFonts w:hint="eastAsia" w:ascii="宋体" w:hAnsi="宋体" w:cs="宋体"/>
                <w:kern w:val="0"/>
                <w:sz w:val="22"/>
                <w:szCs w:val="22"/>
              </w:rPr>
              <w:t>、管道及引流液的评估；</w:t>
            </w:r>
            <w:r>
              <w:rPr>
                <w:rFonts w:ascii="宋体" w:hAnsi="宋体" w:cs="宋体"/>
                <w:kern w:val="0"/>
                <w:sz w:val="22"/>
                <w:szCs w:val="22"/>
              </w:rPr>
              <w:t>3</w:t>
            </w:r>
            <w:r>
              <w:rPr>
                <w:rFonts w:hint="eastAsia" w:ascii="宋体" w:hAnsi="宋体" w:cs="宋体"/>
                <w:kern w:val="0"/>
                <w:sz w:val="22"/>
                <w:szCs w:val="22"/>
              </w:rPr>
              <w:t>、引流管周围皮肤的护理与更换敷料；</w:t>
            </w:r>
            <w:r>
              <w:rPr>
                <w:rFonts w:ascii="宋体" w:hAnsi="宋体" w:cs="宋体"/>
                <w:kern w:val="0"/>
                <w:sz w:val="22"/>
                <w:szCs w:val="22"/>
              </w:rPr>
              <w:t>4</w:t>
            </w:r>
            <w:r>
              <w:rPr>
                <w:rFonts w:hint="eastAsia" w:ascii="宋体" w:hAnsi="宋体" w:cs="宋体"/>
                <w:kern w:val="0"/>
                <w:sz w:val="22"/>
                <w:szCs w:val="22"/>
              </w:rPr>
              <w:t>、更换引流袋</w:t>
            </w:r>
            <w:r>
              <w:rPr>
                <w:rFonts w:ascii="宋体" w:hAnsi="宋体" w:cs="宋体"/>
                <w:kern w:val="0"/>
                <w:sz w:val="22"/>
                <w:szCs w:val="22"/>
              </w:rPr>
              <w:t>/</w:t>
            </w:r>
            <w:r>
              <w:rPr>
                <w:rFonts w:hint="eastAsia" w:ascii="宋体" w:hAnsi="宋体" w:cs="宋体"/>
                <w:kern w:val="0"/>
                <w:sz w:val="22"/>
                <w:szCs w:val="22"/>
              </w:rPr>
              <w:t>引流球</w:t>
            </w:r>
            <w:r>
              <w:rPr>
                <w:rFonts w:ascii="宋体" w:hAnsi="宋体" w:cs="宋体"/>
                <w:kern w:val="0"/>
                <w:sz w:val="22"/>
                <w:szCs w:val="22"/>
              </w:rPr>
              <w:t>/</w:t>
            </w:r>
            <w:r>
              <w:rPr>
                <w:rFonts w:hint="eastAsia" w:ascii="宋体" w:hAnsi="宋体" w:cs="宋体"/>
                <w:kern w:val="0"/>
                <w:sz w:val="22"/>
                <w:szCs w:val="22"/>
              </w:rPr>
              <w:t>引流瓶等；</w:t>
            </w:r>
            <w:r>
              <w:rPr>
                <w:rFonts w:ascii="宋体" w:hAnsi="宋体" w:cs="宋体"/>
                <w:kern w:val="0"/>
                <w:sz w:val="22"/>
                <w:szCs w:val="22"/>
              </w:rPr>
              <w:t>5</w:t>
            </w:r>
            <w:r>
              <w:rPr>
                <w:rFonts w:hint="eastAsia" w:ascii="宋体" w:hAnsi="宋体" w:cs="宋体"/>
                <w:kern w:val="0"/>
                <w:sz w:val="22"/>
                <w:szCs w:val="22"/>
              </w:rPr>
              <w:t>、健康教育。</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left"/>
              <w:rPr>
                <w:rFonts w:ascii="宋体" w:cs="宋体"/>
                <w:b/>
                <w:bCs/>
                <w:kern w:val="0"/>
                <w:sz w:val="22"/>
                <w:szCs w:val="22"/>
              </w:rPr>
            </w:pPr>
          </w:p>
        </w:tc>
      </w:tr>
      <w:tr>
        <w:tblPrEx>
          <w:tblCellMar>
            <w:top w:w="0" w:type="dxa"/>
            <w:left w:w="108" w:type="dxa"/>
            <w:bottom w:w="0" w:type="dxa"/>
            <w:right w:w="108" w:type="dxa"/>
          </w:tblCellMar>
        </w:tblPrEx>
        <w:trPr>
          <w:trHeight w:val="109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22</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伤口护理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各种急慢性伤口及失禁性皮炎的评估、伤口处理及健康教育。</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包括拆线</w:t>
            </w:r>
          </w:p>
        </w:tc>
      </w:tr>
      <w:tr>
        <w:tblPrEx>
          <w:tblCellMar>
            <w:top w:w="0" w:type="dxa"/>
            <w:left w:w="108" w:type="dxa"/>
            <w:bottom w:w="0" w:type="dxa"/>
            <w:right w:w="108" w:type="dxa"/>
          </w:tblCellMar>
        </w:tblPrEx>
        <w:trPr>
          <w:trHeight w:val="102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23</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徒手淋巴引流</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运用专科手法进行徒手淋巴引流和压力疗法，促进淋巴回流，并对患者及照顾者进行健康教育。</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08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24</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普通造口护理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对回肠、结肠造口、泌尿造口病人进行局部和全身情况评估，选择造口产品，造口</w:t>
            </w:r>
            <w:r>
              <w:rPr>
                <w:rFonts w:ascii="宋体" w:hAnsi="宋体" w:cs="宋体"/>
                <w:kern w:val="0"/>
                <w:sz w:val="22"/>
                <w:szCs w:val="22"/>
              </w:rPr>
              <w:t>ARC</w:t>
            </w:r>
            <w:r>
              <w:rPr>
                <w:rFonts w:hint="eastAsia" w:ascii="宋体" w:hAnsi="宋体" w:cs="宋体"/>
                <w:kern w:val="0"/>
                <w:sz w:val="22"/>
                <w:szCs w:val="22"/>
              </w:rPr>
              <w:t>更换，必要时行结肠造口灌洗，为患者及照顾者提供相关知识和技能指导。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156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25</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疑难造口护理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对疑难回肠、结肠造口、泌尿造口病人进行局部和全身情况评估，根据造口并发症选择适宜的敷料、药物和造口用品，必要时进行可控尿路造口插管排尿、更换输尿管支架、进行囊袋膀胱冲洗引流等，为患者及照顾者提供相关知识和技能指导。</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专科护士</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105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26</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PICC /</w:t>
            </w:r>
            <w:r>
              <w:rPr>
                <w:rFonts w:hint="eastAsia" w:ascii="宋体" w:hAnsi="宋体" w:cs="宋体"/>
                <w:kern w:val="0"/>
                <w:sz w:val="22"/>
                <w:szCs w:val="22"/>
              </w:rPr>
              <w:t>植入式输液港（</w:t>
            </w:r>
            <w:r>
              <w:rPr>
                <w:rFonts w:ascii="宋体" w:hAnsi="宋体" w:cs="宋体"/>
                <w:kern w:val="0"/>
                <w:sz w:val="22"/>
                <w:szCs w:val="22"/>
              </w:rPr>
              <w:t>PORT</w:t>
            </w:r>
            <w:r>
              <w:rPr>
                <w:rFonts w:hint="eastAsia" w:ascii="宋体" w:hAnsi="宋体" w:cs="宋体"/>
                <w:kern w:val="0"/>
                <w:sz w:val="22"/>
                <w:szCs w:val="22"/>
              </w:rPr>
              <w:t>）维护</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经外周静脉置入中心静脉导管（</w:t>
            </w:r>
            <w:r>
              <w:rPr>
                <w:rFonts w:ascii="宋体" w:hAnsi="宋体" w:cs="宋体"/>
                <w:kern w:val="0"/>
                <w:sz w:val="22"/>
                <w:szCs w:val="22"/>
              </w:rPr>
              <w:t>PICC</w:t>
            </w:r>
            <w:r>
              <w:rPr>
                <w:rFonts w:hint="eastAsia" w:ascii="宋体" w:hAnsi="宋体" w:cs="宋体"/>
                <w:kern w:val="0"/>
                <w:sz w:val="22"/>
                <w:szCs w:val="22"/>
              </w:rPr>
              <w:t>）</w:t>
            </w:r>
            <w:r>
              <w:rPr>
                <w:rFonts w:ascii="宋体" w:hAnsi="宋体" w:cs="宋体"/>
                <w:kern w:val="0"/>
                <w:sz w:val="22"/>
                <w:szCs w:val="22"/>
              </w:rPr>
              <w:t>/</w:t>
            </w:r>
            <w:r>
              <w:rPr>
                <w:rFonts w:hint="eastAsia" w:ascii="宋体" w:hAnsi="宋体" w:cs="宋体"/>
                <w:kern w:val="0"/>
                <w:sz w:val="22"/>
                <w:szCs w:val="22"/>
              </w:rPr>
              <w:t>植入式静脉输液港（</w:t>
            </w:r>
            <w:r>
              <w:rPr>
                <w:rFonts w:ascii="宋体" w:hAnsi="宋体" w:cs="宋体"/>
                <w:kern w:val="0"/>
                <w:sz w:val="22"/>
                <w:szCs w:val="22"/>
              </w:rPr>
              <w:t>PORT</w:t>
            </w:r>
            <w:r>
              <w:rPr>
                <w:rFonts w:hint="eastAsia" w:ascii="宋体" w:hAnsi="宋体" w:cs="宋体"/>
                <w:kern w:val="0"/>
                <w:sz w:val="22"/>
                <w:szCs w:val="22"/>
              </w:rPr>
              <w:t>）留置期间的导管维护，对患者及照顾者进行日常管理维护指导。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08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27</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非侵入性止痛药使用</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对非侵入性止痛药的口服、外贴、肛塞进行指导。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337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28</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居家腹膜透析护理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、居家操作间布置、评估、随访；</w:t>
            </w:r>
            <w:r>
              <w:rPr>
                <w:rFonts w:asci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、腹膜透析换液、加药；</w:t>
            </w:r>
            <w:r>
              <w:rPr>
                <w:rFonts w:ascii="宋体" w:cs="宋体"/>
                <w:kern w:val="0"/>
                <w:sz w:val="22"/>
                <w:szCs w:val="22"/>
              </w:rPr>
              <w:br w:type="textWrapping"/>
            </w:r>
            <w:r>
              <w:rPr>
                <w:rFonts w:ascii="宋体" w:hAnsi="宋体" w:cs="宋体"/>
                <w:kern w:val="0"/>
                <w:sz w:val="22"/>
                <w:szCs w:val="22"/>
              </w:rPr>
              <w:t>3</w:t>
            </w:r>
            <w:r>
              <w:rPr>
                <w:rFonts w:hint="eastAsia" w:ascii="宋体" w:hAnsi="宋体" w:cs="宋体"/>
                <w:kern w:val="0"/>
                <w:sz w:val="22"/>
                <w:szCs w:val="22"/>
              </w:rPr>
              <w:t>、更换腹膜透析导管，包括常规更换、意外滑脱、导管漏液等特殊情况处理；</w:t>
            </w:r>
            <w:r>
              <w:rPr>
                <w:rFonts w:ascii="宋体" w:hAnsi="宋体" w:cs="宋体"/>
                <w:kern w:val="0"/>
                <w:sz w:val="22"/>
                <w:szCs w:val="22"/>
              </w:rPr>
              <w:t xml:space="preserve">                                                    4</w:t>
            </w:r>
            <w:r>
              <w:rPr>
                <w:rFonts w:hint="eastAsia" w:ascii="宋体" w:hAnsi="宋体" w:cs="宋体"/>
                <w:kern w:val="0"/>
                <w:sz w:val="22"/>
                <w:szCs w:val="22"/>
              </w:rPr>
              <w:t>、腹膜透析出口护理，包括常规出口护理、出口和（或）隧道感染护理；</w:t>
            </w:r>
            <w:r>
              <w:rPr>
                <w:rFonts w:ascii="宋体" w:cs="宋体"/>
                <w:kern w:val="0"/>
                <w:sz w:val="22"/>
                <w:szCs w:val="22"/>
              </w:rPr>
              <w:br w:type="textWrapping"/>
            </w:r>
            <w:r>
              <w:rPr>
                <w:rFonts w:ascii="宋体" w:hAnsi="宋体" w:cs="宋体"/>
                <w:kern w:val="0"/>
                <w:sz w:val="22"/>
                <w:szCs w:val="22"/>
              </w:rPr>
              <w:t>5</w:t>
            </w:r>
            <w:r>
              <w:rPr>
                <w:rFonts w:hint="eastAsia" w:ascii="宋体" w:hAnsi="宋体" w:cs="宋体"/>
                <w:kern w:val="0"/>
                <w:sz w:val="22"/>
                <w:szCs w:val="22"/>
              </w:rPr>
              <w:t>、腹膜透析标本留取、采样，包括常规检查检验、特殊情况下标本的留取，如腹膜炎或出口感染等；</w:t>
            </w:r>
            <w:r>
              <w:rPr>
                <w:rFonts w:ascii="宋体" w:cs="宋体"/>
                <w:kern w:val="0"/>
                <w:sz w:val="22"/>
                <w:szCs w:val="22"/>
              </w:rPr>
              <w:br w:type="textWrapping"/>
            </w:r>
            <w:r>
              <w:rPr>
                <w:rFonts w:ascii="宋体" w:hAnsi="宋体" w:cs="宋体"/>
                <w:kern w:val="0"/>
                <w:sz w:val="22"/>
                <w:szCs w:val="22"/>
              </w:rPr>
              <w:t>6</w:t>
            </w:r>
            <w:r>
              <w:rPr>
                <w:rFonts w:hint="eastAsia" w:ascii="宋体" w:hAnsi="宋体" w:cs="宋体"/>
                <w:kern w:val="0"/>
                <w:sz w:val="22"/>
                <w:szCs w:val="22"/>
              </w:rPr>
              <w:t>、导管相关问题的处理，如引流障碍的处理等；</w:t>
            </w:r>
            <w:r>
              <w:rPr>
                <w:rFonts w:ascii="宋体" w:cs="宋体"/>
                <w:kern w:val="0"/>
                <w:sz w:val="22"/>
                <w:szCs w:val="22"/>
              </w:rPr>
              <w:br w:type="textWrapping"/>
            </w:r>
            <w:r>
              <w:rPr>
                <w:rFonts w:ascii="宋体" w:hAnsi="宋体" w:cs="宋体"/>
                <w:kern w:val="0"/>
                <w:sz w:val="22"/>
                <w:szCs w:val="22"/>
              </w:rPr>
              <w:t>7</w:t>
            </w:r>
            <w:r>
              <w:rPr>
                <w:rFonts w:hint="eastAsia" w:ascii="宋体" w:hAnsi="宋体" w:cs="宋体"/>
                <w:kern w:val="0"/>
                <w:sz w:val="22"/>
                <w:szCs w:val="22"/>
              </w:rPr>
              <w:t>、腹透机的使用及故障处理等；</w:t>
            </w:r>
            <w:r>
              <w:rPr>
                <w:rFonts w:ascii="宋体" w:cs="宋体"/>
                <w:kern w:val="0"/>
                <w:sz w:val="22"/>
                <w:szCs w:val="22"/>
              </w:rPr>
              <w:br w:type="textWrapping"/>
            </w:r>
            <w:r>
              <w:rPr>
                <w:rFonts w:ascii="宋体" w:hAnsi="宋体" w:cs="宋体"/>
                <w:kern w:val="0"/>
                <w:sz w:val="22"/>
                <w:szCs w:val="22"/>
              </w:rPr>
              <w:t>8</w:t>
            </w:r>
            <w:r>
              <w:rPr>
                <w:rFonts w:hint="eastAsia" w:ascii="宋体" w:hAnsi="宋体" w:cs="宋体"/>
                <w:kern w:val="0"/>
                <w:sz w:val="22"/>
                <w:szCs w:val="22"/>
              </w:rPr>
              <w:t>、腹透相关健康教育等。</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专科护士</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183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29</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居家产后护理</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、产后：产妇生命体征监测，子宫复旧、恶露情况评估、哺乳期营养、科学坐月子；</w:t>
            </w:r>
            <w:r>
              <w:rPr>
                <w:rFonts w:ascii="宋体" w:hAnsi="宋体" w:cs="宋体"/>
                <w:kern w:val="0"/>
                <w:sz w:val="22"/>
                <w:szCs w:val="22"/>
              </w:rPr>
              <w:t xml:space="preserve">        </w:t>
            </w:r>
            <w:r>
              <w:rPr>
                <w:rFonts w:ascii="宋体" w:hAns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、子宫、膀胱理疗、盆底肌功能训练等康复指导；</w:t>
            </w:r>
            <w:r>
              <w:rPr>
                <w:rFonts w:ascii="宋体" w:hAnsi="宋体" w:cs="宋体"/>
                <w:kern w:val="0"/>
                <w:sz w:val="22"/>
                <w:szCs w:val="22"/>
              </w:rPr>
              <w:t xml:space="preserve">                                              3</w:t>
            </w:r>
            <w:r>
              <w:rPr>
                <w:rFonts w:hint="eastAsia" w:ascii="宋体" w:hAnsi="宋体" w:cs="宋体"/>
                <w:kern w:val="0"/>
                <w:sz w:val="22"/>
                <w:szCs w:val="22"/>
              </w:rPr>
              <w:t>、乳腺疏通、催乳、手法按摩等指导；</w:t>
            </w:r>
            <w:r>
              <w:rPr>
                <w:rFonts w:ascii="宋体" w:hAnsi="宋体" w:cs="宋体"/>
                <w:kern w:val="0"/>
                <w:sz w:val="22"/>
                <w:szCs w:val="22"/>
              </w:rPr>
              <w:t xml:space="preserve">                                                4</w:t>
            </w:r>
            <w:r>
              <w:rPr>
                <w:rFonts w:hint="eastAsia" w:ascii="宋体" w:hAnsi="宋体" w:cs="宋体"/>
                <w:kern w:val="0"/>
                <w:sz w:val="22"/>
                <w:szCs w:val="22"/>
              </w:rPr>
              <w:t>、重度乳胀、乳头凹陷、乳头错觉、含接困难、唇腭裂等专案管理指导。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年以上临床护理工作经验和护师及以上技术职称，具有产科病房工作经验</w:t>
            </w:r>
            <w:r>
              <w:rPr>
                <w:rFonts w:ascii="宋体" w:hAnsi="宋体" w:cs="宋体"/>
                <w:kern w:val="0"/>
                <w:sz w:val="22"/>
                <w:szCs w:val="22"/>
              </w:rPr>
              <w:t xml:space="preserve"> </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1384"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w:t>
            </w:r>
            <w:r>
              <w:rPr>
                <w:rFonts w:ascii="宋体" w:cs="宋体"/>
                <w:kern w:val="0"/>
                <w:sz w:val="22"/>
                <w:szCs w:val="22"/>
              </w:rPr>
              <w:t>0</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nil"/>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居家婴儿护理</w:t>
            </w:r>
          </w:p>
        </w:tc>
        <w:tc>
          <w:tcPr>
            <w:tcW w:w="6264" w:type="dxa"/>
            <w:tcBorders>
              <w:top w:val="nil"/>
              <w:left w:val="nil"/>
              <w:bottom w:val="nil"/>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、母婴家庭护理技能：婴儿沐浴、皮肤、脐部、臀部护理指导，婴儿抚触、智护操训练；</w:t>
            </w:r>
            <w:r>
              <w:rPr>
                <w:rFonts w:asci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、早产儿居家母乳喂养指导；</w:t>
            </w:r>
            <w:r>
              <w:rPr>
                <w:rFonts w:ascii="宋体" w:cs="宋体"/>
                <w:kern w:val="0"/>
                <w:sz w:val="22"/>
                <w:szCs w:val="22"/>
              </w:rPr>
              <w:br w:type="textWrapping"/>
            </w:r>
            <w:r>
              <w:rPr>
                <w:rFonts w:ascii="宋体" w:hAnsi="宋体" w:cs="宋体"/>
                <w:kern w:val="0"/>
                <w:sz w:val="22"/>
                <w:szCs w:val="22"/>
              </w:rPr>
              <w:t>3</w:t>
            </w:r>
            <w:r>
              <w:rPr>
                <w:rFonts w:hint="eastAsia" w:ascii="宋体" w:hAnsi="宋体" w:cs="宋体"/>
                <w:kern w:val="0"/>
                <w:sz w:val="22"/>
                <w:szCs w:val="22"/>
              </w:rPr>
              <w:t>、黄疸监测。</w:t>
            </w:r>
          </w:p>
        </w:tc>
        <w:tc>
          <w:tcPr>
            <w:tcW w:w="2268" w:type="dxa"/>
            <w:tcBorders>
              <w:top w:val="nil"/>
              <w:left w:val="nil"/>
              <w:bottom w:val="nil"/>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年以上临床护理工作经验和护师及以上技术职称，具有产科病房工作经验</w:t>
            </w:r>
            <w:r>
              <w:rPr>
                <w:rFonts w:ascii="宋体" w:hAnsi="宋体" w:cs="宋体"/>
                <w:kern w:val="0"/>
                <w:sz w:val="22"/>
                <w:szCs w:val="22"/>
              </w:rPr>
              <w:t xml:space="preserve"> </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228" w:hRule="atLeast"/>
        </w:trPr>
        <w:tc>
          <w:tcPr>
            <w:tcW w:w="560" w:type="dxa"/>
            <w:tcBorders>
              <w:top w:val="nil"/>
              <w:left w:val="single" w:color="auto" w:sz="4" w:space="0"/>
              <w:bottom w:val="nil"/>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31</w:t>
            </w:r>
          </w:p>
        </w:tc>
        <w:tc>
          <w:tcPr>
            <w:tcW w:w="846" w:type="dxa"/>
            <w:vMerge w:val="restart"/>
            <w:tcBorders>
              <w:top w:val="nil"/>
              <w:left w:val="single" w:color="auto" w:sz="4" w:space="0"/>
              <w:bottom w:val="single" w:color="000000" w:sz="4" w:space="0"/>
              <w:right w:val="single" w:color="auto" w:sz="4" w:space="0"/>
            </w:tcBorders>
            <w:textDirection w:val="tbRlV"/>
            <w:vAlign w:val="center"/>
          </w:tcPr>
          <w:p>
            <w:pPr>
              <w:widowControl/>
              <w:jc w:val="center"/>
              <w:rPr>
                <w:rFonts w:ascii="宋体" w:cs="宋体"/>
                <w:b/>
                <w:bCs/>
                <w:kern w:val="0"/>
                <w:sz w:val="28"/>
                <w:szCs w:val="28"/>
              </w:rPr>
            </w:pPr>
            <w:r>
              <w:rPr>
                <w:rFonts w:hint="eastAsia" w:ascii="宋体" w:hAnsi="宋体" w:cs="宋体"/>
                <w:b/>
                <w:bCs/>
                <w:kern w:val="0"/>
                <w:sz w:val="28"/>
                <w:szCs w:val="28"/>
              </w:rPr>
              <w:t>中医护理</w:t>
            </w: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穴位敷贴技术</w:t>
            </w:r>
          </w:p>
        </w:tc>
        <w:tc>
          <w:tcPr>
            <w:tcW w:w="6264"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遵医嘱将药物制成一定剂型，敷贴到人体穴位，通过刺激穴位，以达到舒筋活络、祛瘀生新、消肿止痛、清热解毒、排毒排脓作用的一种外治法。操作后对患者及家属做好穴位贴敷相关护理及健康教育指导。</w:t>
            </w:r>
          </w:p>
        </w:tc>
        <w:tc>
          <w:tcPr>
            <w:tcW w:w="2268" w:type="dxa"/>
            <w:tcBorders>
              <w:top w:val="single" w:color="auto" w:sz="4" w:space="0"/>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373" w:hRule="atLeast"/>
        </w:trPr>
        <w:tc>
          <w:tcPr>
            <w:tcW w:w="560" w:type="dxa"/>
            <w:tcBorders>
              <w:top w:val="single" w:color="auto" w:sz="4" w:space="0"/>
              <w:left w:val="single" w:color="auto" w:sz="4" w:space="0"/>
              <w:bottom w:val="nil"/>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32</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耳穴贴压技术</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遵医嘱将王不留行籽、莱菔籽等丸状物贴压于耳郭上穴位，用手指按压，刺激耳郭上的穴位或反应点，通过经络传导，达到防治疾病的一种操作方法。操作后对患者及家属做好耳穴贴压相关护理及健康教育指导。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545" w:hRule="atLeast"/>
        </w:trPr>
        <w:tc>
          <w:tcPr>
            <w:tcW w:w="560" w:type="dxa"/>
            <w:tcBorders>
              <w:top w:val="single" w:color="auto" w:sz="4" w:space="0"/>
              <w:left w:val="single" w:color="auto" w:sz="4" w:space="0"/>
              <w:bottom w:val="nil"/>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33</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中药热熨敷技术</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将加热好的中药药包，在人体局部或一定穴位上适时来回移动或回旋运转，利用热力和药物的作用，达到温经通络、活血行气、散热止痛、祛瘀消肿等目的一种外治法。操作后对患者及家属做好中药热熨相关护理及健康教育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830" w:hRule="atLeast"/>
        </w:trPr>
        <w:tc>
          <w:tcPr>
            <w:tcW w:w="560" w:type="dxa"/>
            <w:tcBorders>
              <w:top w:val="single" w:color="auto" w:sz="4" w:space="0"/>
              <w:left w:val="single" w:color="auto" w:sz="4" w:space="0"/>
              <w:bottom w:val="nil"/>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34</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经穴推拿技术</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遵医嘱运用手法作用于人体腧穴，如点法、按法、推法、叩击等，通过局部或穴位刺激，可疏通经络，调动机体抗病能力，从而达到防病治病、保健强身的一种技术操作。操作后对患者及家属做好经穴推拿相关护理及健康教育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590" w:hRule="atLeast"/>
        </w:trPr>
        <w:tc>
          <w:tcPr>
            <w:tcW w:w="560" w:type="dxa"/>
            <w:tcBorders>
              <w:top w:val="single" w:color="auto" w:sz="4" w:space="0"/>
              <w:left w:val="single" w:color="auto" w:sz="4" w:space="0"/>
              <w:bottom w:val="single" w:color="auto" w:sz="4" w:space="0"/>
              <w:right w:val="single" w:color="auto" w:sz="4" w:space="0"/>
            </w:tcBorders>
            <w:vAlign w:val="center"/>
          </w:tcPr>
          <w:p>
            <w:pPr>
              <w:widowControl/>
              <w:jc w:val="right"/>
              <w:rPr>
                <w:rFonts w:ascii="宋体" w:cs="宋体"/>
                <w:kern w:val="0"/>
                <w:sz w:val="22"/>
                <w:szCs w:val="22"/>
              </w:rPr>
            </w:pPr>
            <w:r>
              <w:rPr>
                <w:rFonts w:ascii="宋体" w:hAnsi="宋体" w:cs="宋体"/>
                <w:kern w:val="0"/>
                <w:sz w:val="22"/>
                <w:szCs w:val="22"/>
              </w:rPr>
              <w:t>35</w:t>
            </w:r>
          </w:p>
        </w:tc>
        <w:tc>
          <w:tcPr>
            <w:tcW w:w="84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刮痧技术</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在中医经络腧穴理论指导下，遵医嘱应用边缘钝滑的器具，蘸上刮痧油、水或润滑剂等介质，在体表一定部位皮肤反复刮动，使局部出现痧斑或痧痕，从而达到疏通腠理、调畅气血、逐邪外出目的的一种技术。操作后对患者及家属做好刮痧相关护理及健康教育指导。</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p>
        </w:tc>
      </w:tr>
      <w:tr>
        <w:tblPrEx>
          <w:tblCellMar>
            <w:top w:w="0" w:type="dxa"/>
            <w:left w:w="108" w:type="dxa"/>
            <w:bottom w:w="0" w:type="dxa"/>
            <w:right w:w="108" w:type="dxa"/>
          </w:tblCellMar>
        </w:tblPrEx>
        <w:trPr>
          <w:trHeight w:val="690" w:hRule="atLeast"/>
        </w:trPr>
        <w:tc>
          <w:tcPr>
            <w:tcW w:w="14616" w:type="dxa"/>
            <w:gridSpan w:val="7"/>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宋体" w:cs="宋体"/>
                <w:b/>
                <w:bCs/>
                <w:kern w:val="0"/>
                <w:sz w:val="22"/>
                <w:szCs w:val="22"/>
              </w:rPr>
            </w:pPr>
            <w:r>
              <w:rPr>
                <w:rFonts w:hint="eastAsia" w:ascii="宋体" w:hAnsi="宋体" w:cs="宋体"/>
                <w:b/>
                <w:bCs/>
                <w:kern w:val="0"/>
                <w:sz w:val="22"/>
                <w:szCs w:val="22"/>
              </w:rPr>
              <w:t>线上、线下同步开展服务项目</w:t>
            </w:r>
          </w:p>
        </w:tc>
      </w:tr>
      <w:tr>
        <w:tblPrEx>
          <w:tblCellMar>
            <w:top w:w="0" w:type="dxa"/>
            <w:left w:w="108" w:type="dxa"/>
            <w:bottom w:w="0" w:type="dxa"/>
            <w:right w:w="108" w:type="dxa"/>
          </w:tblCellMar>
        </w:tblPrEx>
        <w:trPr>
          <w:trHeight w:val="856"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36</w:t>
            </w:r>
          </w:p>
        </w:tc>
        <w:tc>
          <w:tcPr>
            <w:tcW w:w="846" w:type="dxa"/>
            <w:vMerge w:val="restart"/>
            <w:tcBorders>
              <w:top w:val="nil"/>
              <w:left w:val="single" w:color="auto" w:sz="4" w:space="0"/>
              <w:bottom w:val="single" w:color="000000" w:sz="4" w:space="0"/>
              <w:right w:val="single" w:color="auto" w:sz="4" w:space="0"/>
            </w:tcBorders>
            <w:textDirection w:val="tbRlV"/>
            <w:vAlign w:val="center"/>
          </w:tcPr>
          <w:p>
            <w:pPr>
              <w:widowControl/>
              <w:jc w:val="center"/>
              <w:rPr>
                <w:rFonts w:ascii="宋体" w:cs="宋体"/>
                <w:b/>
                <w:bCs/>
                <w:kern w:val="0"/>
                <w:sz w:val="28"/>
                <w:szCs w:val="28"/>
              </w:rPr>
            </w:pPr>
            <w:r>
              <w:rPr>
                <w:rFonts w:hint="eastAsia" w:ascii="宋体" w:hAnsi="宋体" w:cs="宋体"/>
                <w:b/>
                <w:bCs/>
                <w:kern w:val="0"/>
                <w:sz w:val="28"/>
                <w:szCs w:val="28"/>
              </w:rPr>
              <w:t>康复护理</w:t>
            </w:r>
          </w:p>
        </w:tc>
        <w:tc>
          <w:tcPr>
            <w:tcW w:w="24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cs="宋体"/>
                <w:kern w:val="0"/>
                <w:sz w:val="22"/>
                <w:szCs w:val="22"/>
              </w:rPr>
            </w:pPr>
            <w:r>
              <w:rPr>
                <w:rFonts w:hint="eastAsia" w:ascii="宋体" w:hAnsi="宋体" w:cs="宋体"/>
                <w:kern w:val="0"/>
                <w:sz w:val="22"/>
                <w:szCs w:val="22"/>
              </w:rPr>
              <w:t>关节功能恢复指导</w:t>
            </w:r>
          </w:p>
        </w:tc>
        <w:tc>
          <w:tcPr>
            <w:tcW w:w="6264"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hint="eastAsia" w:ascii="宋体" w:hAnsi="宋体" w:cs="宋体"/>
                <w:kern w:val="0"/>
                <w:sz w:val="22"/>
                <w:szCs w:val="22"/>
              </w:rPr>
              <w:t>给予肩关节、肘关节、腕关节、髋关节、膝关节、踝关节的功能恢复指导。</w:t>
            </w:r>
          </w:p>
        </w:tc>
        <w:tc>
          <w:tcPr>
            <w:tcW w:w="2268"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767"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37</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cs="宋体"/>
                <w:kern w:val="0"/>
                <w:sz w:val="22"/>
                <w:szCs w:val="22"/>
              </w:rPr>
            </w:pPr>
            <w:r>
              <w:rPr>
                <w:rFonts w:hint="eastAsia" w:ascii="宋体" w:hAnsi="宋体" w:cs="宋体"/>
                <w:kern w:val="0"/>
                <w:sz w:val="22"/>
                <w:szCs w:val="22"/>
              </w:rPr>
              <w:t>呼吸功能锻炼指导</w:t>
            </w:r>
          </w:p>
        </w:tc>
        <w:tc>
          <w:tcPr>
            <w:tcW w:w="6264"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hint="eastAsia" w:ascii="宋体" w:hAnsi="宋体" w:cs="宋体"/>
                <w:kern w:val="0"/>
                <w:sz w:val="22"/>
                <w:szCs w:val="22"/>
              </w:rPr>
              <w:t>指导患者进行缩唇呼吸、腹式呼吸、呼吸操和有效咳嗽。</w:t>
            </w:r>
          </w:p>
        </w:tc>
        <w:tc>
          <w:tcPr>
            <w:tcW w:w="2268"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00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38</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cs="宋体"/>
                <w:kern w:val="0"/>
                <w:sz w:val="22"/>
                <w:szCs w:val="22"/>
              </w:rPr>
            </w:pPr>
            <w:r>
              <w:rPr>
                <w:rFonts w:hint="eastAsia" w:ascii="宋体" w:hAnsi="宋体" w:cs="宋体"/>
                <w:kern w:val="0"/>
                <w:sz w:val="22"/>
                <w:szCs w:val="22"/>
              </w:rPr>
              <w:t>肌肉功能训练指导</w:t>
            </w:r>
          </w:p>
        </w:tc>
        <w:tc>
          <w:tcPr>
            <w:tcW w:w="6264"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hint="eastAsia" w:ascii="宋体" w:hAnsi="宋体" w:cs="宋体"/>
                <w:kern w:val="0"/>
                <w:sz w:val="22"/>
                <w:szCs w:val="22"/>
              </w:rPr>
              <w:t>运用多种方式（含手法与仪器），强化核心肌群训练，提高肌肉的运动能力。</w:t>
            </w:r>
          </w:p>
        </w:tc>
        <w:tc>
          <w:tcPr>
            <w:tcW w:w="2268"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151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39</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cs="宋体"/>
                <w:kern w:val="0"/>
                <w:sz w:val="22"/>
                <w:szCs w:val="22"/>
              </w:rPr>
            </w:pPr>
            <w:r>
              <w:rPr>
                <w:rFonts w:hint="eastAsia" w:ascii="宋体" w:hAnsi="宋体" w:cs="宋体"/>
                <w:kern w:val="0"/>
                <w:sz w:val="22"/>
                <w:szCs w:val="22"/>
              </w:rPr>
              <w:t>体位转移技术</w:t>
            </w:r>
          </w:p>
        </w:tc>
        <w:tc>
          <w:tcPr>
            <w:tcW w:w="6264"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、指导居家患者及照顾者发挥卧床患者现有的能力进行床上移动，提高患者自身或在他人的辅助下完成体位变换最基本的锻炼方法；</w:t>
            </w:r>
            <w:r>
              <w:rPr>
                <w:rFonts w:ascii="宋体" w:cs="宋体"/>
                <w:kern w:val="0"/>
                <w:sz w:val="22"/>
                <w:szCs w:val="22"/>
              </w:rPr>
              <w:br w:type="textWrapping"/>
            </w:r>
            <w:r>
              <w:rPr>
                <w:rFonts w:ascii="宋体" w:hAnsi="宋体" w:cs="宋体"/>
                <w:kern w:val="0"/>
                <w:sz w:val="22"/>
                <w:szCs w:val="22"/>
              </w:rPr>
              <w:t>2</w:t>
            </w:r>
            <w:r>
              <w:rPr>
                <w:rFonts w:hint="eastAsia" w:ascii="宋体" w:hAnsi="宋体" w:cs="宋体"/>
                <w:kern w:val="0"/>
                <w:sz w:val="22"/>
                <w:szCs w:val="22"/>
              </w:rPr>
              <w:t>、指导轴线翻身；</w:t>
            </w:r>
            <w:r>
              <w:rPr>
                <w:rFonts w:ascii="宋体" w:hAnsi="宋体" w:cs="宋体"/>
                <w:kern w:val="0"/>
                <w:sz w:val="22"/>
                <w:szCs w:val="22"/>
              </w:rPr>
              <w:t xml:space="preserve">                                     </w:t>
            </w:r>
            <w:r>
              <w:rPr>
                <w:rFonts w:ascii="宋体" w:hAnsi="宋体" w:cs="宋体"/>
                <w:kern w:val="0"/>
                <w:sz w:val="22"/>
                <w:szCs w:val="22"/>
              </w:rPr>
              <w:br w:type="textWrapping"/>
            </w:r>
            <w:r>
              <w:rPr>
                <w:rFonts w:ascii="宋体" w:hAnsi="宋体" w:cs="宋体"/>
                <w:kern w:val="0"/>
                <w:sz w:val="22"/>
                <w:szCs w:val="22"/>
              </w:rPr>
              <w:t>3</w:t>
            </w:r>
            <w:r>
              <w:rPr>
                <w:rFonts w:hint="eastAsia" w:ascii="宋体" w:hAnsi="宋体" w:cs="宋体"/>
                <w:kern w:val="0"/>
                <w:sz w:val="22"/>
                <w:szCs w:val="22"/>
              </w:rPr>
              <w:t>、指导脊柱术后患者正确上下床。</w:t>
            </w:r>
          </w:p>
        </w:tc>
        <w:tc>
          <w:tcPr>
            <w:tcW w:w="2268"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832"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40</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cs="宋体"/>
                <w:kern w:val="0"/>
                <w:sz w:val="22"/>
                <w:szCs w:val="22"/>
              </w:rPr>
            </w:pPr>
            <w:r>
              <w:rPr>
                <w:rFonts w:hint="eastAsia" w:ascii="宋体" w:hAnsi="宋体" w:cs="宋体"/>
                <w:kern w:val="0"/>
                <w:sz w:val="22"/>
                <w:szCs w:val="22"/>
              </w:rPr>
              <w:t>康复辅助器具使用指导</w:t>
            </w:r>
          </w:p>
        </w:tc>
        <w:tc>
          <w:tcPr>
            <w:tcW w:w="6264"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hint="eastAsia" w:ascii="宋体" w:hAnsi="宋体" w:cs="宋体"/>
                <w:kern w:val="0"/>
                <w:sz w:val="22"/>
                <w:szCs w:val="22"/>
              </w:rPr>
              <w:t>指导患者轮椅、拐杖、助行器等辅助器具的使用；指导骨科支具的佩戴及专科康复辅助器具的使用等。</w:t>
            </w:r>
          </w:p>
        </w:tc>
        <w:tc>
          <w:tcPr>
            <w:tcW w:w="2268"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723"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41</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宋体" w:cs="宋体"/>
                <w:kern w:val="0"/>
                <w:sz w:val="22"/>
                <w:szCs w:val="22"/>
              </w:rPr>
            </w:pPr>
            <w:r>
              <w:rPr>
                <w:rFonts w:hint="eastAsia" w:ascii="宋体" w:hAnsi="宋体" w:cs="宋体"/>
                <w:kern w:val="0"/>
                <w:sz w:val="22"/>
                <w:szCs w:val="22"/>
              </w:rPr>
              <w:t>清洁间歇性导尿</w:t>
            </w:r>
          </w:p>
        </w:tc>
        <w:tc>
          <w:tcPr>
            <w:tcW w:w="6264"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hint="eastAsia" w:ascii="宋体" w:hAnsi="宋体" w:cs="宋体"/>
                <w:kern w:val="0"/>
                <w:sz w:val="22"/>
                <w:szCs w:val="22"/>
              </w:rPr>
              <w:t>在清洁条件下将尿管经尿道插入膀胱，排空尿液。</w:t>
            </w:r>
          </w:p>
        </w:tc>
        <w:tc>
          <w:tcPr>
            <w:tcW w:w="2268" w:type="dxa"/>
            <w:tcBorders>
              <w:top w:val="nil"/>
              <w:left w:val="nil"/>
              <w:bottom w:val="single" w:color="auto" w:sz="4" w:space="0"/>
              <w:right w:val="single" w:color="auto" w:sz="4" w:space="0"/>
            </w:tcBorders>
            <w:vAlign w:val="center"/>
          </w:tcPr>
          <w:p>
            <w:pPr>
              <w:widowControl/>
              <w:spacing w:line="280" w:lineRule="exact"/>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960"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42</w:t>
            </w:r>
          </w:p>
        </w:tc>
        <w:tc>
          <w:tcPr>
            <w:tcW w:w="84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kern w:val="0"/>
                <w:sz w:val="28"/>
                <w:szCs w:val="28"/>
              </w:rPr>
            </w:pPr>
          </w:p>
        </w:tc>
        <w:tc>
          <w:tcPr>
            <w:tcW w:w="2410" w:type="dxa"/>
            <w:gridSpan w:val="2"/>
            <w:tcBorders>
              <w:top w:val="single" w:color="auto" w:sz="4" w:space="0"/>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自理能力训练指导</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hint="eastAsia" w:ascii="宋体" w:hAnsi="宋体" w:cs="宋体"/>
                <w:kern w:val="0"/>
                <w:sz w:val="22"/>
                <w:szCs w:val="22"/>
              </w:rPr>
              <w:t>给予患者生活自理能力训练，包括：个人卫生、进食、排便、穿衣等。</w:t>
            </w:r>
          </w:p>
        </w:tc>
        <w:tc>
          <w:tcPr>
            <w:tcW w:w="2268"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5</w:t>
            </w:r>
            <w:r>
              <w:rPr>
                <w:rFonts w:hint="eastAsia" w:ascii="宋体" w:hAnsi="宋体" w:cs="宋体"/>
                <w:kern w:val="0"/>
                <w:sz w:val="22"/>
                <w:szCs w:val="22"/>
              </w:rPr>
              <w:t>年以上临床护理工作经验和护师及以上技术职称</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2008"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43</w:t>
            </w:r>
          </w:p>
        </w:tc>
        <w:tc>
          <w:tcPr>
            <w:tcW w:w="846" w:type="dxa"/>
            <w:tcBorders>
              <w:top w:val="nil"/>
              <w:left w:val="nil"/>
              <w:bottom w:val="single" w:color="auto" w:sz="4" w:space="0"/>
              <w:right w:val="single" w:color="auto" w:sz="4" w:space="0"/>
            </w:tcBorders>
            <w:textDirection w:val="tbRlV"/>
            <w:vAlign w:val="center"/>
          </w:tcPr>
          <w:p>
            <w:pPr>
              <w:widowControl/>
              <w:jc w:val="center"/>
              <w:rPr>
                <w:rFonts w:ascii="宋体" w:cs="宋体"/>
                <w:b/>
                <w:bCs/>
                <w:kern w:val="0"/>
                <w:sz w:val="28"/>
                <w:szCs w:val="28"/>
              </w:rPr>
            </w:pPr>
            <w:r>
              <w:rPr>
                <w:rFonts w:hint="eastAsia" w:ascii="宋体" w:hAnsi="宋体" w:cs="宋体"/>
                <w:b/>
                <w:bCs/>
                <w:kern w:val="0"/>
                <w:sz w:val="28"/>
                <w:szCs w:val="28"/>
              </w:rPr>
              <w:t>安宁疗护</w:t>
            </w:r>
          </w:p>
        </w:tc>
        <w:tc>
          <w:tcPr>
            <w:tcW w:w="2410" w:type="dxa"/>
            <w:gridSpan w:val="2"/>
            <w:tcBorders>
              <w:top w:val="single" w:color="auto" w:sz="4" w:space="0"/>
              <w:left w:val="nil"/>
              <w:bottom w:val="single" w:color="auto" w:sz="4" w:space="0"/>
              <w:right w:val="single" w:color="000000" w:sz="4" w:space="0"/>
            </w:tcBorders>
            <w:vAlign w:val="center"/>
          </w:tcPr>
          <w:p>
            <w:pPr>
              <w:widowControl/>
              <w:jc w:val="center"/>
              <w:rPr>
                <w:rFonts w:ascii="宋体" w:cs="宋体"/>
                <w:kern w:val="0"/>
                <w:sz w:val="22"/>
                <w:szCs w:val="22"/>
              </w:rPr>
            </w:pPr>
            <w:r>
              <w:rPr>
                <w:rFonts w:hint="eastAsia" w:ascii="宋体" w:hAnsi="宋体" w:cs="宋体"/>
                <w:kern w:val="0"/>
                <w:sz w:val="22"/>
                <w:szCs w:val="22"/>
              </w:rPr>
              <w:t>居家安宁疗护</w:t>
            </w:r>
          </w:p>
        </w:tc>
        <w:tc>
          <w:tcPr>
            <w:tcW w:w="6264" w:type="dxa"/>
            <w:tcBorders>
              <w:top w:val="nil"/>
              <w:left w:val="nil"/>
              <w:bottom w:val="single" w:color="auto" w:sz="4" w:space="0"/>
              <w:right w:val="single" w:color="auto" w:sz="4" w:space="0"/>
            </w:tcBorders>
            <w:vAlign w:val="center"/>
          </w:tcPr>
          <w:p>
            <w:pPr>
              <w:widowControl/>
              <w:jc w:val="left"/>
              <w:rPr>
                <w:rFonts w:ascii="宋体" w:cs="宋体"/>
                <w:kern w:val="0"/>
                <w:sz w:val="22"/>
                <w:szCs w:val="22"/>
              </w:rPr>
            </w:pPr>
            <w:r>
              <w:rPr>
                <w:rFonts w:ascii="宋体" w:hAnsi="宋体" w:cs="宋体"/>
                <w:kern w:val="0"/>
                <w:sz w:val="22"/>
                <w:szCs w:val="22"/>
              </w:rPr>
              <w:t>1</w:t>
            </w:r>
            <w:r>
              <w:rPr>
                <w:rFonts w:hint="eastAsia" w:ascii="宋体" w:hAnsi="宋体" w:cs="宋体"/>
                <w:kern w:val="0"/>
                <w:sz w:val="22"/>
                <w:szCs w:val="22"/>
              </w:rPr>
              <w:t>、评估：居家安宁疗护环境、安宁疗护需求、心理、心愿、安宁疗护症状及照护方案制定、营养与营养方案制定；</w:t>
            </w:r>
            <w:r>
              <w:rPr>
                <w:rFonts w:ascii="宋体" w:hAnsi="宋体" w:cs="宋体"/>
                <w:kern w:val="0"/>
                <w:sz w:val="22"/>
                <w:szCs w:val="22"/>
              </w:rPr>
              <w:t xml:space="preserve">                                                                   2</w:t>
            </w:r>
            <w:r>
              <w:rPr>
                <w:rFonts w:hint="eastAsia" w:ascii="宋体" w:hAnsi="宋体" w:cs="宋体"/>
                <w:kern w:val="0"/>
                <w:sz w:val="22"/>
                <w:szCs w:val="22"/>
              </w:rPr>
              <w:t>、患者转介安排与指导；</w:t>
            </w:r>
            <w:r>
              <w:rPr>
                <w:rFonts w:ascii="宋体" w:hAnsi="宋体" w:cs="宋体"/>
                <w:kern w:val="0"/>
                <w:sz w:val="22"/>
                <w:szCs w:val="22"/>
              </w:rPr>
              <w:t xml:space="preserve">                                                                             3</w:t>
            </w:r>
            <w:r>
              <w:rPr>
                <w:rFonts w:hint="eastAsia" w:ascii="宋体" w:hAnsi="宋体" w:cs="宋体"/>
                <w:kern w:val="0"/>
                <w:sz w:val="22"/>
                <w:szCs w:val="22"/>
              </w:rPr>
              <w:t>、提供遗体护理及丧葬准备与指导；</w:t>
            </w:r>
            <w:r>
              <w:rPr>
                <w:rFonts w:ascii="宋体" w:hAnsi="宋体" w:cs="宋体"/>
                <w:kern w:val="0"/>
                <w:sz w:val="22"/>
                <w:szCs w:val="22"/>
              </w:rPr>
              <w:t xml:space="preserve">                                        4</w:t>
            </w:r>
            <w:r>
              <w:rPr>
                <w:rFonts w:hint="eastAsia" w:ascii="宋体" w:hAnsi="宋体" w:cs="宋体"/>
                <w:kern w:val="0"/>
                <w:sz w:val="22"/>
                <w:szCs w:val="22"/>
              </w:rPr>
              <w:t>、提供家属心理咨询和哀伤辅导；</w:t>
            </w:r>
            <w:r>
              <w:rPr>
                <w:rFonts w:ascii="宋体" w:hAnsi="宋体" w:cs="宋体"/>
                <w:kern w:val="0"/>
                <w:sz w:val="22"/>
                <w:szCs w:val="22"/>
              </w:rPr>
              <w:t xml:space="preserve">                                                                     5</w:t>
            </w:r>
            <w:r>
              <w:rPr>
                <w:rFonts w:hint="eastAsia" w:ascii="宋体" w:hAnsi="宋体" w:cs="宋体"/>
                <w:kern w:val="0"/>
                <w:sz w:val="22"/>
                <w:szCs w:val="22"/>
              </w:rPr>
              <w:t>、给予照顾者教育和培训。</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2"/>
                <w:szCs w:val="22"/>
              </w:rPr>
            </w:pPr>
            <w:r>
              <w:rPr>
                <w:rFonts w:hint="eastAsia" w:ascii="宋体" w:hAnsi="宋体" w:cs="宋体"/>
                <w:kern w:val="0"/>
                <w:sz w:val="22"/>
                <w:szCs w:val="22"/>
              </w:rPr>
              <w:t>专科护士</w:t>
            </w:r>
          </w:p>
        </w:tc>
        <w:tc>
          <w:tcPr>
            <w:tcW w:w="2268" w:type="dxa"/>
            <w:tcBorders>
              <w:top w:val="nil"/>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　</w:t>
            </w:r>
          </w:p>
        </w:tc>
      </w:tr>
      <w:tr>
        <w:tblPrEx>
          <w:tblCellMar>
            <w:top w:w="0" w:type="dxa"/>
            <w:left w:w="108" w:type="dxa"/>
            <w:bottom w:w="0" w:type="dxa"/>
            <w:right w:w="108" w:type="dxa"/>
          </w:tblCellMar>
        </w:tblPrEx>
        <w:trPr>
          <w:trHeight w:val="525" w:hRule="atLeast"/>
        </w:trPr>
        <w:tc>
          <w:tcPr>
            <w:tcW w:w="14616" w:type="dxa"/>
            <w:gridSpan w:val="7"/>
            <w:tcBorders>
              <w:top w:val="single" w:color="auto" w:sz="4" w:space="0"/>
              <w:left w:val="single" w:color="auto" w:sz="4" w:space="0"/>
              <w:bottom w:val="single" w:color="auto" w:sz="4" w:space="0"/>
              <w:right w:val="single" w:color="auto" w:sz="4" w:space="0"/>
            </w:tcBorders>
            <w:shd w:val="clear" w:color="000000" w:fill="auto"/>
            <w:vAlign w:val="center"/>
          </w:tcPr>
          <w:p>
            <w:pPr>
              <w:widowControl/>
              <w:jc w:val="center"/>
              <w:rPr>
                <w:rFonts w:ascii="宋体" w:cs="宋体"/>
                <w:b/>
                <w:bCs/>
                <w:kern w:val="0"/>
                <w:sz w:val="22"/>
                <w:szCs w:val="22"/>
              </w:rPr>
            </w:pPr>
            <w:r>
              <w:rPr>
                <w:rFonts w:hint="eastAsia" w:ascii="宋体" w:hAnsi="宋体" w:cs="宋体"/>
                <w:b/>
                <w:bCs/>
                <w:kern w:val="0"/>
                <w:sz w:val="22"/>
                <w:szCs w:val="22"/>
              </w:rPr>
              <w:t>负面清单</w:t>
            </w:r>
          </w:p>
        </w:tc>
      </w:tr>
      <w:tr>
        <w:tblPrEx>
          <w:tblCellMar>
            <w:top w:w="0" w:type="dxa"/>
            <w:left w:w="108" w:type="dxa"/>
            <w:bottom w:w="0" w:type="dxa"/>
            <w:right w:w="108" w:type="dxa"/>
          </w:tblCellMar>
        </w:tblPrEx>
        <w:trPr>
          <w:trHeight w:val="52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1</w:t>
            </w:r>
          </w:p>
        </w:tc>
        <w:tc>
          <w:tcPr>
            <w:tcW w:w="14056" w:type="dxa"/>
            <w:gridSpan w:val="6"/>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2"/>
                <w:szCs w:val="22"/>
              </w:rPr>
            </w:pPr>
            <w:r>
              <w:rPr>
                <w:rFonts w:hint="eastAsia" w:ascii="宋体" w:hAnsi="宋体" w:cs="宋体"/>
                <w:kern w:val="0"/>
                <w:sz w:val="22"/>
                <w:szCs w:val="22"/>
              </w:rPr>
              <w:t>输液治疗相关操作：静脉输液（血）、静脉注射、血管通路置入。</w:t>
            </w:r>
          </w:p>
        </w:tc>
      </w:tr>
      <w:tr>
        <w:tblPrEx>
          <w:tblCellMar>
            <w:top w:w="0" w:type="dxa"/>
            <w:left w:w="108" w:type="dxa"/>
            <w:bottom w:w="0" w:type="dxa"/>
            <w:right w:w="108" w:type="dxa"/>
          </w:tblCellMar>
        </w:tblPrEx>
        <w:trPr>
          <w:trHeight w:val="55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2</w:t>
            </w:r>
          </w:p>
        </w:tc>
        <w:tc>
          <w:tcPr>
            <w:tcW w:w="14056" w:type="dxa"/>
            <w:gridSpan w:val="6"/>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2"/>
                <w:szCs w:val="22"/>
              </w:rPr>
            </w:pPr>
            <w:r>
              <w:rPr>
                <w:rFonts w:hint="eastAsia" w:ascii="宋体" w:hAnsi="宋体" w:cs="宋体"/>
                <w:kern w:val="0"/>
                <w:sz w:val="22"/>
                <w:szCs w:val="22"/>
              </w:rPr>
              <w:t>涉及含有精神药品、医疗毒性药品、放射性药品等特殊管理药品的操作项目。</w:t>
            </w:r>
          </w:p>
        </w:tc>
      </w:tr>
      <w:tr>
        <w:tblPrEx>
          <w:tblCellMar>
            <w:top w:w="0" w:type="dxa"/>
            <w:left w:w="108" w:type="dxa"/>
            <w:bottom w:w="0" w:type="dxa"/>
            <w:right w:w="108" w:type="dxa"/>
          </w:tblCellMar>
        </w:tblPrEx>
        <w:trPr>
          <w:trHeight w:val="52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3</w:t>
            </w:r>
          </w:p>
        </w:tc>
        <w:tc>
          <w:tcPr>
            <w:tcW w:w="14056" w:type="dxa"/>
            <w:gridSpan w:val="6"/>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2"/>
                <w:szCs w:val="22"/>
              </w:rPr>
            </w:pPr>
            <w:r>
              <w:rPr>
                <w:rFonts w:hint="eastAsia" w:ascii="宋体" w:hAnsi="宋体" w:cs="宋体"/>
                <w:kern w:val="0"/>
                <w:sz w:val="22"/>
                <w:szCs w:val="22"/>
              </w:rPr>
              <w:t>吸痰护理：非人工气道吸痰。</w:t>
            </w:r>
          </w:p>
        </w:tc>
      </w:tr>
      <w:tr>
        <w:tblPrEx>
          <w:tblCellMar>
            <w:top w:w="0" w:type="dxa"/>
            <w:left w:w="108" w:type="dxa"/>
            <w:bottom w:w="0" w:type="dxa"/>
            <w:right w:w="108" w:type="dxa"/>
          </w:tblCellMar>
        </w:tblPrEx>
        <w:trPr>
          <w:trHeight w:val="525" w:hRule="atLeast"/>
        </w:trPr>
        <w:tc>
          <w:tcPr>
            <w:tcW w:w="560"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 w:val="22"/>
                <w:szCs w:val="22"/>
              </w:rPr>
            </w:pPr>
            <w:r>
              <w:rPr>
                <w:rFonts w:ascii="宋体" w:hAnsi="宋体" w:cs="宋体"/>
                <w:kern w:val="0"/>
                <w:sz w:val="22"/>
                <w:szCs w:val="22"/>
              </w:rPr>
              <w:t>4</w:t>
            </w:r>
          </w:p>
        </w:tc>
        <w:tc>
          <w:tcPr>
            <w:tcW w:w="14056" w:type="dxa"/>
            <w:gridSpan w:val="6"/>
            <w:tcBorders>
              <w:top w:val="single" w:color="auto" w:sz="4" w:space="0"/>
              <w:left w:val="nil"/>
              <w:bottom w:val="single" w:color="auto" w:sz="4" w:space="0"/>
              <w:right w:val="single" w:color="000000" w:sz="4" w:space="0"/>
            </w:tcBorders>
            <w:vAlign w:val="center"/>
          </w:tcPr>
          <w:p>
            <w:pPr>
              <w:widowControl/>
              <w:jc w:val="left"/>
              <w:rPr>
                <w:rFonts w:ascii="宋体" w:cs="宋体"/>
                <w:kern w:val="0"/>
                <w:sz w:val="22"/>
                <w:szCs w:val="22"/>
              </w:rPr>
            </w:pPr>
            <w:r>
              <w:rPr>
                <w:rFonts w:hint="eastAsia" w:ascii="宋体" w:hAnsi="宋体" w:cs="宋体"/>
                <w:kern w:val="0"/>
                <w:sz w:val="22"/>
                <w:szCs w:val="22"/>
              </w:rPr>
              <w:t>动脉采血。</w:t>
            </w:r>
          </w:p>
        </w:tc>
      </w:tr>
    </w:tbl>
    <w:p>
      <w:pPr>
        <w:spacing w:line="540" w:lineRule="exact"/>
        <w:ind w:firstLine="480" w:firstLineChars="150"/>
        <w:rPr>
          <w:rFonts w:eastAsia="方正仿宋_GBK"/>
          <w:sz w:val="32"/>
          <w:szCs w:val="20"/>
        </w:rPr>
      </w:pPr>
    </w:p>
    <w:p>
      <w:pPr>
        <w:spacing w:line="540" w:lineRule="exact"/>
        <w:ind w:firstLine="480" w:firstLineChars="150"/>
        <w:rPr>
          <w:rFonts w:eastAsia="方正仿宋_GBK"/>
          <w:sz w:val="32"/>
          <w:szCs w:val="20"/>
        </w:rPr>
      </w:pPr>
    </w:p>
    <w:p/>
    <w:p>
      <w:pPr>
        <w:spacing w:line="360" w:lineRule="auto"/>
        <w:rPr>
          <w:rFonts w:ascii="仿宋" w:hAnsi="仿宋" w:eastAsia="仿宋"/>
          <w:sz w:val="32"/>
          <w:szCs w:val="32"/>
        </w:rPr>
      </w:pPr>
    </w:p>
    <w:p>
      <w:pPr>
        <w:spacing w:line="360" w:lineRule="auto"/>
        <w:rPr>
          <w:rFonts w:ascii="仿宋" w:hAnsi="仿宋" w:eastAsia="仿宋"/>
          <w:sz w:val="32"/>
          <w:szCs w:val="32"/>
        </w:rPr>
      </w:pPr>
    </w:p>
    <w:p>
      <w:pPr>
        <w:spacing w:line="360" w:lineRule="auto"/>
        <w:rPr>
          <w:rFonts w:ascii="仿宋" w:hAnsi="仿宋" w:eastAsia="仿宋"/>
          <w:sz w:val="32"/>
          <w:szCs w:val="32"/>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2D5FBE"/>
    <w:rsid w:val="6C2D5F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basedOn w:val="1"/>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2019-11-12T08:32:00Z</dcterms:created>
  <dc:creator>范燕</dc:creator>
  <cp:lastModifiedBy>范燕</cp:lastModifiedBy>
  <dcterms:modified xsi:type="dcterms:W3CDTF">2019-11-12T08:32:59Z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