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sz w:val="32"/>
          <w:szCs w:val="32"/>
        </w:rPr>
      </w:pPr>
      <w:r>
        <w:rPr>
          <w:rFonts w:hint="eastAsia" w:ascii="黑体" w:hAnsi="黑体" w:eastAsia="黑体"/>
          <w:bCs/>
          <w:spacing w:val="-20"/>
          <w:sz w:val="32"/>
          <w:szCs w:val="32"/>
        </w:rPr>
        <w:t>附件2：</w:t>
      </w:r>
    </w:p>
    <w:p>
      <w:pPr>
        <w:spacing w:before="120" w:beforeLines="50" w:after="120" w:afterLines="50" w:line="640" w:lineRule="exact"/>
        <w:jc w:val="center"/>
        <w:rPr>
          <w:rFonts w:hint="eastAsia" w:ascii="宋体" w:hAnsi="宋体"/>
          <w:bCs/>
          <w:sz w:val="44"/>
          <w:szCs w:val="44"/>
        </w:rPr>
      </w:pPr>
      <w:bookmarkStart w:id="0" w:name="_GoBack"/>
      <w:r>
        <w:rPr>
          <w:rFonts w:hint="eastAsia" w:ascii="宋体" w:hAnsi="宋体"/>
          <w:bCs/>
          <w:sz w:val="44"/>
          <w:szCs w:val="44"/>
        </w:rPr>
        <w:t>行政处罚案卷评查标准（一般程序）</w:t>
      </w:r>
    </w:p>
    <w:bookmarkEnd w:id="0"/>
    <w:p>
      <w:pPr>
        <w:ind w:firstLine="420"/>
        <w:rPr>
          <w:rFonts w:hint="eastAsia"/>
        </w:rPr>
      </w:pPr>
    </w:p>
    <w:p>
      <w:pPr>
        <w:ind w:firstLine="420"/>
      </w:pPr>
    </w:p>
    <w:tbl>
      <w:tblPr>
        <w:tblStyle w:val="4"/>
        <w:tblW w:w="8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18"/>
        <w:gridCol w:w="567"/>
        <w:gridCol w:w="4079"/>
        <w:gridCol w:w="1092"/>
        <w:gridCol w:w="842"/>
        <w:gridCol w:w="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3" w:hRule="atLeast"/>
          <w:jc w:val="center"/>
        </w:trPr>
        <w:tc>
          <w:tcPr>
            <w:tcW w:w="1418"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案件名称</w:t>
            </w:r>
          </w:p>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及案号</w:t>
            </w:r>
          </w:p>
        </w:tc>
        <w:tc>
          <w:tcPr>
            <w:tcW w:w="4646" w:type="dxa"/>
            <w:gridSpan w:val="2"/>
            <w:noWrap w:val="0"/>
            <w:vAlign w:val="center"/>
          </w:tcPr>
          <w:p>
            <w:pPr>
              <w:autoSpaceDE w:val="0"/>
              <w:autoSpaceDN w:val="0"/>
              <w:spacing w:line="340" w:lineRule="exact"/>
              <w:jc w:val="center"/>
              <w:rPr>
                <w:rFonts w:ascii="仿宋" w:hAnsi="仿宋" w:eastAsia="仿宋" w:cs="宋体"/>
                <w:color w:val="000000"/>
                <w:kern w:val="0"/>
                <w:szCs w:val="21"/>
              </w:rPr>
            </w:pPr>
          </w:p>
        </w:tc>
        <w:tc>
          <w:tcPr>
            <w:tcW w:w="1092" w:type="dxa"/>
            <w:vMerge w:val="restart"/>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得分</w:t>
            </w:r>
          </w:p>
        </w:tc>
        <w:tc>
          <w:tcPr>
            <w:tcW w:w="1416" w:type="dxa"/>
            <w:gridSpan w:val="2"/>
            <w:vMerge w:val="restart"/>
            <w:noWrap w:val="0"/>
            <w:vAlign w:val="center"/>
          </w:tcPr>
          <w:p>
            <w:pPr>
              <w:autoSpaceDE w:val="0"/>
              <w:autoSpaceDN w:val="0"/>
              <w:spacing w:line="340" w:lineRule="exact"/>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1" w:hRule="atLeast"/>
          <w:jc w:val="center"/>
        </w:trPr>
        <w:tc>
          <w:tcPr>
            <w:tcW w:w="1418"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办案单位</w:t>
            </w:r>
          </w:p>
        </w:tc>
        <w:tc>
          <w:tcPr>
            <w:tcW w:w="4646" w:type="dxa"/>
            <w:gridSpan w:val="2"/>
            <w:noWrap w:val="0"/>
            <w:vAlign w:val="center"/>
          </w:tcPr>
          <w:p>
            <w:pPr>
              <w:autoSpaceDE w:val="0"/>
              <w:autoSpaceDN w:val="0"/>
              <w:spacing w:line="340" w:lineRule="exact"/>
              <w:jc w:val="center"/>
              <w:rPr>
                <w:rFonts w:ascii="仿宋" w:hAnsi="仿宋" w:eastAsia="仿宋" w:cs="宋体"/>
                <w:color w:val="000000"/>
                <w:kern w:val="0"/>
                <w:szCs w:val="21"/>
              </w:rPr>
            </w:pPr>
          </w:p>
        </w:tc>
        <w:tc>
          <w:tcPr>
            <w:tcW w:w="1092"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1416" w:type="dxa"/>
            <w:gridSpan w:val="2"/>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54" w:hRule="atLeast"/>
          <w:jc w:val="center"/>
        </w:trPr>
        <w:tc>
          <w:tcPr>
            <w:tcW w:w="1418"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评查人</w:t>
            </w:r>
          </w:p>
        </w:tc>
        <w:tc>
          <w:tcPr>
            <w:tcW w:w="4646" w:type="dxa"/>
            <w:gridSpan w:val="2"/>
            <w:noWrap w:val="0"/>
            <w:vAlign w:val="center"/>
          </w:tcPr>
          <w:p>
            <w:pPr>
              <w:autoSpaceDE w:val="0"/>
              <w:autoSpaceDN w:val="0"/>
              <w:spacing w:line="340" w:lineRule="exact"/>
              <w:jc w:val="center"/>
              <w:rPr>
                <w:rFonts w:ascii="仿宋" w:hAnsi="仿宋" w:eastAsia="仿宋" w:cs="宋体"/>
                <w:color w:val="000000"/>
                <w:kern w:val="0"/>
                <w:szCs w:val="21"/>
              </w:rPr>
            </w:pPr>
          </w:p>
        </w:tc>
        <w:tc>
          <w:tcPr>
            <w:tcW w:w="1092"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1416" w:type="dxa"/>
            <w:gridSpan w:val="2"/>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8" w:hRule="atLeast"/>
          <w:jc w:val="center"/>
        </w:trPr>
        <w:tc>
          <w:tcPr>
            <w:tcW w:w="1418"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复查人</w:t>
            </w:r>
          </w:p>
        </w:tc>
        <w:tc>
          <w:tcPr>
            <w:tcW w:w="4646" w:type="dxa"/>
            <w:gridSpan w:val="2"/>
            <w:noWrap w:val="0"/>
            <w:vAlign w:val="center"/>
          </w:tcPr>
          <w:p>
            <w:pPr>
              <w:autoSpaceDE w:val="0"/>
              <w:autoSpaceDN w:val="0"/>
              <w:spacing w:line="340" w:lineRule="exact"/>
              <w:jc w:val="center"/>
              <w:rPr>
                <w:rFonts w:ascii="仿宋" w:hAnsi="仿宋" w:eastAsia="仿宋" w:cs="宋体"/>
                <w:color w:val="000000"/>
                <w:kern w:val="0"/>
                <w:szCs w:val="21"/>
              </w:rPr>
            </w:pPr>
          </w:p>
        </w:tc>
        <w:tc>
          <w:tcPr>
            <w:tcW w:w="1092"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1416" w:type="dxa"/>
            <w:gridSpan w:val="2"/>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9" w:hRule="atLeast"/>
          <w:jc w:val="center"/>
        </w:trPr>
        <w:tc>
          <w:tcPr>
            <w:tcW w:w="1418"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项目</w:t>
            </w: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序号</w:t>
            </w:r>
          </w:p>
        </w:tc>
        <w:tc>
          <w:tcPr>
            <w:tcW w:w="4079"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评查内容</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扣分标准</w:t>
            </w:r>
          </w:p>
        </w:tc>
        <w:tc>
          <w:tcPr>
            <w:tcW w:w="84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所在案</w:t>
            </w:r>
          </w:p>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卷位置</w:t>
            </w:r>
          </w:p>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(页码)</w:t>
            </w:r>
          </w:p>
        </w:tc>
        <w:tc>
          <w:tcPr>
            <w:tcW w:w="574"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31" w:hRule="atLeast"/>
          <w:jc w:val="center"/>
        </w:trPr>
        <w:tc>
          <w:tcPr>
            <w:tcW w:w="1418" w:type="dxa"/>
            <w:vMerge w:val="restart"/>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执法主体</w:t>
            </w:r>
          </w:p>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执法主体错误(无管辖权，无法定的实施行政处罚的资格)的</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全卷0分</w:t>
            </w:r>
          </w:p>
        </w:tc>
        <w:tc>
          <w:tcPr>
            <w:tcW w:w="842" w:type="dxa"/>
            <w:noWrap w:val="0"/>
            <w:vAlign w:val="top"/>
          </w:tcPr>
          <w:p>
            <w:pPr>
              <w:autoSpaceDE w:val="0"/>
              <w:autoSpaceDN w:val="0"/>
              <w:spacing w:line="340" w:lineRule="exact"/>
              <w:rPr>
                <w:rFonts w:ascii="仿宋" w:hAnsi="仿宋" w:eastAsia="仿宋" w:cs="宋体"/>
                <w:color w:val="000000"/>
                <w:kern w:val="0"/>
                <w:szCs w:val="21"/>
              </w:rPr>
            </w:pPr>
          </w:p>
        </w:tc>
        <w:tc>
          <w:tcPr>
            <w:tcW w:w="574" w:type="dxa"/>
            <w:noWrap w:val="0"/>
            <w:vAlign w:val="top"/>
          </w:tcPr>
          <w:p>
            <w:pPr>
              <w:autoSpaceDE w:val="0"/>
              <w:autoSpaceDN w:val="0"/>
              <w:spacing w:line="340" w:lineRule="exact"/>
              <w:ind w:firstLine="420"/>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7" w:hRule="atLeast"/>
          <w:jc w:val="center"/>
        </w:trPr>
        <w:tc>
          <w:tcPr>
            <w:tcW w:w="1418"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2</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具备执法资格的执法人员少于两人的</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20分</w:t>
            </w:r>
          </w:p>
        </w:tc>
        <w:tc>
          <w:tcPr>
            <w:tcW w:w="842" w:type="dxa"/>
            <w:noWrap w:val="0"/>
            <w:vAlign w:val="top"/>
          </w:tcPr>
          <w:p>
            <w:pPr>
              <w:autoSpaceDE w:val="0"/>
              <w:autoSpaceDN w:val="0"/>
              <w:spacing w:line="340" w:lineRule="exact"/>
              <w:ind w:firstLine="420"/>
              <w:rPr>
                <w:rFonts w:ascii="仿宋" w:hAnsi="仿宋" w:eastAsia="仿宋"/>
                <w:kern w:val="0"/>
                <w:szCs w:val="21"/>
              </w:rPr>
            </w:pPr>
          </w:p>
        </w:tc>
        <w:tc>
          <w:tcPr>
            <w:tcW w:w="574" w:type="dxa"/>
            <w:noWrap w:val="0"/>
            <w:vAlign w:val="top"/>
          </w:tcPr>
          <w:p>
            <w:pPr>
              <w:autoSpaceDE w:val="0"/>
              <w:autoSpaceDN w:val="0"/>
              <w:spacing w:line="340" w:lineRule="exact"/>
              <w:ind w:firstLine="420"/>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3" w:hRule="atLeast"/>
          <w:jc w:val="center"/>
        </w:trPr>
        <w:tc>
          <w:tcPr>
            <w:tcW w:w="1418" w:type="dxa"/>
            <w:vMerge w:val="restart"/>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违法主体认定</w:t>
            </w:r>
          </w:p>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违法主体认定错误的</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全卷0分</w:t>
            </w:r>
          </w:p>
        </w:tc>
        <w:tc>
          <w:tcPr>
            <w:tcW w:w="842" w:type="dxa"/>
            <w:noWrap w:val="0"/>
            <w:vAlign w:val="top"/>
          </w:tcPr>
          <w:p>
            <w:pPr>
              <w:autoSpaceDE w:val="0"/>
              <w:autoSpaceDN w:val="0"/>
              <w:spacing w:line="340" w:lineRule="exact"/>
              <w:ind w:firstLine="420"/>
              <w:rPr>
                <w:rFonts w:ascii="仿宋" w:hAnsi="仿宋" w:eastAsia="仿宋"/>
                <w:kern w:val="0"/>
                <w:szCs w:val="21"/>
              </w:rPr>
            </w:pPr>
          </w:p>
        </w:tc>
        <w:tc>
          <w:tcPr>
            <w:tcW w:w="574" w:type="dxa"/>
            <w:noWrap w:val="0"/>
            <w:vAlign w:val="top"/>
          </w:tcPr>
          <w:p>
            <w:pPr>
              <w:autoSpaceDE w:val="0"/>
              <w:autoSpaceDN w:val="0"/>
              <w:spacing w:line="340" w:lineRule="exact"/>
              <w:ind w:firstLine="420"/>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7" w:hRule="atLeast"/>
          <w:jc w:val="center"/>
        </w:trPr>
        <w:tc>
          <w:tcPr>
            <w:tcW w:w="1418"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共同违法中，对其他违法主体无处理意见的</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3分</w:t>
            </w:r>
          </w:p>
        </w:tc>
        <w:tc>
          <w:tcPr>
            <w:tcW w:w="842" w:type="dxa"/>
            <w:noWrap w:val="0"/>
            <w:vAlign w:val="top"/>
          </w:tcPr>
          <w:p>
            <w:pPr>
              <w:autoSpaceDE w:val="0"/>
              <w:autoSpaceDN w:val="0"/>
              <w:spacing w:line="340" w:lineRule="exact"/>
              <w:ind w:firstLine="420"/>
              <w:rPr>
                <w:rFonts w:ascii="仿宋" w:hAnsi="仿宋" w:eastAsia="仿宋"/>
                <w:kern w:val="0"/>
                <w:szCs w:val="21"/>
              </w:rPr>
            </w:pPr>
          </w:p>
        </w:tc>
        <w:tc>
          <w:tcPr>
            <w:tcW w:w="574" w:type="dxa"/>
            <w:noWrap w:val="0"/>
            <w:vAlign w:val="top"/>
          </w:tcPr>
          <w:p>
            <w:pPr>
              <w:autoSpaceDE w:val="0"/>
              <w:autoSpaceDN w:val="0"/>
              <w:spacing w:line="340" w:lineRule="exact"/>
              <w:ind w:firstLine="420"/>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6" w:hRule="atLeast"/>
          <w:jc w:val="center"/>
        </w:trPr>
        <w:tc>
          <w:tcPr>
            <w:tcW w:w="1418"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违法主体基本情况调查不全的，或表述错误的（当事人姓名或者名称、住所或经营场所、单位、经营范围、当事人身份或主体资格证明等)</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842" w:type="dxa"/>
            <w:noWrap w:val="0"/>
            <w:vAlign w:val="top"/>
          </w:tcPr>
          <w:p>
            <w:pPr>
              <w:autoSpaceDE w:val="0"/>
              <w:autoSpaceDN w:val="0"/>
              <w:spacing w:line="340" w:lineRule="exact"/>
              <w:ind w:firstLine="420"/>
              <w:rPr>
                <w:rFonts w:ascii="仿宋" w:hAnsi="仿宋" w:eastAsia="仿宋"/>
                <w:kern w:val="0"/>
                <w:szCs w:val="21"/>
              </w:rPr>
            </w:pPr>
          </w:p>
        </w:tc>
        <w:tc>
          <w:tcPr>
            <w:tcW w:w="574" w:type="dxa"/>
            <w:noWrap w:val="0"/>
            <w:vAlign w:val="top"/>
          </w:tcPr>
          <w:p>
            <w:pPr>
              <w:autoSpaceDE w:val="0"/>
              <w:autoSpaceDN w:val="0"/>
              <w:spacing w:line="340" w:lineRule="exact"/>
              <w:ind w:firstLine="420"/>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54" w:hRule="atLeast"/>
          <w:jc w:val="center"/>
        </w:trPr>
        <w:tc>
          <w:tcPr>
            <w:tcW w:w="1418" w:type="dxa"/>
            <w:vMerge w:val="restart"/>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违法事实</w:t>
            </w:r>
          </w:p>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违法事实不清，影响案件法定处罚种类与法定幅度的(发生时间、地点、手段、情节、结果，涉案物品的名称、规格、来源、数量、购销价格、购货款、销货款、货款的结算情况以及相关的合同订立情况，涉案违法所得、非法经营额、货值金额的计算情况等)</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全卷0分</w:t>
            </w:r>
          </w:p>
        </w:tc>
        <w:tc>
          <w:tcPr>
            <w:tcW w:w="842" w:type="dxa"/>
            <w:noWrap w:val="0"/>
            <w:vAlign w:val="top"/>
          </w:tcPr>
          <w:p>
            <w:pPr>
              <w:autoSpaceDE w:val="0"/>
              <w:autoSpaceDN w:val="0"/>
              <w:spacing w:line="340" w:lineRule="exact"/>
              <w:ind w:firstLine="420"/>
              <w:rPr>
                <w:rFonts w:ascii="仿宋" w:hAnsi="仿宋" w:eastAsia="仿宋"/>
                <w:kern w:val="0"/>
                <w:szCs w:val="21"/>
              </w:rPr>
            </w:pPr>
          </w:p>
        </w:tc>
        <w:tc>
          <w:tcPr>
            <w:tcW w:w="574" w:type="dxa"/>
            <w:noWrap w:val="0"/>
            <w:vAlign w:val="top"/>
          </w:tcPr>
          <w:p>
            <w:pPr>
              <w:autoSpaceDE w:val="0"/>
              <w:autoSpaceDN w:val="0"/>
              <w:spacing w:line="340" w:lineRule="exact"/>
              <w:ind w:firstLine="420"/>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14" w:hRule="atLeast"/>
          <w:jc w:val="center"/>
        </w:trPr>
        <w:tc>
          <w:tcPr>
            <w:tcW w:w="1418" w:type="dxa"/>
            <w:vMerge w:val="continue"/>
            <w:noWrap w:val="0"/>
            <w:vAlign w:val="center"/>
          </w:tcPr>
          <w:p>
            <w:pPr>
              <w:autoSpaceDE w:val="0"/>
              <w:autoSpaceDN w:val="0"/>
              <w:spacing w:line="340" w:lineRule="exact"/>
              <w:jc w:val="center"/>
              <w:rPr>
                <w:rFonts w:ascii="仿宋" w:hAnsi="仿宋" w:eastAsia="仿宋" w:cs="宋体"/>
                <w:color w:val="000000"/>
                <w:kern w:val="0"/>
                <w:szCs w:val="21"/>
              </w:rPr>
            </w:pPr>
          </w:p>
        </w:tc>
        <w:tc>
          <w:tcPr>
            <w:tcW w:w="56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c>
          <w:tcPr>
            <w:tcW w:w="4079" w:type="dxa"/>
            <w:noWrap w:val="0"/>
            <w:vAlign w:val="top"/>
          </w:tcPr>
          <w:p>
            <w:pPr>
              <w:autoSpaceDE w:val="0"/>
              <w:autoSpaceDN w:val="0"/>
              <w:spacing w:line="340" w:lineRule="exact"/>
              <w:rPr>
                <w:rFonts w:ascii="仿宋" w:hAnsi="仿宋" w:eastAsia="仿宋" w:cs="宋体"/>
                <w:color w:val="000000"/>
                <w:kern w:val="0"/>
                <w:szCs w:val="21"/>
              </w:rPr>
            </w:pPr>
            <w:r>
              <w:rPr>
                <w:rFonts w:hint="eastAsia" w:ascii="仿宋" w:hAnsi="仿宋" w:eastAsia="仿宋" w:cs="宋体"/>
                <w:color w:val="000000"/>
                <w:kern w:val="0"/>
                <w:szCs w:val="21"/>
              </w:rPr>
              <w:t>案件发生时间、地点、手段、情节、结果，涉案物品的名称、规格、来源、数量、购销价格、购货款、销货款、货款的结算情况以及相关的合同订立情况，涉案违法所得、非法经营额、货值金额的计算等情况有偏差，不影响案件法定处罚种类与法定幅度的</w:t>
            </w:r>
          </w:p>
        </w:tc>
        <w:tc>
          <w:tcPr>
            <w:tcW w:w="1092"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有一项扣0.5分(共2</w:t>
            </w:r>
          </w:p>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分)</w:t>
            </w:r>
          </w:p>
        </w:tc>
        <w:tc>
          <w:tcPr>
            <w:tcW w:w="842" w:type="dxa"/>
            <w:noWrap w:val="0"/>
            <w:vAlign w:val="top"/>
          </w:tcPr>
          <w:p>
            <w:pPr>
              <w:autoSpaceDE w:val="0"/>
              <w:autoSpaceDN w:val="0"/>
              <w:ind w:firstLine="480"/>
              <w:rPr>
                <w:rFonts w:ascii="仿宋" w:hAnsi="仿宋" w:eastAsia="仿宋"/>
                <w:kern w:val="0"/>
                <w:sz w:val="24"/>
              </w:rPr>
            </w:pPr>
          </w:p>
        </w:tc>
        <w:tc>
          <w:tcPr>
            <w:tcW w:w="574" w:type="dxa"/>
            <w:noWrap w:val="0"/>
            <w:vAlign w:val="top"/>
          </w:tcPr>
          <w:p>
            <w:pPr>
              <w:autoSpaceDE w:val="0"/>
              <w:autoSpaceDN w:val="0"/>
              <w:ind w:firstLine="360"/>
              <w:rPr>
                <w:rFonts w:ascii="仿宋" w:hAnsi="仿宋" w:eastAsia="仿宋" w:cs="宋体"/>
                <w:color w:val="000000"/>
                <w:kern w:val="0"/>
                <w:sz w:val="18"/>
                <w:szCs w:val="18"/>
              </w:rPr>
            </w:pPr>
          </w:p>
        </w:tc>
      </w:tr>
    </w:tbl>
    <w:p>
      <w:pPr>
        <w:autoSpaceDE w:val="0"/>
        <w:autoSpaceDN w:val="0"/>
        <w:adjustRightInd w:val="0"/>
        <w:ind w:firstLine="360"/>
        <w:jc w:val="left"/>
        <w:rPr>
          <w:rFonts w:ascii="仿宋" w:hAnsi="仿宋" w:eastAsia="仿宋" w:cs="宋体"/>
          <w:color w:val="000000"/>
          <w:kern w:val="0"/>
          <w:sz w:val="18"/>
          <w:szCs w:val="18"/>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38"/>
        <w:gridCol w:w="760"/>
        <w:gridCol w:w="490"/>
        <w:gridCol w:w="3990"/>
        <w:gridCol w:w="1287"/>
        <w:gridCol w:w="638"/>
        <w:gridCol w:w="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06" w:hRule="atLeast"/>
          <w:jc w:val="center"/>
        </w:trPr>
        <w:tc>
          <w:tcPr>
            <w:tcW w:w="838" w:type="dxa"/>
            <w:vMerge w:val="restart"/>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证据收集</w:t>
            </w:r>
          </w:p>
          <w:p>
            <w:pPr>
              <w:autoSpaceDE w:val="0"/>
              <w:autoSpaceDN w:val="0"/>
              <w:spacing w:line="340" w:lineRule="exact"/>
              <w:jc w:val="center"/>
              <w:rPr>
                <w:rFonts w:ascii="仿宋" w:hAnsi="仿宋" w:eastAsia="仿宋" w:cs="宋体"/>
                <w:color w:val="000000"/>
                <w:kern w:val="0"/>
                <w:szCs w:val="21"/>
              </w:rPr>
            </w:pPr>
          </w:p>
        </w:tc>
        <w:tc>
          <w:tcPr>
            <w:tcW w:w="760" w:type="dxa"/>
            <w:vMerge w:val="restart"/>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书证</w:t>
            </w: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询问笔录无起止时间或起止时间不全的；前后时间冲突的；制作询问笔录未注明向被询问人出示行政执法身份证件／证明的，询问没有个别进行，同一时间段体现出制作了多份不同对象的询问笔录</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7"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9</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询问笔录办案人员未签名、被询问人未逐页签名或盖章的(办案人员一人签名视为未签名)</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38" w:type="dxa"/>
            <w:noWrap w:val="0"/>
            <w:vAlign w:val="top"/>
          </w:tcPr>
          <w:p>
            <w:pPr>
              <w:autoSpaceDE w:val="0"/>
              <w:autoSpaceDN w:val="0"/>
              <w:spacing w:line="340" w:lineRule="exact"/>
              <w:rPr>
                <w:rFonts w:ascii="仿宋" w:hAnsi="仿宋" w:eastAsia="仿宋"/>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2"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提取复制件、影印件、抄录件未经证据提供人核对无误后注明与原件、原物一致，并由证据提供人签名或盖章并注明出证日期、出处的；使用热敏纸的传真件未经复印入卷的</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有一项扣l</w:t>
            </w:r>
          </w:p>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分（共2分)</w:t>
            </w:r>
          </w:p>
        </w:tc>
        <w:tc>
          <w:tcPr>
            <w:tcW w:w="638" w:type="dxa"/>
            <w:noWrap w:val="0"/>
            <w:vAlign w:val="top"/>
          </w:tcPr>
          <w:p>
            <w:pPr>
              <w:autoSpaceDE w:val="0"/>
              <w:autoSpaceDN w:val="0"/>
              <w:spacing w:line="340" w:lineRule="exact"/>
              <w:rPr>
                <w:rFonts w:ascii="仿宋" w:hAnsi="仿宋" w:eastAsia="仿宋"/>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11</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案卷中无应当提供的相关人员的身份证明材料的；新版身份证未双面复印的</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有一项扣1分(共2分)</w:t>
            </w:r>
          </w:p>
        </w:tc>
        <w:tc>
          <w:tcPr>
            <w:tcW w:w="638" w:type="dxa"/>
            <w:noWrap w:val="0"/>
            <w:vAlign w:val="top"/>
          </w:tcPr>
          <w:p>
            <w:pPr>
              <w:autoSpaceDE w:val="0"/>
              <w:autoSpaceDN w:val="0"/>
              <w:spacing w:line="340" w:lineRule="exact"/>
              <w:rPr>
                <w:rFonts w:ascii="仿宋" w:hAnsi="仿宋" w:eastAsia="仿宋"/>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8"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cs="宋体"/>
                <w:color w:val="000000"/>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12</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案件进行检查或询问的企业应当提供执照或相关许可证件，没有其证件复印件或工商网上下载的登记注册信息资料未经登记机关盖章的</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有一项扣l   分(共2分)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8"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cs="宋体"/>
                <w:color w:val="000000"/>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13</w:t>
            </w:r>
          </w:p>
        </w:tc>
        <w:tc>
          <w:tcPr>
            <w:tcW w:w="3990" w:type="dxa"/>
            <w:noWrap w:val="0"/>
            <w:vAlign w:val="center"/>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当事人有委托行为，没有委托书的</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每一人次无委托书扣2分(共4分)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6"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cs="宋体"/>
                <w:color w:val="000000"/>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14</w:t>
            </w:r>
          </w:p>
        </w:tc>
        <w:tc>
          <w:tcPr>
            <w:tcW w:w="3990" w:type="dxa"/>
            <w:noWrap w:val="0"/>
            <w:vAlign w:val="center"/>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当事人有委托书，但委托事项、期限不明的(表明全权委托的，不属委托事项不明)</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有—项扣l  分(共2分)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8"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cs="宋体"/>
                <w:color w:val="000000"/>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15</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在域外取得的证据，未说明来源，未经所在国公证机关证明，并未经中华人民共和国驻该国使领馆认证，或者未履行中华人民共和国与证据所在国订立的有关条约中规定的证明手续的；港澳台地区取得的证据，未按照有关规定办理证明手续的</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有一项扣l   分（2分)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1"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vMerge w:val="continue"/>
            <w:noWrap w:val="0"/>
            <w:vAlign w:val="top"/>
          </w:tcPr>
          <w:p>
            <w:pPr>
              <w:autoSpaceDE w:val="0"/>
              <w:autoSpaceDN w:val="0"/>
              <w:spacing w:line="340" w:lineRule="exact"/>
              <w:rPr>
                <w:rFonts w:ascii="仿宋" w:hAnsi="仿宋" w:eastAsia="仿宋" w:cs="宋体"/>
                <w:color w:val="000000"/>
                <w:kern w:val="0"/>
                <w:szCs w:val="21"/>
              </w:rPr>
            </w:pP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16</w:t>
            </w:r>
          </w:p>
        </w:tc>
        <w:tc>
          <w:tcPr>
            <w:tcW w:w="3990" w:type="dxa"/>
            <w:noWrap w:val="0"/>
            <w:vAlign w:val="center"/>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当事人拒绝签名、盖章或以其他方式确认，未在笔录或其他材料上注明原因的</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8"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物证</w:t>
            </w: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17</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调取原物有困难的，可以拍摄或者制作足以反映原物外形或者内容的照片、录像，照片、录像由证据提供人核对无误后注明与原物一致，并注明出证日期、证据出处，同时签名或者盖章</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违反一项扣1分(共2分)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8" w:hRule="atLeast"/>
          <w:jc w:val="center"/>
        </w:trPr>
        <w:tc>
          <w:tcPr>
            <w:tcW w:w="838" w:type="dxa"/>
            <w:vMerge w:val="continue"/>
            <w:noWrap w:val="0"/>
            <w:vAlign w:val="top"/>
          </w:tcPr>
          <w:p>
            <w:pPr>
              <w:autoSpaceDE w:val="0"/>
              <w:autoSpaceDN w:val="0"/>
              <w:spacing w:line="340" w:lineRule="exact"/>
              <w:rPr>
                <w:rFonts w:ascii="仿宋" w:hAnsi="仿宋" w:eastAsia="仿宋"/>
                <w:kern w:val="0"/>
                <w:szCs w:val="21"/>
              </w:rPr>
            </w:pPr>
          </w:p>
        </w:tc>
        <w:tc>
          <w:tcPr>
            <w:tcW w:w="76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视听</w:t>
            </w:r>
          </w:p>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资料</w:t>
            </w:r>
          </w:p>
        </w:tc>
        <w:tc>
          <w:tcPr>
            <w:tcW w:w="490"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18</w:t>
            </w:r>
          </w:p>
        </w:tc>
        <w:tc>
          <w:tcPr>
            <w:tcW w:w="3990" w:type="dxa"/>
            <w:noWrap w:val="0"/>
            <w:vAlign w:val="top"/>
          </w:tcPr>
          <w:p>
            <w:pPr>
              <w:autoSpaceDE w:val="0"/>
              <w:autoSpaceDN w:val="0"/>
              <w:spacing w:line="320" w:lineRule="exact"/>
              <w:rPr>
                <w:rFonts w:ascii="仿宋" w:hAnsi="仿宋" w:eastAsia="仿宋" w:cs="宋体"/>
                <w:color w:val="000000"/>
                <w:kern w:val="0"/>
                <w:szCs w:val="21"/>
              </w:rPr>
            </w:pPr>
            <w:r>
              <w:rPr>
                <w:rFonts w:hint="eastAsia" w:ascii="仿宋" w:hAnsi="仿宋" w:eastAsia="仿宋" w:cs="宋体"/>
                <w:color w:val="000000"/>
                <w:kern w:val="0"/>
                <w:szCs w:val="21"/>
              </w:rPr>
              <w:t>收集、调取的视听资料应当是有关资料的原始载体；调取视听资料原始载体有困难的，可以提取复制件，并注明制作方法、制作时间、制作人等；声音资料应当附有该声音内容的文字记录</w:t>
            </w:r>
          </w:p>
        </w:tc>
        <w:tc>
          <w:tcPr>
            <w:tcW w:w="1287" w:type="dxa"/>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违反一项扣1分(共2分)</w:t>
            </w:r>
          </w:p>
        </w:tc>
        <w:tc>
          <w:tcPr>
            <w:tcW w:w="638" w:type="dxa"/>
            <w:noWrap w:val="0"/>
            <w:vAlign w:val="top"/>
          </w:tcPr>
          <w:p>
            <w:pPr>
              <w:autoSpaceDE w:val="0"/>
              <w:autoSpaceDN w:val="0"/>
              <w:spacing w:line="340" w:lineRule="exact"/>
              <w:rPr>
                <w:rFonts w:ascii="仿宋" w:hAnsi="仿宋" w:eastAsia="仿宋" w:cs="宋体"/>
                <w:color w:val="000000"/>
                <w:kern w:val="0"/>
                <w:szCs w:val="21"/>
              </w:rPr>
            </w:pPr>
          </w:p>
        </w:tc>
        <w:tc>
          <w:tcPr>
            <w:tcW w:w="644" w:type="dxa"/>
            <w:noWrap w:val="0"/>
            <w:vAlign w:val="top"/>
          </w:tcPr>
          <w:p>
            <w:pPr>
              <w:autoSpaceDE w:val="0"/>
              <w:autoSpaceDN w:val="0"/>
              <w:spacing w:line="340" w:lineRule="exact"/>
              <w:rPr>
                <w:rFonts w:ascii="仿宋" w:hAnsi="仿宋" w:eastAsia="仿宋"/>
                <w:kern w:val="0"/>
                <w:szCs w:val="21"/>
              </w:rPr>
            </w:pPr>
          </w:p>
        </w:tc>
      </w:tr>
    </w:tbl>
    <w:p>
      <w:pPr>
        <w:spacing w:line="100" w:lineRule="exact"/>
        <w:ind w:firstLine="420"/>
        <w:rPr>
          <w:rFonts w:ascii="仿宋" w:hAnsi="仿宋" w:eastAsia="仿宋"/>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56"/>
        <w:gridCol w:w="728"/>
        <w:gridCol w:w="462"/>
        <w:gridCol w:w="4171"/>
        <w:gridCol w:w="1120"/>
        <w:gridCol w:w="686"/>
        <w:gridCol w:w="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58" w:hRule="atLeast"/>
          <w:jc w:val="center"/>
        </w:trPr>
        <w:tc>
          <w:tcPr>
            <w:tcW w:w="856" w:type="dxa"/>
            <w:vMerge w:val="restart"/>
            <w:noWrap w:val="0"/>
            <w:vAlign w:val="top"/>
          </w:tcPr>
          <w:p>
            <w:pPr>
              <w:autoSpaceDE w:val="0"/>
              <w:autoSpaceDN w:val="0"/>
              <w:spacing w:line="340" w:lineRule="exact"/>
              <w:rPr>
                <w:rFonts w:hint="eastAsia" w:ascii="仿宋" w:hAnsi="仿宋" w:eastAsia="仿宋"/>
                <w:kern w:val="0"/>
                <w:szCs w:val="21"/>
              </w:rPr>
            </w:pPr>
          </w:p>
        </w:tc>
        <w:tc>
          <w:tcPr>
            <w:tcW w:w="728"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电子</w:t>
            </w:r>
          </w:p>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证据</w:t>
            </w: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19</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收集、调取的电子数据应当是有关数据的原始载体；收集电子数据原始载体有困难的，可以采用拷贝复制、委托分析、书式固定、拍照录像等方式取证，并注明制作方法、制作时间、制作人等</w:t>
            </w:r>
          </w:p>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利用互联网信息系统或者设备收集、固定违法行为证据的应当符合相关规定，保证所收集、固定电子数据的真实性、完整性</w:t>
            </w:r>
          </w:p>
        </w:tc>
        <w:tc>
          <w:tcPr>
            <w:tcW w:w="1120" w:type="dxa"/>
            <w:noWrap w:val="0"/>
            <w:vAlign w:val="center"/>
          </w:tcPr>
          <w:p>
            <w:pPr>
              <w:autoSpaceDE w:val="0"/>
              <w:autoSpaceDN w:val="0"/>
              <w:spacing w:line="34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违反一项扣1分 (共2分)</w:t>
            </w:r>
          </w:p>
        </w:tc>
        <w:tc>
          <w:tcPr>
            <w:tcW w:w="686"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0"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restart"/>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证人</w:t>
            </w:r>
          </w:p>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证言</w:t>
            </w: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20</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未写明证人的姓名、年龄、性别、职业、住址等基本情况</w:t>
            </w:r>
          </w:p>
        </w:tc>
        <w:tc>
          <w:tcPr>
            <w:tcW w:w="1120" w:type="dxa"/>
            <w:noWrap w:val="0"/>
            <w:vAlign w:val="center"/>
          </w:tcPr>
          <w:p>
            <w:pPr>
              <w:autoSpaceDE w:val="0"/>
              <w:autoSpaceDN w:val="0"/>
              <w:spacing w:line="34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有一项扣0.2分(共1分)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0"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21</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没有证人的签名或盖章以及未注明出具日期的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2"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restart"/>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现场</w:t>
            </w:r>
          </w:p>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笔录</w:t>
            </w: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22</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未通知当事人到场</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2"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ind w:firstLine="420"/>
              <w:jc w:val="center"/>
              <w:rPr>
                <w:rFonts w:hint="eastAsia" w:ascii="仿宋" w:hAnsi="仿宋" w:eastAsia="仿宋" w:cs="宋体"/>
                <w:color w:val="000000"/>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23</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对涉案物品或场所进行现场检查而未制作现场检查笔录的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有一项扣0.5分(共2分)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22"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24</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现场笔录应当记载的事项未记载的(内容不详的视为未载明，笔录中未体现是否采取行政强制措施的)；记载事项填写有误的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6"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25</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办案人员、当事人未签名或者盖章的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6"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restart"/>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抽样</w:t>
            </w:r>
          </w:p>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取证</w:t>
            </w:r>
          </w:p>
          <w:p>
            <w:pPr>
              <w:autoSpaceDE w:val="0"/>
              <w:autoSpaceDN w:val="0"/>
              <w:spacing w:line="340" w:lineRule="exact"/>
              <w:jc w:val="center"/>
              <w:rPr>
                <w:rFonts w:hint="eastAsia" w:ascii="仿宋" w:hAnsi="仿宋" w:eastAsia="仿宋"/>
                <w:kern w:val="0"/>
                <w:szCs w:val="21"/>
              </w:rPr>
            </w:pPr>
            <w:r>
              <w:rPr>
                <w:rFonts w:hint="eastAsia" w:ascii="仿宋" w:hAnsi="仿宋" w:eastAsia="仿宋" w:cs="宋体"/>
                <w:color w:val="000000"/>
                <w:kern w:val="0"/>
                <w:szCs w:val="21"/>
              </w:rPr>
              <w:t>记录</w:t>
            </w: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26</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应当制作而未制作抽样记录的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3"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ind w:firstLine="420"/>
              <w:jc w:val="center"/>
              <w:rPr>
                <w:rFonts w:hint="eastAsia" w:ascii="仿宋" w:hAnsi="仿宋" w:eastAsia="仿宋"/>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27</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抽样机构、抽样方式、样品数量、抽样人员及加封情况不符合有关规定但不构成第38项规定情形的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有一项扣l分(共3分)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9"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ind w:firstLine="420"/>
              <w:jc w:val="center"/>
              <w:rPr>
                <w:rFonts w:hint="eastAsia" w:ascii="仿宋" w:hAnsi="仿宋" w:eastAsia="仿宋"/>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28</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抽样记录未体现抽样时间、抽样地点、抽样人的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有一项扣l分(共3分)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7"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ind w:firstLine="420"/>
              <w:jc w:val="center"/>
              <w:rPr>
                <w:rFonts w:hint="eastAsia" w:ascii="仿宋" w:hAnsi="仿宋" w:eastAsia="仿宋" w:cs="宋体"/>
                <w:color w:val="000000"/>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29</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抽样记录应表述而未表述抽样物品的数量、单件重量、规格、型号、批号、外观颜色、包装装潢等类别区分特征的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8"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30</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抽样人、当事人未在抽样记录签名（盖章）的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4"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31</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未制作财物清单的；清单内容不清、错误的</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75" w:hRule="atLeast"/>
          <w:jc w:val="center"/>
        </w:trPr>
        <w:tc>
          <w:tcPr>
            <w:tcW w:w="856" w:type="dxa"/>
            <w:vMerge w:val="continue"/>
            <w:noWrap w:val="0"/>
            <w:vAlign w:val="top"/>
          </w:tcPr>
          <w:p>
            <w:pPr>
              <w:autoSpaceDE w:val="0"/>
              <w:autoSpaceDN w:val="0"/>
              <w:spacing w:line="340" w:lineRule="exact"/>
              <w:rPr>
                <w:rFonts w:hint="eastAsia" w:ascii="仿宋" w:hAnsi="仿宋" w:eastAsia="仿宋"/>
                <w:kern w:val="0"/>
                <w:szCs w:val="21"/>
              </w:rPr>
            </w:pPr>
          </w:p>
        </w:tc>
        <w:tc>
          <w:tcPr>
            <w:tcW w:w="728"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46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32</w:t>
            </w:r>
          </w:p>
        </w:tc>
        <w:tc>
          <w:tcPr>
            <w:tcW w:w="4171"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通过网络、电话购买等方式抽样取证的，未采取拍照、截屏、录音、录像等方式对交易过程、商品拆包查验及封样等过程进行记录</w:t>
            </w:r>
          </w:p>
        </w:tc>
        <w:tc>
          <w:tcPr>
            <w:tcW w:w="112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86" w:type="dxa"/>
            <w:noWrap w:val="0"/>
            <w:vAlign w:val="top"/>
          </w:tcPr>
          <w:p>
            <w:pPr>
              <w:autoSpaceDE w:val="0"/>
              <w:autoSpaceDN w:val="0"/>
              <w:spacing w:line="340" w:lineRule="exact"/>
              <w:rPr>
                <w:rFonts w:hint="eastAsia" w:ascii="仿宋" w:hAnsi="仿宋" w:eastAsia="仿宋"/>
                <w:kern w:val="0"/>
                <w:szCs w:val="21"/>
              </w:rPr>
            </w:pPr>
          </w:p>
        </w:tc>
        <w:tc>
          <w:tcPr>
            <w:tcW w:w="624" w:type="dxa"/>
            <w:noWrap w:val="0"/>
            <w:vAlign w:val="top"/>
          </w:tcPr>
          <w:p>
            <w:pPr>
              <w:autoSpaceDE w:val="0"/>
              <w:autoSpaceDN w:val="0"/>
              <w:spacing w:line="340" w:lineRule="exact"/>
              <w:rPr>
                <w:rFonts w:hint="eastAsia" w:ascii="仿宋" w:hAnsi="仿宋" w:eastAsia="仿宋"/>
                <w:kern w:val="0"/>
                <w:szCs w:val="21"/>
              </w:rPr>
            </w:pPr>
          </w:p>
        </w:tc>
      </w:tr>
    </w:tbl>
    <w:p>
      <w:pPr>
        <w:spacing w:line="240" w:lineRule="exact"/>
        <w:ind w:firstLine="420"/>
        <w:rPr>
          <w:rFonts w:ascii="仿宋" w:hAnsi="仿宋" w:eastAsia="仿宋"/>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56"/>
        <w:gridCol w:w="714"/>
        <w:gridCol w:w="476"/>
        <w:gridCol w:w="4157"/>
        <w:gridCol w:w="1148"/>
        <w:gridCol w:w="652"/>
        <w:gridCol w:w="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58" w:hRule="atLeast"/>
          <w:jc w:val="center"/>
        </w:trPr>
        <w:tc>
          <w:tcPr>
            <w:tcW w:w="856" w:type="dxa"/>
            <w:vMerge w:val="restart"/>
            <w:noWrap w:val="0"/>
            <w:vAlign w:val="top"/>
          </w:tcPr>
          <w:p>
            <w:pPr>
              <w:autoSpaceDE w:val="0"/>
              <w:autoSpaceDN w:val="0"/>
              <w:spacing w:line="320" w:lineRule="exact"/>
              <w:rPr>
                <w:rFonts w:hint="eastAsia" w:ascii="仿宋" w:hAnsi="仿宋" w:eastAsia="仿宋"/>
                <w:kern w:val="0"/>
                <w:szCs w:val="21"/>
              </w:rPr>
            </w:pPr>
          </w:p>
        </w:tc>
        <w:tc>
          <w:tcPr>
            <w:tcW w:w="714" w:type="dxa"/>
            <w:vMerge w:val="restart"/>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鉴定</w:t>
            </w:r>
          </w:p>
          <w:p>
            <w:pPr>
              <w:autoSpaceDE w:val="0"/>
              <w:autoSpaceDN w:val="0"/>
              <w:spacing w:line="320" w:lineRule="exact"/>
              <w:jc w:val="center"/>
              <w:rPr>
                <w:rFonts w:hint="eastAsia" w:ascii="仿宋" w:hAnsi="仿宋" w:eastAsia="仿宋"/>
                <w:kern w:val="0"/>
                <w:szCs w:val="21"/>
              </w:rPr>
            </w:pPr>
            <w:r>
              <w:rPr>
                <w:rFonts w:hint="eastAsia" w:ascii="仿宋" w:hAnsi="仿宋" w:eastAsia="仿宋" w:cs="宋体"/>
                <w:color w:val="000000"/>
                <w:kern w:val="0"/>
                <w:szCs w:val="21"/>
              </w:rPr>
              <w:t>意见</w:t>
            </w: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33</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未载明委托人和委托鉴定（检测/检验/检疫/鉴定，以下同)事项的；未提取鉴定机构和鉴定人员资格证明或证明不规范的(上级指定检测机构开展抽检的案件，鉴定机构和鉴定人员鉴定资格由上级统一备案)</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52" w:type="dxa"/>
            <w:noWrap w:val="0"/>
            <w:vAlign w:val="top"/>
          </w:tcPr>
          <w:p>
            <w:pPr>
              <w:autoSpaceDE w:val="0"/>
              <w:autoSpaceDN w:val="0"/>
              <w:spacing w:line="320" w:lineRule="exact"/>
              <w:rPr>
                <w:rFonts w:hint="eastAsia" w:ascii="仿宋" w:hAnsi="仿宋" w:eastAsia="仿宋" w:cs="宋体"/>
                <w:color w:val="000000"/>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4"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cs="宋体"/>
                <w:color w:val="000000"/>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34</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鉴定机构和鉴定人员没有鉴定资格，鉴定结论没有鉴定人的签名和鉴定部门的印章，影响违法事实成立和案件定性的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35</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鉴定机构和鉴定人员没有鉴定资格的，鉴定结论没有鉴定人的签名和鉴定部门的印章，不影响违法事实成立和案件定性的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36</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检测、检验、检疫、鉴定结果未告知当事人的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7"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restart"/>
            <w:noWrap w:val="0"/>
            <w:vAlign w:val="center"/>
          </w:tcPr>
          <w:p>
            <w:pPr>
              <w:autoSpaceDE w:val="0"/>
              <w:autoSpaceDN w:val="0"/>
              <w:spacing w:line="320" w:lineRule="exact"/>
              <w:jc w:val="center"/>
              <w:rPr>
                <w:rFonts w:hint="eastAsia" w:ascii="仿宋" w:hAnsi="仿宋" w:eastAsia="仿宋"/>
                <w:kern w:val="0"/>
                <w:szCs w:val="21"/>
              </w:rPr>
            </w:pPr>
            <w:r>
              <w:rPr>
                <w:rFonts w:hint="eastAsia" w:ascii="仿宋" w:hAnsi="仿宋" w:eastAsia="仿宋" w:cs="宋体"/>
                <w:color w:val="000000"/>
                <w:kern w:val="0"/>
                <w:szCs w:val="21"/>
              </w:rPr>
              <w:t>其他</w:t>
            </w: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37</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案件的关键证据虚假或效力无法认定，影响案件事实认定的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8"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ind w:firstLine="420"/>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38</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首次向当事人收集、调取证据的，未告知当事人享有陈述、申辩、申请回避权利的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8"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ind w:firstLine="420"/>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39</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材料涂改处未签名、盖章或者以其他方式确认的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w:t>
            </w:r>
          </w:p>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分(共2分)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1"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cs="宋体"/>
                <w:color w:val="000000"/>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40</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对当事人的口头陈述、申辩意见未制作笔录的；对陈述申辩意见未进行复核的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w:t>
            </w:r>
          </w:p>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分(共2分)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4"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41</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证据之间相互矛盾未予以排除，不影响案件认定的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96"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42</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证据之间相互矛盾未予以排除，影响案件认定的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0"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43</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所取证据不充分或与案件定性处罚不能相互</w:t>
            </w:r>
          </w:p>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印证，但不足以影响案件定性的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91" w:hRule="atLeast"/>
          <w:jc w:val="center"/>
        </w:trPr>
        <w:tc>
          <w:tcPr>
            <w:tcW w:w="856" w:type="dxa"/>
            <w:vMerge w:val="continue"/>
            <w:noWrap w:val="0"/>
            <w:vAlign w:val="top"/>
          </w:tcPr>
          <w:p>
            <w:pPr>
              <w:autoSpaceDE w:val="0"/>
              <w:autoSpaceDN w:val="0"/>
              <w:spacing w:line="320" w:lineRule="exact"/>
              <w:rPr>
                <w:rFonts w:hint="eastAsia" w:ascii="仿宋" w:hAnsi="仿宋" w:eastAsia="仿宋"/>
                <w:kern w:val="0"/>
                <w:szCs w:val="21"/>
              </w:rPr>
            </w:pPr>
          </w:p>
        </w:tc>
        <w:tc>
          <w:tcPr>
            <w:tcW w:w="714" w:type="dxa"/>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44</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外文证据应当附有由具有翻译资质的或者其他翻译准确的中文译本，由翻译机构盖章或者翻译人员签名</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0" w:hRule="atLeast"/>
          <w:jc w:val="center"/>
        </w:trPr>
        <w:tc>
          <w:tcPr>
            <w:tcW w:w="1570" w:type="dxa"/>
            <w:gridSpan w:val="2"/>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先行登记</w:t>
            </w:r>
          </w:p>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保存措施</w:t>
            </w: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45</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采取先行登记保存证据措施不规范的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8" w:hRule="atLeast"/>
          <w:jc w:val="center"/>
        </w:trPr>
        <w:tc>
          <w:tcPr>
            <w:tcW w:w="1570" w:type="dxa"/>
            <w:gridSpan w:val="2"/>
            <w:vMerge w:val="restart"/>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行政强制措施</w:t>
            </w: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46</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强制措施材料未放入卷宗的，采取行政强制措施未制作现场笔录的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10分</w:t>
            </w:r>
          </w:p>
        </w:tc>
        <w:tc>
          <w:tcPr>
            <w:tcW w:w="652" w:type="dxa"/>
            <w:noWrap w:val="0"/>
            <w:vAlign w:val="top"/>
          </w:tcPr>
          <w:p>
            <w:pPr>
              <w:autoSpaceDE w:val="0"/>
              <w:autoSpaceDN w:val="0"/>
              <w:spacing w:line="320" w:lineRule="exact"/>
              <w:rPr>
                <w:rFonts w:hint="eastAsia" w:ascii="仿宋" w:hAnsi="仿宋" w:eastAsia="仿宋" w:cs="宋体"/>
                <w:color w:val="000000"/>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01" w:hRule="atLeast"/>
          <w:jc w:val="center"/>
        </w:trPr>
        <w:tc>
          <w:tcPr>
            <w:tcW w:w="1570" w:type="dxa"/>
            <w:gridSpan w:val="2"/>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47</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采取行政强制措施无法律依据或者查封、扣押的财物与违法行为无直接关系或者强制措施的事实依据与法律依据不一致的；重复查封扣押的；查封扣押生活必需品的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4" w:hRule="atLeast"/>
          <w:jc w:val="center"/>
        </w:trPr>
        <w:tc>
          <w:tcPr>
            <w:tcW w:w="1570" w:type="dxa"/>
            <w:gridSpan w:val="2"/>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48</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未明确强制措施种类的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5" w:hRule="atLeast"/>
          <w:jc w:val="center"/>
        </w:trPr>
        <w:tc>
          <w:tcPr>
            <w:tcW w:w="1570" w:type="dxa"/>
            <w:gridSpan w:val="2"/>
            <w:vMerge w:val="continue"/>
            <w:noWrap w:val="0"/>
            <w:vAlign w:val="center"/>
          </w:tcPr>
          <w:p>
            <w:pPr>
              <w:autoSpaceDE w:val="0"/>
              <w:autoSpaceDN w:val="0"/>
              <w:spacing w:line="320" w:lineRule="exact"/>
              <w:jc w:val="center"/>
              <w:rPr>
                <w:rFonts w:hint="eastAsia" w:ascii="仿宋" w:hAnsi="仿宋" w:eastAsia="仿宋"/>
                <w:kern w:val="0"/>
                <w:szCs w:val="21"/>
              </w:rPr>
            </w:pPr>
          </w:p>
        </w:tc>
        <w:tc>
          <w:tcPr>
            <w:tcW w:w="476"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49</w:t>
            </w:r>
          </w:p>
        </w:tc>
        <w:tc>
          <w:tcPr>
            <w:tcW w:w="4157" w:type="dxa"/>
            <w:noWrap w:val="0"/>
            <w:vAlign w:val="center"/>
          </w:tcPr>
          <w:p>
            <w:pPr>
              <w:autoSpaceDE w:val="0"/>
              <w:autoSpaceDN w:val="0"/>
              <w:spacing w:line="32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查封、扣押决定适用法规条款项不全的</w:t>
            </w:r>
          </w:p>
        </w:tc>
        <w:tc>
          <w:tcPr>
            <w:tcW w:w="1148" w:type="dxa"/>
            <w:noWrap w:val="0"/>
            <w:vAlign w:val="center"/>
          </w:tcPr>
          <w:p>
            <w:pPr>
              <w:autoSpaceDE w:val="0"/>
              <w:autoSpaceDN w:val="0"/>
              <w:spacing w:line="32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52" w:type="dxa"/>
            <w:noWrap w:val="0"/>
            <w:vAlign w:val="top"/>
          </w:tcPr>
          <w:p>
            <w:pPr>
              <w:autoSpaceDE w:val="0"/>
              <w:autoSpaceDN w:val="0"/>
              <w:spacing w:line="320" w:lineRule="exact"/>
              <w:rPr>
                <w:rFonts w:hint="eastAsia" w:ascii="仿宋" w:hAnsi="仿宋" w:eastAsia="仿宋"/>
                <w:kern w:val="0"/>
                <w:szCs w:val="21"/>
              </w:rPr>
            </w:pPr>
          </w:p>
        </w:tc>
        <w:tc>
          <w:tcPr>
            <w:tcW w:w="644" w:type="dxa"/>
            <w:noWrap w:val="0"/>
            <w:vAlign w:val="top"/>
          </w:tcPr>
          <w:p>
            <w:pPr>
              <w:autoSpaceDE w:val="0"/>
              <w:autoSpaceDN w:val="0"/>
              <w:spacing w:line="320" w:lineRule="exact"/>
              <w:rPr>
                <w:rFonts w:hint="eastAsia" w:ascii="仿宋" w:hAnsi="仿宋" w:eastAsia="仿宋"/>
                <w:kern w:val="0"/>
                <w:szCs w:val="21"/>
              </w:rPr>
            </w:pPr>
          </w:p>
        </w:tc>
      </w:tr>
    </w:tbl>
    <w:p>
      <w:pPr>
        <w:autoSpaceDE w:val="0"/>
        <w:autoSpaceDN w:val="0"/>
        <w:adjustRightInd w:val="0"/>
        <w:spacing w:line="300" w:lineRule="exact"/>
        <w:ind w:firstLine="480"/>
        <w:jc w:val="left"/>
        <w:rPr>
          <w:rFonts w:ascii="仿宋" w:hAnsi="仿宋" w:eastAsia="仿宋"/>
          <w:kern w:val="0"/>
          <w:sz w:val="24"/>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00"/>
        <w:gridCol w:w="550"/>
        <w:gridCol w:w="4153"/>
        <w:gridCol w:w="1190"/>
        <w:gridCol w:w="616"/>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0" w:hRule="atLeast"/>
          <w:jc w:val="center"/>
        </w:trPr>
        <w:tc>
          <w:tcPr>
            <w:tcW w:w="1500" w:type="dxa"/>
            <w:vMerge w:val="restart"/>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50</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查封、扣押物品未当场清点；当事人拒绝到场，拒绝签名、盖章或者以其他方式确认，或者无法找到当事人，办案人员未在材料上注明原因的；无实施行政强制措施决定书、无场所/设施/财物清单及上述材料未送达当事人</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有一项扣1 分（共5分)</w:t>
            </w:r>
          </w:p>
        </w:tc>
        <w:tc>
          <w:tcPr>
            <w:tcW w:w="616"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90"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51</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查封的场所、设施或财物未被加封执法机关的封条的；无查封物品的照片或记录证明的，封条未盖执法机关公章的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8"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52</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扣押财物、查封等行政强制措施应及时解除而未解除的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16"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4"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53</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解除行政强制措施无解除行政强制措施决定</w:t>
            </w:r>
          </w:p>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书、财物处理记录的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w:t>
            </w:r>
          </w:p>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分(共2分)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14"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54</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 xml:space="preserve">行政强制措施无审批表或填写不规范的；审批程序不规范的 </w:t>
            </w:r>
          </w:p>
        </w:tc>
        <w:tc>
          <w:tcPr>
            <w:tcW w:w="1190" w:type="dxa"/>
            <w:noWrap w:val="0"/>
            <w:vAlign w:val="center"/>
          </w:tcPr>
          <w:p>
            <w:pPr>
              <w:autoSpaceDE w:val="0"/>
              <w:autoSpaceDN w:val="0"/>
              <w:spacing w:line="34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无审批表扣3分，不</w:t>
            </w:r>
          </w:p>
          <w:p>
            <w:pPr>
              <w:autoSpaceDE w:val="0"/>
              <w:autoSpaceDN w:val="0"/>
              <w:spacing w:line="34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规范有1项扣1分(共3分)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8"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55</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超出法定期限须延期而无审批手续的；延长期限未制作“延长行政强制措施期限决定书”并送达的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少一项扣2分(共4分)</w:t>
            </w:r>
          </w:p>
        </w:tc>
        <w:tc>
          <w:tcPr>
            <w:tcW w:w="616"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6"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56</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超出强制措施法定期限的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01"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57</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涉案物品进行检测、检验、检疫、鉴定的，未制作检测／检验／检疫／鉴定告知书并送达</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95" w:hRule="atLeast"/>
          <w:jc w:val="center"/>
        </w:trPr>
        <w:tc>
          <w:tcPr>
            <w:tcW w:w="1500" w:type="dxa"/>
            <w:vMerge w:val="restart"/>
            <w:noWrap w:val="0"/>
            <w:vAlign w:val="center"/>
          </w:tcPr>
          <w:p>
            <w:pPr>
              <w:autoSpaceDE w:val="0"/>
              <w:autoSpaceDN w:val="0"/>
              <w:spacing w:line="340" w:lineRule="exact"/>
              <w:jc w:val="center"/>
              <w:rPr>
                <w:rFonts w:hint="eastAsia" w:ascii="仿宋" w:hAnsi="仿宋" w:eastAsia="仿宋"/>
                <w:kern w:val="0"/>
                <w:szCs w:val="21"/>
              </w:rPr>
            </w:pPr>
            <w:r>
              <w:rPr>
                <w:rFonts w:hint="eastAsia" w:ascii="仿宋" w:hAnsi="仿宋" w:eastAsia="仿宋" w:cs="宋体"/>
                <w:color w:val="000000"/>
                <w:kern w:val="0"/>
                <w:szCs w:val="21"/>
              </w:rPr>
              <w:t>立案</w:t>
            </w: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58</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无案件来源登记表的或案件来源登记表填写不规范的</w:t>
            </w:r>
          </w:p>
        </w:tc>
        <w:tc>
          <w:tcPr>
            <w:tcW w:w="1190" w:type="dxa"/>
            <w:noWrap w:val="0"/>
            <w:vAlign w:val="center"/>
          </w:tcPr>
          <w:p>
            <w:pPr>
              <w:autoSpaceDE w:val="0"/>
              <w:autoSpaceDN w:val="0"/>
              <w:spacing w:line="34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有一项扣0.5分(共1分)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2" w:hRule="atLeast"/>
          <w:jc w:val="center"/>
        </w:trPr>
        <w:tc>
          <w:tcPr>
            <w:tcW w:w="1500" w:type="dxa"/>
            <w:vMerge w:val="continue"/>
            <w:noWrap w:val="0"/>
            <w:vAlign w:val="center"/>
          </w:tcPr>
          <w:p>
            <w:pPr>
              <w:autoSpaceDE w:val="0"/>
              <w:autoSpaceDN w:val="0"/>
              <w:spacing w:line="340" w:lineRule="exact"/>
              <w:ind w:firstLine="420"/>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59</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无立案审批表的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60</w:t>
            </w:r>
          </w:p>
        </w:tc>
        <w:tc>
          <w:tcPr>
            <w:tcW w:w="4153"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立案审批表填写不规范的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0.5分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86"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61</w:t>
            </w:r>
          </w:p>
        </w:tc>
        <w:tc>
          <w:tcPr>
            <w:tcW w:w="4153"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各类文书表格中立案时间填写错误的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0.5分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2" w:hRule="atLeast"/>
          <w:jc w:val="center"/>
        </w:trPr>
        <w:tc>
          <w:tcPr>
            <w:tcW w:w="1500"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62</w:t>
            </w:r>
          </w:p>
        </w:tc>
        <w:tc>
          <w:tcPr>
            <w:tcW w:w="4153"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立案不及时(一般应在1 5个工作日内立案，</w:t>
            </w:r>
          </w:p>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特殊情况下可延长l 5个工作日)</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5" w:hRule="atLeast"/>
          <w:jc w:val="center"/>
        </w:trPr>
        <w:tc>
          <w:tcPr>
            <w:tcW w:w="150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中止调查</w:t>
            </w: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63</w:t>
            </w:r>
          </w:p>
        </w:tc>
        <w:tc>
          <w:tcPr>
            <w:tcW w:w="4153"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中止调查程序不规范的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16" w:type="dxa"/>
            <w:noWrap w:val="0"/>
            <w:vAlign w:val="top"/>
          </w:tcPr>
          <w:p>
            <w:pPr>
              <w:autoSpaceDE w:val="0"/>
              <w:autoSpaceDN w:val="0"/>
              <w:spacing w:line="340" w:lineRule="exact"/>
              <w:rPr>
                <w:rFonts w:hint="eastAsia" w:ascii="仿宋" w:hAnsi="仿宋" w:eastAsia="仿宋"/>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47" w:hRule="atLeast"/>
          <w:jc w:val="center"/>
        </w:trPr>
        <w:tc>
          <w:tcPr>
            <w:tcW w:w="150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终止调查</w:t>
            </w:r>
          </w:p>
        </w:tc>
        <w:tc>
          <w:tcPr>
            <w:tcW w:w="55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64</w:t>
            </w:r>
          </w:p>
        </w:tc>
        <w:tc>
          <w:tcPr>
            <w:tcW w:w="4153"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终止案件调查程序不规范的</w:t>
            </w:r>
          </w:p>
        </w:tc>
        <w:tc>
          <w:tcPr>
            <w:tcW w:w="1190"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616"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38" w:type="dxa"/>
            <w:noWrap w:val="0"/>
            <w:vAlign w:val="top"/>
          </w:tcPr>
          <w:p>
            <w:pPr>
              <w:autoSpaceDE w:val="0"/>
              <w:autoSpaceDN w:val="0"/>
              <w:spacing w:line="340" w:lineRule="exact"/>
              <w:rPr>
                <w:rFonts w:hint="eastAsia" w:ascii="仿宋" w:hAnsi="仿宋" w:eastAsia="仿宋"/>
                <w:kern w:val="0"/>
                <w:szCs w:val="21"/>
              </w:rPr>
            </w:pPr>
          </w:p>
        </w:tc>
      </w:tr>
    </w:tbl>
    <w:p>
      <w:pPr>
        <w:autoSpaceDE w:val="0"/>
        <w:autoSpaceDN w:val="0"/>
        <w:adjustRightInd w:val="0"/>
        <w:spacing w:line="200" w:lineRule="exact"/>
        <w:ind w:firstLine="480"/>
        <w:jc w:val="left"/>
        <w:rPr>
          <w:rFonts w:ascii="仿宋" w:hAnsi="仿宋" w:eastAsia="仿宋"/>
          <w:kern w:val="0"/>
          <w:sz w:val="24"/>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87"/>
        <w:gridCol w:w="557"/>
        <w:gridCol w:w="3985"/>
        <w:gridCol w:w="1163"/>
        <w:gridCol w:w="893"/>
        <w:gridCol w:w="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400" w:hRule="atLeast"/>
          <w:jc w:val="center"/>
        </w:trPr>
        <w:tc>
          <w:tcPr>
            <w:tcW w:w="1487" w:type="dxa"/>
            <w:vMerge w:val="restart"/>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案件调查</w:t>
            </w:r>
          </w:p>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终结报告</w:t>
            </w: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65</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报告内容完整、全面(案件来源，经办人、当事人的基本情况、违法事实、证据及其证明事项、有无采取强制措施、当事人陈述申辩情况、案件性质、处罚裁量理由、裁量依据、行政处罚依据及具体内容、处罚建议、制作日期)</w:t>
            </w:r>
          </w:p>
        </w:tc>
        <w:tc>
          <w:tcPr>
            <w:tcW w:w="1163" w:type="dxa"/>
            <w:noWrap w:val="0"/>
            <w:vAlign w:val="top"/>
          </w:tcPr>
          <w:p>
            <w:pPr>
              <w:autoSpaceDE w:val="0"/>
              <w:autoSpaceDN w:val="0"/>
              <w:spacing w:line="36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没有调查终结报告的，扣3分，说理不全的，每缺一项扣l分(共3分)</w:t>
            </w:r>
          </w:p>
        </w:tc>
        <w:tc>
          <w:tcPr>
            <w:tcW w:w="893" w:type="dxa"/>
            <w:noWrap w:val="0"/>
            <w:vAlign w:val="top"/>
          </w:tcPr>
          <w:p>
            <w:pPr>
              <w:autoSpaceDE w:val="0"/>
              <w:autoSpaceDN w:val="0"/>
              <w:spacing w:line="360" w:lineRule="exact"/>
              <w:rPr>
                <w:rFonts w:hint="eastAsia" w:ascii="仿宋" w:hAnsi="仿宋" w:eastAsia="仿宋" w:cs="宋体"/>
                <w:color w:val="000000"/>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20" w:hRule="atLeast"/>
          <w:jc w:val="center"/>
        </w:trPr>
        <w:tc>
          <w:tcPr>
            <w:tcW w:w="148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66</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无办案人员和办案机构负责人署名的(委托案件由办案人员署名)</w:t>
            </w:r>
          </w:p>
        </w:tc>
        <w:tc>
          <w:tcPr>
            <w:tcW w:w="1163" w:type="dxa"/>
            <w:noWrap w:val="0"/>
            <w:vAlign w:val="top"/>
          </w:tcPr>
          <w:p>
            <w:pPr>
              <w:autoSpaceDE w:val="0"/>
              <w:autoSpaceDN w:val="0"/>
              <w:spacing w:line="36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一项扣0.5分(共1分)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05" w:hRule="atLeast"/>
          <w:jc w:val="center"/>
        </w:trPr>
        <w:tc>
          <w:tcPr>
            <w:tcW w:w="1487" w:type="dxa"/>
            <w:vMerge w:val="restart"/>
            <w:noWrap w:val="0"/>
            <w:vAlign w:val="center"/>
          </w:tcPr>
          <w:p>
            <w:pPr>
              <w:autoSpaceDE w:val="0"/>
              <w:autoSpaceDN w:val="0"/>
              <w:spacing w:line="360" w:lineRule="exact"/>
              <w:jc w:val="center"/>
              <w:rPr>
                <w:rFonts w:hint="eastAsia" w:ascii="仿宋" w:hAnsi="仿宋" w:eastAsia="仿宋"/>
                <w:kern w:val="0"/>
                <w:szCs w:val="21"/>
              </w:rPr>
            </w:pPr>
            <w:r>
              <w:rPr>
                <w:rFonts w:hint="eastAsia" w:ascii="仿宋" w:hAnsi="仿宋" w:eastAsia="仿宋" w:cs="宋体"/>
                <w:color w:val="000000"/>
                <w:kern w:val="0"/>
                <w:szCs w:val="21"/>
              </w:rPr>
              <w:t>案件审核</w:t>
            </w: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67</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无案件审核表</w:t>
            </w:r>
          </w:p>
        </w:tc>
        <w:tc>
          <w:tcPr>
            <w:tcW w:w="1163" w:type="dxa"/>
            <w:noWrap w:val="0"/>
            <w:vAlign w:val="top"/>
          </w:tcPr>
          <w:p>
            <w:pPr>
              <w:autoSpaceDE w:val="0"/>
              <w:autoSpaceDN w:val="0"/>
              <w:spacing w:line="360" w:lineRule="exact"/>
              <w:jc w:val="left"/>
              <w:rPr>
                <w:rFonts w:hint="eastAsia" w:ascii="仿宋" w:hAnsi="仿宋" w:eastAsia="仿宋" w:cs="宋体"/>
                <w:color w:val="000000"/>
                <w:kern w:val="0"/>
                <w:szCs w:val="21"/>
              </w:rPr>
            </w:pPr>
            <w:r>
              <w:rPr>
                <w:rFonts w:hint="eastAsia" w:ascii="仿宋" w:hAnsi="仿宋" w:eastAsia="仿宋" w:cs="宋体"/>
                <w:color w:val="000000"/>
                <w:kern w:val="0"/>
                <w:szCs w:val="21"/>
              </w:rPr>
              <w:t>2分(案件未经审核的， 0分)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3" w:hRule="atLeast"/>
          <w:jc w:val="center"/>
        </w:trPr>
        <w:tc>
          <w:tcPr>
            <w:tcW w:w="1487" w:type="dxa"/>
            <w:vMerge w:val="continue"/>
            <w:noWrap w:val="0"/>
            <w:vAlign w:val="top"/>
          </w:tcPr>
          <w:p>
            <w:pPr>
              <w:autoSpaceDE w:val="0"/>
              <w:autoSpaceDN w:val="0"/>
              <w:spacing w:line="360" w:lineRule="exact"/>
              <w:ind w:firstLine="420"/>
              <w:rPr>
                <w:rFonts w:hint="eastAsia" w:ascii="仿宋" w:hAnsi="仿宋" w:eastAsia="仿宋"/>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68</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办案、审核、审批互相未分离的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8" w:hRule="atLeast"/>
          <w:jc w:val="center"/>
        </w:trPr>
        <w:tc>
          <w:tcPr>
            <w:tcW w:w="1487" w:type="dxa"/>
            <w:vMerge w:val="continue"/>
            <w:noWrap w:val="0"/>
            <w:vAlign w:val="top"/>
          </w:tcPr>
          <w:p>
            <w:pPr>
              <w:autoSpaceDE w:val="0"/>
              <w:autoSpaceDN w:val="0"/>
              <w:spacing w:line="360" w:lineRule="exact"/>
              <w:rPr>
                <w:rFonts w:hint="eastAsia" w:ascii="仿宋" w:hAnsi="仿宋" w:eastAsia="仿宋" w:cs="宋体"/>
                <w:color w:val="000000"/>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69</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审核人员未在审核表上签署审核意见的、未签名、未署时期或日期错误的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8" w:hRule="atLeast"/>
          <w:jc w:val="center"/>
        </w:trPr>
        <w:tc>
          <w:tcPr>
            <w:tcW w:w="1487" w:type="dxa"/>
            <w:vMerge w:val="continue"/>
            <w:noWrap w:val="0"/>
            <w:vAlign w:val="top"/>
          </w:tcPr>
          <w:p>
            <w:pPr>
              <w:autoSpaceDE w:val="0"/>
              <w:autoSpaceDN w:val="0"/>
              <w:spacing w:line="360" w:lineRule="exact"/>
              <w:rPr>
                <w:rFonts w:hint="eastAsia" w:ascii="仿宋" w:hAnsi="仿宋" w:eastAsia="仿宋" w:cs="宋体"/>
                <w:color w:val="000000"/>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70</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审核机构在接到审核材料后未在规定期限内完成审核的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5分</w:t>
            </w:r>
          </w:p>
        </w:tc>
        <w:tc>
          <w:tcPr>
            <w:tcW w:w="893" w:type="dxa"/>
            <w:noWrap w:val="0"/>
            <w:vAlign w:val="top"/>
          </w:tcPr>
          <w:p>
            <w:pPr>
              <w:autoSpaceDE w:val="0"/>
              <w:autoSpaceDN w:val="0"/>
              <w:spacing w:line="360" w:lineRule="exact"/>
              <w:rPr>
                <w:rFonts w:hint="eastAsia" w:ascii="仿宋" w:hAnsi="仿宋" w:eastAsia="仿宋" w:cs="宋体"/>
                <w:color w:val="000000"/>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1487" w:type="dxa"/>
            <w:vMerge w:val="restart"/>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告知</w:t>
            </w:r>
          </w:p>
          <w:p>
            <w:pPr>
              <w:autoSpaceDE w:val="0"/>
              <w:autoSpaceDN w:val="0"/>
              <w:spacing w:line="360" w:lineRule="exact"/>
              <w:jc w:val="center"/>
              <w:rPr>
                <w:rFonts w:hint="eastAsia" w:ascii="仿宋" w:hAnsi="仿宋" w:eastAsia="仿宋"/>
                <w:kern w:val="0"/>
                <w:szCs w:val="21"/>
              </w:rPr>
            </w:pPr>
            <w:r>
              <w:rPr>
                <w:rFonts w:hint="eastAsia" w:ascii="仿宋" w:hAnsi="仿宋" w:eastAsia="仿宋" w:cs="宋体"/>
                <w:color w:val="000000"/>
                <w:kern w:val="0"/>
                <w:szCs w:val="21"/>
              </w:rPr>
              <w:t>及听证</w:t>
            </w: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71</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告知送达后期限未满即送达处罚决定书</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2" w:hRule="atLeast"/>
          <w:jc w:val="center"/>
        </w:trPr>
        <w:tc>
          <w:tcPr>
            <w:tcW w:w="1487" w:type="dxa"/>
            <w:vMerge w:val="continue"/>
            <w:noWrap w:val="0"/>
            <w:vAlign w:val="top"/>
          </w:tcPr>
          <w:p>
            <w:pPr>
              <w:autoSpaceDE w:val="0"/>
              <w:autoSpaceDN w:val="0"/>
              <w:spacing w:line="360" w:lineRule="exact"/>
              <w:ind w:firstLine="420"/>
              <w:rPr>
                <w:rFonts w:hint="eastAsia" w:ascii="仿宋" w:hAnsi="仿宋" w:eastAsia="仿宋"/>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72</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行政处罚建议审批未经局长审批即告知的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1" w:hRule="atLeast"/>
          <w:jc w:val="center"/>
        </w:trPr>
        <w:tc>
          <w:tcPr>
            <w:tcW w:w="1487" w:type="dxa"/>
            <w:vMerge w:val="continue"/>
            <w:noWrap w:val="0"/>
            <w:vAlign w:val="top"/>
          </w:tcPr>
          <w:p>
            <w:pPr>
              <w:autoSpaceDE w:val="0"/>
              <w:autoSpaceDN w:val="0"/>
              <w:spacing w:line="360" w:lineRule="exact"/>
              <w:ind w:firstLine="420"/>
              <w:rPr>
                <w:rFonts w:hint="eastAsia" w:ascii="仿宋" w:hAnsi="仿宋" w:eastAsia="仿宋"/>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73</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告知内容不全面、不规范的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50" w:hRule="atLeast"/>
          <w:jc w:val="center"/>
        </w:trPr>
        <w:tc>
          <w:tcPr>
            <w:tcW w:w="1487" w:type="dxa"/>
            <w:vMerge w:val="continue"/>
            <w:noWrap w:val="0"/>
            <w:vAlign w:val="top"/>
          </w:tcPr>
          <w:p>
            <w:pPr>
              <w:autoSpaceDE w:val="0"/>
              <w:autoSpaceDN w:val="0"/>
              <w:spacing w:line="360" w:lineRule="exact"/>
              <w:ind w:firstLine="420"/>
              <w:rPr>
                <w:rFonts w:hint="eastAsia" w:ascii="仿宋" w:hAnsi="仿宋" w:eastAsia="仿宋" w:cs="宋体"/>
                <w:color w:val="000000"/>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74</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应当依法告知当事人享有听证权而未告知或当事人依法要求听证而不举行听证的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3" w:hRule="atLeast"/>
          <w:jc w:val="center"/>
        </w:trPr>
        <w:tc>
          <w:tcPr>
            <w:tcW w:w="1487" w:type="dxa"/>
            <w:vMerge w:val="continue"/>
            <w:noWrap w:val="0"/>
            <w:vAlign w:val="top"/>
          </w:tcPr>
          <w:p>
            <w:pPr>
              <w:autoSpaceDE w:val="0"/>
              <w:autoSpaceDN w:val="0"/>
              <w:spacing w:line="360" w:lineRule="exact"/>
              <w:ind w:firstLine="420"/>
              <w:rPr>
                <w:rFonts w:hint="eastAsia" w:ascii="仿宋" w:hAnsi="仿宋" w:eastAsia="仿宋"/>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75</w:t>
            </w:r>
          </w:p>
        </w:tc>
        <w:tc>
          <w:tcPr>
            <w:tcW w:w="3985" w:type="dxa"/>
            <w:noWrap w:val="0"/>
            <w:vAlign w:val="center"/>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举行听证，没有听证通知书、听证笔录和听证报告的；听证程序不规范，听证报告未经审批的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3分，有一项扣l分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2" w:hRule="atLeast"/>
          <w:jc w:val="center"/>
        </w:trPr>
        <w:tc>
          <w:tcPr>
            <w:tcW w:w="1487" w:type="dxa"/>
            <w:vMerge w:val="continue"/>
            <w:noWrap w:val="0"/>
            <w:vAlign w:val="top"/>
          </w:tcPr>
          <w:p>
            <w:pPr>
              <w:autoSpaceDE w:val="0"/>
              <w:autoSpaceDN w:val="0"/>
              <w:spacing w:line="360" w:lineRule="exact"/>
              <w:rPr>
                <w:rFonts w:hint="eastAsia" w:ascii="仿宋" w:hAnsi="仿宋" w:eastAsia="仿宋" w:cs="宋体"/>
                <w:color w:val="000000"/>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76</w:t>
            </w:r>
          </w:p>
        </w:tc>
        <w:tc>
          <w:tcPr>
            <w:tcW w:w="3985"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处罚决定书中认定的事实、理由及处罚种类、幅度与告知书中不一致，没有任何合法的说明或交待的</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5" w:hRule="atLeast"/>
          <w:jc w:val="center"/>
        </w:trPr>
        <w:tc>
          <w:tcPr>
            <w:tcW w:w="1487" w:type="dxa"/>
            <w:vMerge w:val="continue"/>
            <w:noWrap w:val="0"/>
            <w:vAlign w:val="top"/>
          </w:tcPr>
          <w:p>
            <w:pPr>
              <w:autoSpaceDE w:val="0"/>
              <w:autoSpaceDN w:val="0"/>
              <w:spacing w:line="360" w:lineRule="exact"/>
              <w:rPr>
                <w:rFonts w:hint="eastAsia" w:ascii="仿宋" w:hAnsi="仿宋" w:eastAsia="仿宋" w:cs="宋体"/>
                <w:color w:val="000000"/>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77</w:t>
            </w:r>
          </w:p>
        </w:tc>
        <w:tc>
          <w:tcPr>
            <w:tcW w:w="3985"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告知当事人拟作出的行政处罚决定后，应当充分听取当事人的意见，对当事人提出的事实、理由和证据进行复核</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52" w:hRule="atLeast"/>
          <w:jc w:val="center"/>
        </w:trPr>
        <w:tc>
          <w:tcPr>
            <w:tcW w:w="1487" w:type="dxa"/>
            <w:vMerge w:val="continue"/>
            <w:noWrap w:val="0"/>
            <w:vAlign w:val="top"/>
          </w:tcPr>
          <w:p>
            <w:pPr>
              <w:autoSpaceDE w:val="0"/>
              <w:autoSpaceDN w:val="0"/>
              <w:spacing w:line="360" w:lineRule="exact"/>
              <w:rPr>
                <w:rFonts w:hint="eastAsia" w:ascii="仿宋" w:hAnsi="仿宋" w:eastAsia="仿宋" w:cs="宋体"/>
                <w:color w:val="000000"/>
                <w:kern w:val="0"/>
                <w:szCs w:val="21"/>
              </w:rPr>
            </w:pPr>
          </w:p>
        </w:tc>
        <w:tc>
          <w:tcPr>
            <w:tcW w:w="557"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78</w:t>
            </w:r>
          </w:p>
        </w:tc>
        <w:tc>
          <w:tcPr>
            <w:tcW w:w="3985"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 xml:space="preserve">法律、法规规定在行政处罚决定作出前需责令当事人退还多收价款的，一并告知拟责令退还的数额；在听取当事人意见后作出行政处罚决定前，向当事人发出责令退款通知书，责令当事人限期退还；难以查找多付价款的消费者或者其他经营者的，责令公告查找 </w:t>
            </w:r>
          </w:p>
        </w:tc>
        <w:tc>
          <w:tcPr>
            <w:tcW w:w="1163"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93" w:type="dxa"/>
            <w:noWrap w:val="0"/>
            <w:vAlign w:val="top"/>
          </w:tcPr>
          <w:p>
            <w:pPr>
              <w:autoSpaceDE w:val="0"/>
              <w:autoSpaceDN w:val="0"/>
              <w:spacing w:line="360" w:lineRule="exact"/>
              <w:rPr>
                <w:rFonts w:hint="eastAsia" w:ascii="仿宋" w:hAnsi="仿宋" w:eastAsia="仿宋"/>
                <w:kern w:val="0"/>
                <w:szCs w:val="21"/>
              </w:rPr>
            </w:pPr>
          </w:p>
        </w:tc>
        <w:tc>
          <w:tcPr>
            <w:tcW w:w="562" w:type="dxa"/>
            <w:noWrap w:val="0"/>
            <w:vAlign w:val="top"/>
          </w:tcPr>
          <w:p>
            <w:pPr>
              <w:autoSpaceDE w:val="0"/>
              <w:autoSpaceDN w:val="0"/>
              <w:spacing w:line="360" w:lineRule="exact"/>
              <w:rPr>
                <w:rFonts w:hint="eastAsia" w:ascii="仿宋" w:hAnsi="仿宋" w:eastAsia="仿宋"/>
                <w:kern w:val="0"/>
                <w:szCs w:val="21"/>
              </w:rPr>
            </w:pPr>
          </w:p>
        </w:tc>
      </w:tr>
    </w:tbl>
    <w:p>
      <w:pPr>
        <w:autoSpaceDE w:val="0"/>
        <w:autoSpaceDN w:val="0"/>
        <w:adjustRightInd w:val="0"/>
        <w:spacing w:line="200" w:lineRule="exact"/>
        <w:ind w:firstLine="480"/>
        <w:jc w:val="left"/>
        <w:rPr>
          <w:rFonts w:ascii="仿宋" w:hAnsi="仿宋" w:eastAsia="仿宋"/>
          <w:kern w:val="0"/>
          <w:sz w:val="24"/>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007"/>
        <w:gridCol w:w="677"/>
        <w:gridCol w:w="536"/>
        <w:gridCol w:w="3795"/>
        <w:gridCol w:w="1109"/>
        <w:gridCol w:w="850"/>
        <w:gridCol w:w="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0" w:hRule="atLeast"/>
          <w:jc w:val="center"/>
        </w:trPr>
        <w:tc>
          <w:tcPr>
            <w:tcW w:w="1007" w:type="dxa"/>
            <w:vMerge w:val="restart"/>
            <w:noWrap w:val="0"/>
            <w:vAlign w:val="center"/>
          </w:tcPr>
          <w:p>
            <w:pPr>
              <w:autoSpaceDE w:val="0"/>
              <w:autoSpaceDN w:val="0"/>
              <w:spacing w:line="360" w:lineRule="exact"/>
              <w:jc w:val="center"/>
              <w:rPr>
                <w:rFonts w:hint="eastAsia" w:ascii="仿宋" w:hAnsi="仿宋" w:eastAsia="仿宋"/>
                <w:kern w:val="0"/>
                <w:szCs w:val="21"/>
              </w:rPr>
            </w:pPr>
            <w:r>
              <w:rPr>
                <w:rFonts w:hint="eastAsia" w:ascii="仿宋" w:hAnsi="仿宋" w:eastAsia="仿宋" w:cs="宋体"/>
                <w:color w:val="000000"/>
                <w:kern w:val="0"/>
                <w:szCs w:val="21"/>
              </w:rPr>
              <w:t>处罚决定</w:t>
            </w:r>
          </w:p>
        </w:tc>
        <w:tc>
          <w:tcPr>
            <w:tcW w:w="677" w:type="dxa"/>
            <w:vMerge w:val="restart"/>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处罚</w:t>
            </w:r>
          </w:p>
          <w:p>
            <w:pPr>
              <w:autoSpaceDE w:val="0"/>
              <w:autoSpaceDN w:val="0"/>
              <w:spacing w:line="36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决定</w:t>
            </w:r>
          </w:p>
          <w:p>
            <w:pPr>
              <w:autoSpaceDE w:val="0"/>
              <w:autoSpaceDN w:val="0"/>
              <w:spacing w:line="360" w:lineRule="exact"/>
              <w:jc w:val="center"/>
              <w:rPr>
                <w:rFonts w:hint="eastAsia" w:ascii="仿宋" w:hAnsi="仿宋" w:eastAsia="仿宋"/>
                <w:kern w:val="0"/>
                <w:szCs w:val="21"/>
              </w:rPr>
            </w:pPr>
            <w:r>
              <w:rPr>
                <w:rFonts w:hint="eastAsia" w:ascii="仿宋" w:hAnsi="仿宋" w:eastAsia="仿宋" w:cs="宋体"/>
                <w:color w:val="000000"/>
                <w:kern w:val="0"/>
                <w:szCs w:val="21"/>
              </w:rPr>
              <w:t>书</w:t>
            </w: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79</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情节复杂或者重大违法行为给予较重行政处罚的案件未经部门负责人集体讨论决定的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850" w:type="dxa"/>
            <w:noWrap w:val="0"/>
            <w:vAlign w:val="top"/>
          </w:tcPr>
          <w:p>
            <w:pPr>
              <w:autoSpaceDE w:val="0"/>
              <w:autoSpaceDN w:val="0"/>
              <w:spacing w:line="360" w:lineRule="exact"/>
              <w:rPr>
                <w:rFonts w:hint="eastAsia" w:ascii="仿宋" w:hAnsi="仿宋" w:eastAsia="仿宋" w:cs="宋体"/>
                <w:color w:val="000000"/>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5" w:hRule="atLeast"/>
          <w:jc w:val="center"/>
        </w:trPr>
        <w:tc>
          <w:tcPr>
            <w:tcW w:w="1007" w:type="dxa"/>
            <w:vMerge w:val="continue"/>
            <w:noWrap w:val="0"/>
            <w:vAlign w:val="center"/>
          </w:tcPr>
          <w:p>
            <w:pPr>
              <w:autoSpaceDE w:val="0"/>
              <w:autoSpaceDN w:val="0"/>
              <w:spacing w:line="360" w:lineRule="exact"/>
              <w:ind w:firstLine="420"/>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ind w:firstLine="420"/>
              <w:jc w:val="center"/>
              <w:rPr>
                <w:rFonts w:hint="eastAsia" w:ascii="仿宋" w:hAnsi="仿宋" w:eastAsia="仿宋"/>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80</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领导签发的日期与处罚决定书日期不一致的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17" w:hRule="atLeast"/>
          <w:jc w:val="center"/>
        </w:trPr>
        <w:tc>
          <w:tcPr>
            <w:tcW w:w="1007" w:type="dxa"/>
            <w:vMerge w:val="continue"/>
            <w:noWrap w:val="0"/>
            <w:vAlign w:val="center"/>
          </w:tcPr>
          <w:p>
            <w:pPr>
              <w:autoSpaceDE w:val="0"/>
              <w:autoSpaceDN w:val="0"/>
              <w:spacing w:line="360" w:lineRule="exact"/>
              <w:ind w:firstLine="420"/>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ind w:firstLine="420"/>
              <w:jc w:val="center"/>
              <w:rPr>
                <w:rFonts w:hint="eastAsia" w:ascii="仿宋" w:hAnsi="仿宋" w:eastAsia="仿宋" w:cs="宋体"/>
                <w:color w:val="000000"/>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81</w:t>
            </w:r>
          </w:p>
        </w:tc>
        <w:tc>
          <w:tcPr>
            <w:tcW w:w="3795" w:type="dxa"/>
            <w:noWrap w:val="0"/>
            <w:vAlign w:val="top"/>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未按说理式文书要求制作的(当事人的基本情况、违法事实、证据及其证明事项、当事人陈述申辩情况、案件性质认定、处罚裁量理由、裁量依据、行政处罚的法律依据及具体内容、处罚决定；当事人提出陈述申辩或听证的，应当列出其陈述申辩或听证的相关内容)</w:t>
            </w:r>
          </w:p>
        </w:tc>
        <w:tc>
          <w:tcPr>
            <w:tcW w:w="1109" w:type="dxa"/>
            <w:noWrap w:val="0"/>
            <w:vAlign w:val="center"/>
          </w:tcPr>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每少一项扣1分(共5分)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44" w:hRule="atLeast"/>
          <w:jc w:val="center"/>
        </w:trPr>
        <w:tc>
          <w:tcPr>
            <w:tcW w:w="1007" w:type="dxa"/>
            <w:vMerge w:val="continue"/>
            <w:noWrap w:val="0"/>
            <w:vAlign w:val="center"/>
          </w:tcPr>
          <w:p>
            <w:pPr>
              <w:autoSpaceDE w:val="0"/>
              <w:autoSpaceDN w:val="0"/>
              <w:spacing w:line="360" w:lineRule="exact"/>
              <w:ind w:firstLine="420"/>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cs="宋体"/>
                <w:color w:val="000000"/>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82</w:t>
            </w:r>
          </w:p>
        </w:tc>
        <w:tc>
          <w:tcPr>
            <w:tcW w:w="3795" w:type="dxa"/>
            <w:noWrap w:val="0"/>
            <w:vAlign w:val="center"/>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语句不通，用语不准，错漏字、标点符号，涂改不盖校对章的</w:t>
            </w:r>
          </w:p>
        </w:tc>
        <w:tc>
          <w:tcPr>
            <w:tcW w:w="1109" w:type="dxa"/>
            <w:noWrap w:val="0"/>
            <w:vAlign w:val="center"/>
          </w:tcPr>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有一项扣  0.5分(共2</w:t>
            </w:r>
          </w:p>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94" w:hRule="atLeast"/>
          <w:jc w:val="center"/>
        </w:trPr>
        <w:tc>
          <w:tcPr>
            <w:tcW w:w="1007" w:type="dxa"/>
            <w:vMerge w:val="continue"/>
            <w:noWrap w:val="0"/>
            <w:vAlign w:val="center"/>
          </w:tcPr>
          <w:p>
            <w:pPr>
              <w:autoSpaceDE w:val="0"/>
              <w:autoSpaceDN w:val="0"/>
              <w:spacing w:line="360" w:lineRule="exact"/>
              <w:ind w:firstLine="420"/>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83</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未交待指定的履行方式和履行期限的，未署明处罚机关全称、日期、并加盖执法机关公章</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8"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cs="宋体"/>
                <w:color w:val="000000"/>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84</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一般程序案件未在90日内结案，超过规定期限未按照规章要求的程序审批的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0"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restart"/>
            <w:noWrap w:val="0"/>
            <w:vAlign w:val="center"/>
          </w:tcPr>
          <w:p>
            <w:pPr>
              <w:autoSpaceDE w:val="0"/>
              <w:autoSpaceDN w:val="0"/>
              <w:spacing w:line="36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定性和法</w:t>
            </w:r>
          </w:p>
          <w:p>
            <w:pPr>
              <w:autoSpaceDE w:val="0"/>
              <w:autoSpaceDN w:val="0"/>
              <w:spacing w:line="360" w:lineRule="exact"/>
              <w:jc w:val="center"/>
              <w:rPr>
                <w:rFonts w:hint="eastAsia" w:ascii="仿宋" w:hAnsi="仿宋" w:eastAsia="仿宋"/>
                <w:kern w:val="0"/>
                <w:szCs w:val="21"/>
              </w:rPr>
            </w:pPr>
            <w:r>
              <w:rPr>
                <w:rFonts w:hint="eastAsia" w:ascii="仿宋" w:hAnsi="仿宋" w:eastAsia="仿宋" w:cs="宋体"/>
                <w:color w:val="000000"/>
                <w:kern w:val="0"/>
                <w:szCs w:val="21"/>
              </w:rPr>
              <w:t>律适用</w:t>
            </w: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85</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没有定性表述，或定性表述不准的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4"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ind w:firstLine="420"/>
              <w:jc w:val="center"/>
              <w:rPr>
                <w:rFonts w:hint="eastAsia" w:ascii="仿宋" w:hAnsi="仿宋" w:eastAsia="仿宋" w:cs="宋体"/>
                <w:color w:val="000000"/>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86</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违法行为性质认定错误或适用法律错误的(无法律依据、法律失效、应当用A法律而适用B法律、应当用A条款而适用B条款)</w:t>
            </w:r>
          </w:p>
        </w:tc>
        <w:tc>
          <w:tcPr>
            <w:tcW w:w="1109" w:type="dxa"/>
            <w:vMerge w:val="restart"/>
            <w:noWrap w:val="0"/>
            <w:vAlign w:val="center"/>
          </w:tcPr>
          <w:p>
            <w:pPr>
              <w:autoSpaceDE w:val="0"/>
              <w:autoSpaceDN w:val="0"/>
              <w:spacing w:line="36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全卷0分</w:t>
            </w:r>
          </w:p>
          <w:p>
            <w:pPr>
              <w:autoSpaceDE w:val="0"/>
              <w:autoSpaceDN w:val="0"/>
              <w:spacing w:line="360" w:lineRule="exact"/>
              <w:jc w:val="center"/>
              <w:rPr>
                <w:rFonts w:hint="eastAsia" w:ascii="仿宋" w:hAnsi="仿宋" w:eastAsia="仿宋" w:cs="宋体"/>
                <w:color w:val="000000"/>
                <w:kern w:val="0"/>
                <w:szCs w:val="21"/>
              </w:rPr>
            </w:pPr>
          </w:p>
        </w:tc>
        <w:tc>
          <w:tcPr>
            <w:tcW w:w="850" w:type="dxa"/>
            <w:vMerge w:val="restart"/>
            <w:noWrap w:val="0"/>
            <w:vAlign w:val="top"/>
          </w:tcPr>
          <w:p>
            <w:pPr>
              <w:autoSpaceDE w:val="0"/>
              <w:autoSpaceDN w:val="0"/>
              <w:spacing w:line="360" w:lineRule="exact"/>
              <w:rPr>
                <w:rFonts w:hint="eastAsia" w:ascii="仿宋" w:hAnsi="仿宋" w:eastAsia="仿宋"/>
                <w:kern w:val="0"/>
                <w:szCs w:val="21"/>
              </w:rPr>
            </w:pPr>
          </w:p>
        </w:tc>
        <w:tc>
          <w:tcPr>
            <w:tcW w:w="673" w:type="dxa"/>
            <w:vMerge w:val="restart"/>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4"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cs="宋体"/>
                <w:color w:val="000000"/>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87</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违反一事不二罚原则的；违反法定追诉时效给予行政处罚的</w:t>
            </w:r>
          </w:p>
        </w:tc>
        <w:tc>
          <w:tcPr>
            <w:tcW w:w="1109" w:type="dxa"/>
            <w:vMerge w:val="continue"/>
            <w:noWrap w:val="0"/>
            <w:vAlign w:val="center"/>
          </w:tcPr>
          <w:p>
            <w:pPr>
              <w:autoSpaceDE w:val="0"/>
              <w:autoSpaceDN w:val="0"/>
              <w:spacing w:line="360" w:lineRule="exact"/>
              <w:jc w:val="center"/>
              <w:rPr>
                <w:rFonts w:hint="eastAsia" w:ascii="仿宋" w:hAnsi="仿宋" w:eastAsia="仿宋" w:cs="宋体"/>
                <w:color w:val="000000"/>
                <w:kern w:val="0"/>
                <w:szCs w:val="21"/>
              </w:rPr>
            </w:pPr>
          </w:p>
        </w:tc>
        <w:tc>
          <w:tcPr>
            <w:tcW w:w="850" w:type="dxa"/>
            <w:vMerge w:val="continue"/>
            <w:noWrap w:val="0"/>
            <w:vAlign w:val="top"/>
          </w:tcPr>
          <w:p>
            <w:pPr>
              <w:autoSpaceDE w:val="0"/>
              <w:autoSpaceDN w:val="0"/>
              <w:spacing w:line="360" w:lineRule="exact"/>
              <w:rPr>
                <w:rFonts w:hint="eastAsia" w:ascii="仿宋" w:hAnsi="仿宋" w:eastAsia="仿宋"/>
                <w:kern w:val="0"/>
                <w:szCs w:val="21"/>
              </w:rPr>
            </w:pPr>
          </w:p>
        </w:tc>
        <w:tc>
          <w:tcPr>
            <w:tcW w:w="673" w:type="dxa"/>
            <w:vMerge w:val="continue"/>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8"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88</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定性适用法律与处罚适用法律不一致的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89</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适用法律条、款、项表述不规范的；引用不全的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restart"/>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处罚</w:t>
            </w:r>
          </w:p>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幅度</w:t>
            </w:r>
          </w:p>
          <w:p>
            <w:pPr>
              <w:autoSpaceDE w:val="0"/>
              <w:autoSpaceDN w:val="0"/>
              <w:spacing w:line="36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及种</w:t>
            </w:r>
          </w:p>
          <w:p>
            <w:pPr>
              <w:autoSpaceDE w:val="0"/>
              <w:autoSpaceDN w:val="0"/>
              <w:spacing w:line="360" w:lineRule="exact"/>
              <w:jc w:val="center"/>
              <w:rPr>
                <w:rFonts w:hint="eastAsia" w:ascii="仿宋" w:hAnsi="仿宋" w:eastAsia="仿宋"/>
                <w:kern w:val="0"/>
                <w:szCs w:val="21"/>
              </w:rPr>
            </w:pPr>
            <w:r>
              <w:rPr>
                <w:rFonts w:hint="eastAsia" w:ascii="仿宋" w:hAnsi="仿宋" w:eastAsia="仿宋" w:cs="宋体"/>
                <w:color w:val="000000"/>
                <w:kern w:val="0"/>
                <w:szCs w:val="21"/>
              </w:rPr>
              <w:t>类</w:t>
            </w: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90</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未责令当事人改正或限期改正违法行为的，有证据证明当事人在处罚前已经改正的除外</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0"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ind w:firstLine="420"/>
              <w:jc w:val="center"/>
              <w:rPr>
                <w:rFonts w:hint="eastAsia" w:ascii="仿宋" w:hAnsi="仿宋" w:eastAsia="仿宋" w:cs="宋体"/>
                <w:color w:val="000000"/>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9l</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从轻、减轻和不予处罚无法定情节，违反自由裁量权规定的；或者处罚时不考虑法定从轻、减轻和不予处罚情节的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850" w:type="dxa"/>
            <w:noWrap w:val="0"/>
            <w:vAlign w:val="top"/>
          </w:tcPr>
          <w:p>
            <w:pPr>
              <w:autoSpaceDE w:val="0"/>
              <w:autoSpaceDN w:val="0"/>
              <w:spacing w:line="36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 xml:space="preserve"> </w:t>
            </w:r>
          </w:p>
          <w:p>
            <w:pPr>
              <w:autoSpaceDE w:val="0"/>
              <w:autoSpaceDN w:val="0"/>
              <w:spacing w:line="360" w:lineRule="exact"/>
              <w:rPr>
                <w:rFonts w:hint="eastAsia" w:ascii="仿宋" w:hAnsi="仿宋" w:eastAsia="仿宋" w:cs="宋体"/>
                <w:color w:val="000000"/>
                <w:kern w:val="0"/>
                <w:szCs w:val="21"/>
              </w:rPr>
            </w:pPr>
          </w:p>
          <w:p>
            <w:pPr>
              <w:autoSpaceDE w:val="0"/>
              <w:autoSpaceDN w:val="0"/>
              <w:spacing w:line="360" w:lineRule="exact"/>
              <w:rPr>
                <w:rFonts w:hint="eastAsia" w:ascii="仿宋" w:hAnsi="仿宋" w:eastAsia="仿宋" w:cs="宋体"/>
                <w:color w:val="000000"/>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8" w:hRule="atLeast"/>
          <w:jc w:val="center"/>
        </w:trPr>
        <w:tc>
          <w:tcPr>
            <w:tcW w:w="1007" w:type="dxa"/>
            <w:vMerge w:val="continue"/>
            <w:noWrap w:val="0"/>
            <w:vAlign w:val="center"/>
          </w:tcPr>
          <w:p>
            <w:pPr>
              <w:autoSpaceDE w:val="0"/>
              <w:autoSpaceDN w:val="0"/>
              <w:spacing w:line="360" w:lineRule="exact"/>
              <w:jc w:val="center"/>
              <w:rPr>
                <w:rFonts w:hint="eastAsia" w:ascii="仿宋" w:hAnsi="仿宋" w:eastAsia="仿宋"/>
                <w:kern w:val="0"/>
                <w:szCs w:val="21"/>
              </w:rPr>
            </w:pPr>
          </w:p>
        </w:tc>
        <w:tc>
          <w:tcPr>
            <w:tcW w:w="677" w:type="dxa"/>
            <w:vMerge w:val="continue"/>
            <w:noWrap w:val="0"/>
            <w:vAlign w:val="center"/>
          </w:tcPr>
          <w:p>
            <w:pPr>
              <w:autoSpaceDE w:val="0"/>
              <w:autoSpaceDN w:val="0"/>
              <w:spacing w:line="360" w:lineRule="exact"/>
              <w:jc w:val="center"/>
              <w:rPr>
                <w:rFonts w:hint="eastAsia" w:ascii="仿宋" w:hAnsi="仿宋" w:eastAsia="仿宋" w:cs="宋体"/>
                <w:color w:val="000000"/>
                <w:kern w:val="0"/>
                <w:szCs w:val="21"/>
              </w:rPr>
            </w:pPr>
          </w:p>
        </w:tc>
        <w:tc>
          <w:tcPr>
            <w:tcW w:w="536"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92</w:t>
            </w:r>
          </w:p>
        </w:tc>
        <w:tc>
          <w:tcPr>
            <w:tcW w:w="379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处罚种类不当或者自设罚种的(责令改正除外)；告知后没有正当理由因当事人的陈述、申辩、申请听证而加重行政处罚的</w:t>
            </w:r>
          </w:p>
        </w:tc>
        <w:tc>
          <w:tcPr>
            <w:tcW w:w="1109" w:type="dxa"/>
            <w:noWrap w:val="0"/>
            <w:vAlign w:val="center"/>
          </w:tcPr>
          <w:p>
            <w:pPr>
              <w:autoSpaceDE w:val="0"/>
              <w:autoSpaceDN w:val="0"/>
              <w:spacing w:line="36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850" w:type="dxa"/>
            <w:noWrap w:val="0"/>
            <w:vAlign w:val="top"/>
          </w:tcPr>
          <w:p>
            <w:pPr>
              <w:autoSpaceDE w:val="0"/>
              <w:autoSpaceDN w:val="0"/>
              <w:spacing w:line="360" w:lineRule="exact"/>
              <w:rPr>
                <w:rFonts w:hint="eastAsia" w:ascii="仿宋" w:hAnsi="仿宋" w:eastAsia="仿宋"/>
                <w:kern w:val="0"/>
                <w:szCs w:val="21"/>
              </w:rPr>
            </w:pPr>
          </w:p>
        </w:tc>
        <w:tc>
          <w:tcPr>
            <w:tcW w:w="673" w:type="dxa"/>
            <w:noWrap w:val="0"/>
            <w:vAlign w:val="top"/>
          </w:tcPr>
          <w:p>
            <w:pPr>
              <w:autoSpaceDE w:val="0"/>
              <w:autoSpaceDN w:val="0"/>
              <w:spacing w:line="360" w:lineRule="exact"/>
              <w:rPr>
                <w:rFonts w:hint="eastAsia" w:ascii="仿宋" w:hAnsi="仿宋" w:eastAsia="仿宋"/>
                <w:kern w:val="0"/>
                <w:szCs w:val="21"/>
              </w:rPr>
            </w:pPr>
          </w:p>
        </w:tc>
      </w:tr>
    </w:tbl>
    <w:p>
      <w:pPr>
        <w:autoSpaceDE w:val="0"/>
        <w:autoSpaceDN w:val="0"/>
        <w:adjustRightInd w:val="0"/>
        <w:ind w:firstLine="480"/>
        <w:jc w:val="left"/>
        <w:rPr>
          <w:rFonts w:ascii="仿宋" w:hAnsi="仿宋" w:eastAsia="仿宋"/>
          <w:kern w:val="0"/>
          <w:sz w:val="24"/>
        </w:rPr>
      </w:pPr>
    </w:p>
    <w:tbl>
      <w:tblPr>
        <w:tblStyle w:val="4"/>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74"/>
        <w:gridCol w:w="542"/>
        <w:gridCol w:w="3855"/>
        <w:gridCol w:w="1127"/>
        <w:gridCol w:w="862"/>
        <w:gridCol w:w="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88" w:hRule="atLeast"/>
          <w:jc w:val="center"/>
        </w:trPr>
        <w:tc>
          <w:tcPr>
            <w:tcW w:w="1574" w:type="dxa"/>
            <w:vMerge w:val="restart"/>
            <w:noWrap w:val="0"/>
            <w:vAlign w:val="center"/>
          </w:tcPr>
          <w:p>
            <w:pPr>
              <w:autoSpaceDE w:val="0"/>
              <w:autoSpaceDN w:val="0"/>
              <w:spacing w:line="340" w:lineRule="exact"/>
              <w:jc w:val="center"/>
              <w:rPr>
                <w:rFonts w:ascii="仿宋" w:hAnsi="仿宋" w:eastAsia="仿宋" w:cs="宋体"/>
                <w:color w:val="000000"/>
                <w:kern w:val="0"/>
                <w:szCs w:val="21"/>
              </w:rPr>
            </w:pPr>
            <w:r>
              <w:rPr>
                <w:rFonts w:hint="eastAsia" w:ascii="仿宋" w:hAnsi="仿宋" w:eastAsia="仿宋" w:cs="宋体"/>
                <w:color w:val="000000"/>
                <w:kern w:val="0"/>
                <w:szCs w:val="21"/>
              </w:rPr>
              <w:t>法律文书</w:t>
            </w:r>
          </w:p>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送达</w:t>
            </w: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93</w:t>
            </w:r>
          </w:p>
        </w:tc>
        <w:tc>
          <w:tcPr>
            <w:tcW w:w="3855" w:type="dxa"/>
            <w:noWrap w:val="0"/>
            <w:vAlign w:val="top"/>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告知书、处罚决定书未送达，处罚决定送达方式、程序错误，签收人不符合要求的</w:t>
            </w:r>
          </w:p>
        </w:tc>
        <w:tc>
          <w:tcPr>
            <w:tcW w:w="1127" w:type="dxa"/>
            <w:noWrap w:val="0"/>
            <w:vAlign w:val="center"/>
          </w:tcPr>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全卷0分(未当场或7日内按规定送达的扣l0分)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0"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94</w:t>
            </w:r>
          </w:p>
        </w:tc>
        <w:tc>
          <w:tcPr>
            <w:tcW w:w="3855" w:type="dxa"/>
            <w:noWrap w:val="0"/>
            <w:vAlign w:val="top"/>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其他文书应送达而未送达，送达方式、程序错误，签收人不符合要求的</w:t>
            </w:r>
          </w:p>
        </w:tc>
        <w:tc>
          <w:tcPr>
            <w:tcW w:w="1127" w:type="dxa"/>
            <w:noWrap w:val="0"/>
            <w:vAlign w:val="center"/>
          </w:tcPr>
          <w:p>
            <w:pPr>
              <w:autoSpaceDE w:val="0"/>
              <w:autoSpaceDN w:val="0"/>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有一扣1分(共3分)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2"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95</w:t>
            </w:r>
          </w:p>
        </w:tc>
        <w:tc>
          <w:tcPr>
            <w:tcW w:w="3855" w:type="dxa"/>
            <w:noWrap w:val="0"/>
            <w:vAlign w:val="top"/>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送达回证内容填写错漏的</w:t>
            </w:r>
          </w:p>
        </w:tc>
        <w:tc>
          <w:tcPr>
            <w:tcW w:w="1127" w:type="dxa"/>
            <w:noWrap w:val="0"/>
            <w:vAlign w:val="center"/>
          </w:tcPr>
          <w:p>
            <w:pPr>
              <w:autoSpaceDE w:val="0"/>
              <w:autoSpaceDN w:val="0"/>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23" w:hRule="atLeast"/>
          <w:jc w:val="center"/>
        </w:trPr>
        <w:tc>
          <w:tcPr>
            <w:tcW w:w="1574" w:type="dxa"/>
            <w:vMerge w:val="restart"/>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执行及</w:t>
            </w:r>
          </w:p>
          <w:p>
            <w:pPr>
              <w:autoSpaceDE w:val="0"/>
              <w:autoSpaceDN w:val="0"/>
              <w:spacing w:line="340" w:lineRule="exact"/>
              <w:jc w:val="center"/>
              <w:rPr>
                <w:rFonts w:hint="eastAsia" w:ascii="仿宋" w:hAnsi="仿宋" w:eastAsia="仿宋"/>
                <w:kern w:val="0"/>
                <w:szCs w:val="21"/>
              </w:rPr>
            </w:pPr>
            <w:r>
              <w:rPr>
                <w:rFonts w:hint="eastAsia" w:ascii="仿宋" w:hAnsi="仿宋" w:eastAsia="仿宋" w:cs="宋体"/>
                <w:color w:val="000000"/>
                <w:kern w:val="0"/>
                <w:szCs w:val="21"/>
              </w:rPr>
              <w:t>罚没财物处理</w:t>
            </w: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96</w:t>
            </w:r>
          </w:p>
        </w:tc>
        <w:tc>
          <w:tcPr>
            <w:tcW w:w="3855" w:type="dxa"/>
            <w:noWrap w:val="0"/>
            <w:vAlign w:val="top"/>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除法定情形外，不执行罚缴分离的；先收缴罚款后下发处罚决定的</w:t>
            </w:r>
          </w:p>
        </w:tc>
        <w:tc>
          <w:tcPr>
            <w:tcW w:w="1127" w:type="dxa"/>
            <w:noWrap w:val="0"/>
            <w:vAlign w:val="center"/>
          </w:tcPr>
          <w:p>
            <w:pPr>
              <w:autoSpaceDE w:val="0"/>
              <w:autoSpaceDN w:val="0"/>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有一项扣l分(共2分)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90"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97</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复议或诉讼期限届满之日起三个月内应当依法申请法院强制执行而未申请的；申请强制执行，未制作及送达“行政处罚决定履行催告书”的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有l项2分</w:t>
            </w:r>
          </w:p>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(共4分)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98</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延期／分期缴纳罚款的申请、审批、通知等手续不全的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2"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99</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罚没款收据凭证未按规定放入卷宗的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44"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100</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罚没物资不按规定处理的或处理手续不规范的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8" w:hRule="atLeast"/>
          <w:jc w:val="center"/>
        </w:trPr>
        <w:tc>
          <w:tcPr>
            <w:tcW w:w="1574" w:type="dxa"/>
            <w:vMerge w:val="restart"/>
            <w:noWrap w:val="0"/>
            <w:vAlign w:val="center"/>
          </w:tcPr>
          <w:p>
            <w:pPr>
              <w:autoSpaceDE w:val="0"/>
              <w:autoSpaceDN w:val="0"/>
              <w:spacing w:line="340" w:lineRule="exact"/>
              <w:jc w:val="center"/>
              <w:rPr>
                <w:rFonts w:hint="eastAsia" w:ascii="仿宋" w:hAnsi="仿宋" w:eastAsia="仿宋"/>
                <w:kern w:val="0"/>
                <w:szCs w:val="21"/>
              </w:rPr>
            </w:pPr>
            <w:r>
              <w:rPr>
                <w:rFonts w:hint="eastAsia" w:ascii="仿宋" w:hAnsi="仿宋" w:eastAsia="仿宋" w:cs="宋体"/>
                <w:color w:val="000000"/>
                <w:kern w:val="0"/>
                <w:szCs w:val="21"/>
              </w:rPr>
              <w:t>涉罪移送</w:t>
            </w: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101</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依法应当移送的案件未移送的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全卷0分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8"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102</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案件移送程序错误的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3" w:hRule="atLeast"/>
          <w:jc w:val="center"/>
        </w:trPr>
        <w:tc>
          <w:tcPr>
            <w:tcW w:w="1574"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案件终结</w:t>
            </w: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103</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结案程序不规范的</w:t>
            </w:r>
          </w:p>
        </w:tc>
        <w:tc>
          <w:tcPr>
            <w:tcW w:w="1127" w:type="dxa"/>
            <w:noWrap w:val="0"/>
            <w:vAlign w:val="center"/>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75" w:hRule="atLeast"/>
          <w:jc w:val="center"/>
        </w:trPr>
        <w:tc>
          <w:tcPr>
            <w:tcW w:w="1574" w:type="dxa"/>
            <w:vMerge w:val="restart"/>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其它未列明的</w:t>
            </w:r>
          </w:p>
          <w:p>
            <w:pPr>
              <w:autoSpaceDE w:val="0"/>
              <w:autoSpaceDN w:val="0"/>
              <w:spacing w:line="340" w:lineRule="exact"/>
              <w:jc w:val="center"/>
              <w:rPr>
                <w:rFonts w:hint="eastAsia" w:ascii="仿宋" w:hAnsi="仿宋" w:eastAsia="仿宋"/>
                <w:kern w:val="0"/>
                <w:szCs w:val="21"/>
              </w:rPr>
            </w:pPr>
            <w:r>
              <w:rPr>
                <w:rFonts w:hint="eastAsia" w:ascii="仿宋" w:hAnsi="仿宋" w:eastAsia="仿宋" w:cs="宋体"/>
                <w:color w:val="000000"/>
                <w:kern w:val="0"/>
                <w:szCs w:val="21"/>
              </w:rPr>
              <w:t>扣分因素</w:t>
            </w: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104</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 xml:space="preserve">行政处罚决定书、实施行政强制措施、责令改正等文书中，应当告知复议权、诉讼权而未告知复议、诉讼事项或告知错误的    </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3分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2"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cs="宋体"/>
                <w:color w:val="000000"/>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105</w:t>
            </w:r>
          </w:p>
        </w:tc>
        <w:tc>
          <w:tcPr>
            <w:tcW w:w="3855" w:type="dxa"/>
            <w:noWrap w:val="0"/>
            <w:vAlign w:val="center"/>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处罚决定书以外的文书出现错漏别字</w:t>
            </w:r>
          </w:p>
        </w:tc>
        <w:tc>
          <w:tcPr>
            <w:tcW w:w="1127" w:type="dxa"/>
            <w:noWrap w:val="0"/>
            <w:vAlign w:val="center"/>
          </w:tcPr>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有一项扣0.2分(共1分)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6" w:hRule="atLeast"/>
          <w:jc w:val="center"/>
        </w:trPr>
        <w:tc>
          <w:tcPr>
            <w:tcW w:w="1574" w:type="dxa"/>
            <w:vMerge w:val="continue"/>
            <w:noWrap w:val="0"/>
            <w:vAlign w:val="center"/>
          </w:tcPr>
          <w:p>
            <w:pPr>
              <w:autoSpaceDE w:val="0"/>
              <w:autoSpaceDN w:val="0"/>
              <w:spacing w:line="340" w:lineRule="exact"/>
              <w:jc w:val="center"/>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106</w:t>
            </w:r>
          </w:p>
        </w:tc>
        <w:tc>
          <w:tcPr>
            <w:tcW w:w="3855" w:type="dxa"/>
            <w:noWrap w:val="0"/>
            <w:vAlign w:val="center"/>
          </w:tcPr>
          <w:p>
            <w:pPr>
              <w:autoSpaceDE w:val="0"/>
              <w:autoSpaceDN w:val="0"/>
              <w:rPr>
                <w:rFonts w:hint="eastAsia" w:ascii="仿宋" w:hAnsi="仿宋" w:eastAsia="仿宋" w:cs="宋体"/>
                <w:color w:val="000000"/>
                <w:kern w:val="0"/>
                <w:szCs w:val="21"/>
              </w:rPr>
            </w:pPr>
            <w:r>
              <w:rPr>
                <w:rFonts w:hint="eastAsia" w:ascii="仿宋" w:hAnsi="仿宋" w:eastAsia="仿宋" w:cs="宋体"/>
                <w:color w:val="000000"/>
                <w:kern w:val="0"/>
                <w:szCs w:val="21"/>
              </w:rPr>
              <w:t>本评查表未列明，但确属不符合法律、法规、规章及相关规范性文件要求的</w:t>
            </w:r>
          </w:p>
        </w:tc>
        <w:tc>
          <w:tcPr>
            <w:tcW w:w="1127" w:type="dxa"/>
            <w:noWrap w:val="0"/>
            <w:vAlign w:val="center"/>
          </w:tcPr>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有一项扣0.5分</w:t>
            </w:r>
          </w:p>
          <w:p>
            <w:pPr>
              <w:autoSpaceDE w:val="0"/>
              <w:autoSpaceDN w:val="0"/>
              <w:jc w:val="left"/>
              <w:rPr>
                <w:rFonts w:hint="eastAsia" w:ascii="仿宋" w:hAnsi="仿宋" w:eastAsia="仿宋" w:cs="宋体"/>
                <w:color w:val="000000"/>
                <w:kern w:val="0"/>
                <w:szCs w:val="21"/>
              </w:rPr>
            </w:pPr>
            <w:r>
              <w:rPr>
                <w:rFonts w:hint="eastAsia" w:ascii="仿宋" w:hAnsi="仿宋" w:eastAsia="仿宋" w:cs="宋体"/>
                <w:color w:val="000000"/>
                <w:kern w:val="0"/>
                <w:szCs w:val="21"/>
              </w:rPr>
              <w:t>(共3分)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574" w:type="dxa"/>
            <w:vMerge w:val="restart"/>
            <w:noWrap w:val="0"/>
            <w:vAlign w:val="center"/>
          </w:tcPr>
          <w:p>
            <w:pPr>
              <w:autoSpaceDE w:val="0"/>
              <w:autoSpaceDN w:val="0"/>
              <w:spacing w:line="340" w:lineRule="exact"/>
              <w:jc w:val="center"/>
              <w:rPr>
                <w:rFonts w:hint="eastAsia" w:ascii="仿宋" w:hAnsi="仿宋" w:eastAsia="仿宋"/>
                <w:kern w:val="0"/>
                <w:szCs w:val="21"/>
              </w:rPr>
            </w:pPr>
            <w:r>
              <w:rPr>
                <w:rFonts w:hint="eastAsia" w:ascii="仿宋" w:hAnsi="仿宋" w:eastAsia="仿宋" w:cs="宋体"/>
                <w:color w:val="000000"/>
                <w:kern w:val="0"/>
                <w:szCs w:val="21"/>
              </w:rPr>
              <w:t>归档</w:t>
            </w: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107</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案卷未及时装订、立卷归档的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1分</w:t>
            </w:r>
          </w:p>
        </w:tc>
        <w:tc>
          <w:tcPr>
            <w:tcW w:w="862"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33" w:hRule="atLeast"/>
          <w:jc w:val="center"/>
        </w:trPr>
        <w:tc>
          <w:tcPr>
            <w:tcW w:w="1574" w:type="dxa"/>
            <w:vMerge w:val="continue"/>
            <w:noWrap w:val="0"/>
            <w:vAlign w:val="top"/>
          </w:tcPr>
          <w:p>
            <w:pPr>
              <w:autoSpaceDE w:val="0"/>
              <w:autoSpaceDN w:val="0"/>
              <w:spacing w:line="340" w:lineRule="exact"/>
              <w:ind w:firstLine="420"/>
              <w:jc w:val="center"/>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108</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未按规定装订顺序归档</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0.5分</w:t>
            </w:r>
          </w:p>
        </w:tc>
        <w:tc>
          <w:tcPr>
            <w:tcW w:w="862"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27" w:hRule="atLeast"/>
          <w:jc w:val="center"/>
        </w:trPr>
        <w:tc>
          <w:tcPr>
            <w:tcW w:w="1574" w:type="dxa"/>
            <w:vMerge w:val="continue"/>
            <w:noWrap w:val="0"/>
            <w:vAlign w:val="top"/>
          </w:tcPr>
          <w:p>
            <w:pPr>
              <w:autoSpaceDE w:val="0"/>
              <w:autoSpaceDN w:val="0"/>
              <w:spacing w:line="340" w:lineRule="exact"/>
              <w:jc w:val="center"/>
              <w:rPr>
                <w:rFonts w:hint="eastAsia" w:ascii="仿宋" w:hAnsi="仿宋" w:eastAsia="仿宋" w:cs="宋体"/>
                <w:color w:val="000000"/>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109</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页码标注错误的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0.5分</w:t>
            </w:r>
          </w:p>
        </w:tc>
        <w:tc>
          <w:tcPr>
            <w:tcW w:w="862" w:type="dxa"/>
            <w:noWrap w:val="0"/>
            <w:vAlign w:val="top"/>
          </w:tcPr>
          <w:p>
            <w:pPr>
              <w:autoSpaceDE w:val="0"/>
              <w:autoSpaceDN w:val="0"/>
              <w:spacing w:line="340" w:lineRule="exact"/>
              <w:rPr>
                <w:rFonts w:hint="eastAsia" w:ascii="仿宋" w:hAnsi="仿宋" w:eastAsia="仿宋" w:cs="宋体"/>
                <w:color w:val="000000"/>
                <w:kern w:val="0"/>
                <w:szCs w:val="21"/>
              </w:rPr>
            </w:pPr>
          </w:p>
        </w:tc>
        <w:tc>
          <w:tcPr>
            <w:tcW w:w="687" w:type="dxa"/>
            <w:noWrap w:val="0"/>
            <w:vAlign w:val="top"/>
          </w:tcPr>
          <w:p>
            <w:pPr>
              <w:autoSpaceDE w:val="0"/>
              <w:autoSpaceDN w:val="0"/>
              <w:spacing w:line="340" w:lineRule="exact"/>
              <w:rPr>
                <w:rFonts w:hint="eastAsia"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40" w:hRule="atLeast"/>
          <w:jc w:val="center"/>
        </w:trPr>
        <w:tc>
          <w:tcPr>
            <w:tcW w:w="1574" w:type="dxa"/>
            <w:vMerge w:val="continue"/>
            <w:noWrap w:val="0"/>
            <w:vAlign w:val="top"/>
          </w:tcPr>
          <w:p>
            <w:pPr>
              <w:autoSpaceDE w:val="0"/>
              <w:autoSpaceDN w:val="0"/>
              <w:spacing w:line="340" w:lineRule="exact"/>
              <w:rPr>
                <w:rFonts w:hint="eastAsia" w:ascii="仿宋" w:hAnsi="仿宋" w:eastAsia="仿宋"/>
                <w:kern w:val="0"/>
                <w:szCs w:val="21"/>
              </w:rPr>
            </w:pPr>
          </w:p>
        </w:tc>
        <w:tc>
          <w:tcPr>
            <w:tcW w:w="542"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110</w:t>
            </w:r>
          </w:p>
        </w:tc>
        <w:tc>
          <w:tcPr>
            <w:tcW w:w="3855" w:type="dxa"/>
            <w:noWrap w:val="0"/>
            <w:vAlign w:val="top"/>
          </w:tcPr>
          <w:p>
            <w:pPr>
              <w:autoSpaceDE w:val="0"/>
              <w:autoSpaceDN w:val="0"/>
              <w:spacing w:line="340" w:lineRule="exact"/>
              <w:rPr>
                <w:rFonts w:hint="eastAsia" w:ascii="仿宋" w:hAnsi="仿宋" w:eastAsia="仿宋" w:cs="宋体"/>
                <w:color w:val="000000"/>
                <w:kern w:val="0"/>
                <w:szCs w:val="21"/>
              </w:rPr>
            </w:pPr>
            <w:r>
              <w:rPr>
                <w:rFonts w:hint="eastAsia" w:ascii="仿宋" w:hAnsi="仿宋" w:eastAsia="仿宋" w:cs="宋体"/>
                <w:color w:val="000000"/>
                <w:kern w:val="0"/>
                <w:szCs w:val="21"/>
              </w:rPr>
              <w:t>封面＼目录＼备考表内容填写不完整的</w:t>
            </w:r>
          </w:p>
        </w:tc>
        <w:tc>
          <w:tcPr>
            <w:tcW w:w="1127" w:type="dxa"/>
            <w:noWrap w:val="0"/>
            <w:vAlign w:val="center"/>
          </w:tcPr>
          <w:p>
            <w:pPr>
              <w:autoSpaceDE w:val="0"/>
              <w:autoSpaceDN w:val="0"/>
              <w:spacing w:line="340" w:lineRule="exact"/>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0.5分</w:t>
            </w:r>
          </w:p>
        </w:tc>
        <w:tc>
          <w:tcPr>
            <w:tcW w:w="862" w:type="dxa"/>
            <w:noWrap w:val="0"/>
            <w:vAlign w:val="top"/>
          </w:tcPr>
          <w:p>
            <w:pPr>
              <w:autoSpaceDE w:val="0"/>
              <w:autoSpaceDN w:val="0"/>
              <w:spacing w:line="340" w:lineRule="exact"/>
              <w:rPr>
                <w:rFonts w:hint="eastAsia" w:ascii="仿宋" w:hAnsi="仿宋" w:eastAsia="仿宋"/>
                <w:kern w:val="0"/>
                <w:szCs w:val="21"/>
              </w:rPr>
            </w:pPr>
          </w:p>
        </w:tc>
        <w:tc>
          <w:tcPr>
            <w:tcW w:w="687" w:type="dxa"/>
            <w:noWrap w:val="0"/>
            <w:vAlign w:val="top"/>
          </w:tcPr>
          <w:p>
            <w:pPr>
              <w:autoSpaceDE w:val="0"/>
              <w:autoSpaceDN w:val="0"/>
              <w:spacing w:line="340" w:lineRule="exact"/>
              <w:rPr>
                <w:rFonts w:hint="eastAsia" w:ascii="仿宋" w:hAnsi="仿宋" w:eastAsia="仿宋" w:cs="宋体"/>
                <w:color w:val="000000"/>
                <w:kern w:val="0"/>
                <w:szCs w:val="21"/>
              </w:rPr>
            </w:pPr>
          </w:p>
        </w:tc>
      </w:tr>
    </w:tbl>
    <w:p>
      <w:pPr>
        <w:autoSpaceDE w:val="0"/>
        <w:autoSpaceDN w:val="0"/>
        <w:adjustRightInd w:val="0"/>
        <w:ind w:firstLine="360"/>
        <w:jc w:val="left"/>
        <w:rPr>
          <w:rFonts w:ascii="宋体" w:cs="宋体"/>
          <w:color w:val="000000"/>
          <w:kern w:val="0"/>
          <w:sz w:val="18"/>
          <w:szCs w:val="18"/>
        </w:rPr>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709" w:footer="1361" w:gutter="0"/>
          <w:cols w:space="425" w:num="1"/>
          <w:docGrid w:linePitch="312" w:charSpace="0"/>
        </w:sectPr>
      </w:pPr>
    </w:p>
    <w:p/>
    <w:sectPr>
      <w:pgSz w:w="11906" w:h="16838"/>
      <w:pgMar w:top="2098" w:right="1474" w:bottom="1984" w:left="1587" w:header="851" w:footer="992"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775203"/>
    <w:rsid w:val="43231D5C"/>
    <w:rsid w:val="547752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rFonts w:ascii="Times New Roman" w:hAnsi="Times New Roman"/>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rFonts w:ascii="Times New Roman" w:hAnsi="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2020-11-19T07:59:00Z</dcterms:created>
  <dc:creator>SFJ-LYQ</dc:creator>
  <cp:lastModifiedBy>SFJ-LYQ</cp:lastModifiedBy>
  <dcterms:modified xsi:type="dcterms:W3CDTF">2020-11-19T07:59:35Z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