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sz w:val="32"/>
          <w:szCs w:val="32"/>
        </w:rPr>
      </w:pPr>
      <w:r>
        <w:rPr>
          <w:rFonts w:hint="eastAsia" w:ascii="黑体" w:eastAsia="黑体"/>
          <w:sz w:val="32"/>
          <w:szCs w:val="32"/>
        </w:rPr>
        <w:t>附件：</w:t>
      </w:r>
    </w:p>
    <w:p>
      <w:pPr>
        <w:jc w:val="center"/>
        <w:rPr>
          <w:rFonts w:ascii="方正小标宋简体" w:eastAsia="方正小标宋简体"/>
          <w:sz w:val="40"/>
          <w:szCs w:val="40"/>
        </w:rPr>
      </w:pPr>
      <w:r>
        <w:rPr>
          <w:rFonts w:hint="eastAsia" w:ascii="方正小标宋简体" w:eastAsia="方正小标宋简体"/>
          <w:sz w:val="40"/>
          <w:szCs w:val="40"/>
        </w:rPr>
        <w:t>常州市抗肿瘤药物临床应用管理工作考核表</w:t>
      </w:r>
    </w:p>
    <w:p>
      <w:pPr>
        <w:jc w:val="center"/>
        <w:rPr>
          <w:rFonts w:ascii="楷体_GB2312" w:hAnsi="宋体" w:eastAsia="楷体_GB2312"/>
          <w:b/>
          <w:sz w:val="32"/>
          <w:szCs w:val="32"/>
        </w:rPr>
      </w:pPr>
      <w:r>
        <w:rPr>
          <w:rFonts w:hint="eastAsia" w:ascii="楷体_GB2312" w:hAnsi="宋体" w:eastAsia="楷体_GB2312"/>
          <w:b/>
          <w:sz w:val="32"/>
          <w:szCs w:val="32"/>
        </w:rPr>
        <w:t>（得分制，总分100分）</w:t>
      </w:r>
    </w:p>
    <w:tbl>
      <w:tblPr>
        <w:tblStyle w:val="3"/>
        <w:tblW w:w="10774" w:type="dxa"/>
        <w:tblInd w:w="-88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60"/>
        <w:gridCol w:w="2034"/>
        <w:gridCol w:w="6096"/>
        <w:gridCol w:w="708"/>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694" w:type="dxa"/>
            <w:gridSpan w:val="2"/>
            <w:vAlign w:val="center"/>
          </w:tcPr>
          <w:p>
            <w:pPr>
              <w:overflowPunct w:val="0"/>
              <w:topLinePunct/>
              <w:spacing w:line="340" w:lineRule="exact"/>
              <w:jc w:val="center"/>
              <w:rPr>
                <w:rFonts w:ascii="方正黑体_GBK" w:hAnsi="Times" w:eastAsia="方正黑体_GBK"/>
                <w:bCs/>
                <w:kern w:val="0"/>
                <w:sz w:val="24"/>
                <w:szCs w:val="24"/>
              </w:rPr>
            </w:pPr>
            <w:r>
              <w:rPr>
                <w:rFonts w:hint="eastAsia" w:ascii="方正黑体_GBK" w:hAnsi="Times" w:eastAsia="方正黑体_GBK"/>
                <w:bCs/>
                <w:kern w:val="0"/>
                <w:sz w:val="24"/>
              </w:rPr>
              <w:t>检查内容</w:t>
            </w:r>
          </w:p>
        </w:tc>
        <w:tc>
          <w:tcPr>
            <w:tcW w:w="6096" w:type="dxa"/>
            <w:vAlign w:val="center"/>
          </w:tcPr>
          <w:p>
            <w:pPr>
              <w:widowControl/>
              <w:overflowPunct w:val="0"/>
              <w:topLinePunct/>
              <w:spacing w:line="340" w:lineRule="exact"/>
              <w:jc w:val="center"/>
              <w:rPr>
                <w:rFonts w:ascii="方正黑体_GBK" w:hAnsi="Times" w:eastAsia="方正黑体_GBK"/>
                <w:bCs/>
                <w:kern w:val="0"/>
                <w:sz w:val="24"/>
                <w:szCs w:val="24"/>
              </w:rPr>
            </w:pPr>
            <w:r>
              <w:rPr>
                <w:rFonts w:hint="eastAsia" w:ascii="方正黑体_GBK" w:hAnsi="Times" w:eastAsia="方正黑体_GBK"/>
                <w:bCs/>
                <w:kern w:val="0"/>
                <w:sz w:val="24"/>
              </w:rPr>
              <w:t>具体情况</w:t>
            </w:r>
          </w:p>
        </w:tc>
        <w:tc>
          <w:tcPr>
            <w:tcW w:w="708" w:type="dxa"/>
            <w:vAlign w:val="center"/>
          </w:tcPr>
          <w:p>
            <w:pPr>
              <w:widowControl/>
              <w:overflowPunct w:val="0"/>
              <w:topLinePunct/>
              <w:spacing w:line="340" w:lineRule="exact"/>
              <w:jc w:val="center"/>
              <w:rPr>
                <w:rFonts w:ascii="方正黑体_GBK" w:hAnsi="Times" w:eastAsia="方正黑体_GBK"/>
                <w:bCs/>
                <w:kern w:val="0"/>
                <w:sz w:val="24"/>
                <w:szCs w:val="24"/>
              </w:rPr>
            </w:pPr>
            <w:r>
              <w:rPr>
                <w:rFonts w:hint="eastAsia" w:ascii="方正黑体_GBK" w:hAnsi="Times" w:eastAsia="方正黑体_GBK"/>
                <w:bCs/>
                <w:kern w:val="0"/>
                <w:sz w:val="24"/>
              </w:rPr>
              <w:t>得分</w:t>
            </w:r>
          </w:p>
        </w:tc>
        <w:tc>
          <w:tcPr>
            <w:tcW w:w="1276" w:type="dxa"/>
          </w:tcPr>
          <w:p>
            <w:pPr>
              <w:rPr>
                <w:rFonts w:ascii="楷体_GB2312" w:hAnsi="宋体" w:eastAsia="楷体_GB2312"/>
                <w:b/>
                <w:sz w:val="32"/>
                <w:szCs w:val="32"/>
              </w:rPr>
            </w:pPr>
            <w:r>
              <w:rPr>
                <w:rFonts w:hint="eastAsia" w:ascii="方正黑体_GBK" w:hAnsi="Times" w:eastAsia="方正黑体_GBK"/>
                <w:bCs/>
                <w:kern w:val="0"/>
                <w:sz w:val="24"/>
              </w:rPr>
              <w:t>扣分原因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restart"/>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r>
              <w:rPr>
                <w:rFonts w:hint="eastAsia" w:ascii="方正黑体_GBK" w:hAnsi="Times" w:eastAsia="方正黑体_GBK"/>
              </w:rPr>
              <w:t>1.1制度建设和组织机构（20分）</w:t>
            </w:r>
          </w:p>
        </w:tc>
        <w:tc>
          <w:tcPr>
            <w:tcW w:w="2034" w:type="dxa"/>
            <w:tcBorders>
              <w:left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1.1.1 建立抗肿瘤药物管理工作制度（2分）</w:t>
            </w:r>
          </w:p>
        </w:tc>
        <w:tc>
          <w:tcPr>
            <w:tcW w:w="6096" w:type="dxa"/>
            <w:vAlign w:val="center"/>
          </w:tcPr>
          <w:p>
            <w:pPr>
              <w:overflowPunct w:val="0"/>
              <w:topLinePunct/>
              <w:spacing w:line="340" w:lineRule="exact"/>
              <w:rPr>
                <w:rFonts w:ascii="方正黑体_GBK" w:hAnsi="Times" w:eastAsia="方正黑体_GBK"/>
                <w:kern w:val="0"/>
              </w:rPr>
            </w:pPr>
            <w:r>
              <w:rPr>
                <w:rFonts w:hint="eastAsia" w:ascii="方正黑体_GBK" w:hAnsi="Times" w:eastAsia="方正黑体_GBK"/>
                <w:kern w:val="0"/>
              </w:rPr>
              <w:t>查看抗肿瘤药物管理相关制度</w:t>
            </w:r>
            <w:r>
              <w:rPr>
                <w:rFonts w:hint="eastAsia" w:ascii="方正黑体_GBK" w:hAnsi="Times" w:eastAsia="方正黑体_GBK"/>
              </w:rPr>
              <w:t>（2分）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tcBorders>
              <w:left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1.1.2建立抗肿瘤药物管理组织（6分）</w:t>
            </w: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设立抗肿瘤药物管理工作组</w:t>
            </w:r>
            <w:r>
              <w:rPr>
                <w:rFonts w:hint="eastAsia" w:ascii="方正黑体_GBK" w:hAnsi="Times" w:eastAsia="方正黑体_GBK"/>
              </w:rPr>
              <w:t>（2分）</w:t>
            </w:r>
            <w:r>
              <w:rPr>
                <w:rFonts w:hint="eastAsia" w:ascii="方正黑体_GBK" w:hAnsi="Times" w:eastAsia="方正黑体_GBK"/>
                <w:kern w:val="0"/>
              </w:rPr>
              <w:t>，工作组由医务、药学、临床科室、医学影像、病理、护理、检验、信息管理、质控等部门负责人或具有相关专业高级技术职务任职资格的人员组成</w:t>
            </w:r>
            <w:r>
              <w:rPr>
                <w:rFonts w:hint="eastAsia" w:ascii="方正黑体_GBK" w:hAnsi="Times" w:eastAsia="方正黑体_GBK"/>
              </w:rPr>
              <w:t>（2分）</w:t>
            </w:r>
            <w:r>
              <w:rPr>
                <w:rFonts w:hint="eastAsia" w:ascii="方正黑体_GBK" w:hAnsi="Times" w:eastAsia="方正黑体_GBK"/>
                <w:kern w:val="0"/>
              </w:rPr>
              <w:t>明确由医务和药学部门共同负责日常管理工作（2分）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tcBorders>
              <w:left w:val="single" w:color="auto" w:sz="4" w:space="0"/>
            </w:tcBorders>
            <w:vAlign w:val="center"/>
          </w:tcPr>
          <w:p>
            <w:pPr>
              <w:overflowPunct w:val="0"/>
              <w:topLinePunct/>
              <w:spacing w:line="340" w:lineRule="exact"/>
              <w:jc w:val="left"/>
              <w:rPr>
                <w:rFonts w:ascii="方正黑体_GBK" w:hAnsi="Times" w:eastAsia="方正黑体_GBK"/>
                <w:szCs w:val="24"/>
              </w:rPr>
            </w:pPr>
            <w:r>
              <w:rPr>
                <w:rFonts w:hint="eastAsia" w:ascii="方正黑体_GBK" w:hAnsi="Times" w:eastAsia="方正黑体_GBK"/>
                <w:kern w:val="0"/>
              </w:rPr>
              <w:t>1.1.3开展肿瘤多学科诊疗</w:t>
            </w:r>
            <w:r>
              <w:rPr>
                <w:rFonts w:hint="eastAsia" w:ascii="方正黑体_GBK" w:hAnsi="Times" w:eastAsia="方正黑体_GBK"/>
              </w:rPr>
              <w:t>（3分）</w:t>
            </w:r>
          </w:p>
        </w:tc>
        <w:tc>
          <w:tcPr>
            <w:tcW w:w="6096" w:type="dxa"/>
            <w:vAlign w:val="center"/>
          </w:tcPr>
          <w:p>
            <w:pPr>
              <w:widowControl/>
              <w:overflowPunct w:val="0"/>
              <w:topLinePunct/>
              <w:spacing w:line="300" w:lineRule="exact"/>
              <w:rPr>
                <w:rFonts w:ascii="方正黑体_GBK" w:hAnsi="Times" w:eastAsia="方正黑体_GBK"/>
                <w:kern w:val="0"/>
                <w:szCs w:val="22"/>
              </w:rPr>
            </w:pPr>
            <w:r>
              <w:rPr>
                <w:rFonts w:hint="eastAsia" w:ascii="方正黑体_GBK" w:hAnsi="Times" w:eastAsia="方正黑体_GBK"/>
                <w:spacing w:val="-4"/>
                <w:kern w:val="0"/>
              </w:rPr>
              <w:t>医疗机构开展肿瘤多学科诊疗的，应当将肿瘤科、药学、病理、影像、检验等相关专业人员纳入多学科诊疗团队，提高肿瘤综合管理水平</w:t>
            </w:r>
            <w:r>
              <w:rPr>
                <w:rFonts w:hint="eastAsia" w:ascii="方正黑体_GBK" w:hAnsi="Times" w:eastAsia="方正黑体_GBK"/>
                <w:kern w:val="0"/>
              </w:rPr>
              <w:t>（3分）。未开展本项不得分。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tcBorders>
              <w:left w:val="single" w:color="auto" w:sz="4" w:space="0"/>
            </w:tcBorders>
            <w:vAlign w:val="center"/>
          </w:tcPr>
          <w:p>
            <w:pPr>
              <w:overflowPunct w:val="0"/>
              <w:topLinePunct/>
              <w:spacing w:line="340" w:lineRule="exact"/>
              <w:jc w:val="left"/>
              <w:rPr>
                <w:rFonts w:ascii="方正黑体_GBK" w:hAnsi="Times" w:eastAsia="方正黑体_GBK"/>
                <w:kern w:val="0"/>
              </w:rPr>
            </w:pPr>
            <w:r>
              <w:rPr>
                <w:rFonts w:hint="eastAsia" w:ascii="方正黑体_GBK" w:hAnsi="Times" w:eastAsia="方正黑体_GBK"/>
                <w:kern w:val="0"/>
              </w:rPr>
              <w:t>1.1.4药学部门参与抗肿瘤治疗（9分）</w:t>
            </w:r>
          </w:p>
        </w:tc>
        <w:tc>
          <w:tcPr>
            <w:tcW w:w="6096" w:type="dxa"/>
            <w:vAlign w:val="center"/>
          </w:tcPr>
          <w:p>
            <w:pPr>
              <w:widowControl/>
              <w:overflowPunct w:val="0"/>
              <w:topLinePunct/>
              <w:spacing w:line="340" w:lineRule="exact"/>
              <w:rPr>
                <w:rFonts w:ascii="方正黑体_GBK" w:hAnsi="Times" w:eastAsia="方正黑体_GBK"/>
                <w:kern w:val="0"/>
              </w:rPr>
            </w:pPr>
            <w:r>
              <w:rPr>
                <w:rFonts w:hint="eastAsia" w:ascii="方正黑体_GBK" w:hAnsi="Times" w:eastAsia="方正黑体_GBK"/>
                <w:spacing w:val="-4"/>
                <w:kern w:val="0"/>
              </w:rPr>
              <w:t>药学部门参与患者抗肿瘤药物治疗方案的制订与调整（3分），开展抗肿瘤药物处方和用药医嘱的审核与干预（3分），提供药学监护与用药教育（3分）。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restart"/>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r>
              <w:rPr>
                <w:rFonts w:hint="eastAsia" w:ascii="方正黑体_GBK" w:hAnsi="Times" w:eastAsia="方正黑体_GBK"/>
              </w:rPr>
              <w:t>1.2临床应用管理工作情况（70分）</w:t>
            </w:r>
          </w:p>
        </w:tc>
        <w:tc>
          <w:tcPr>
            <w:tcW w:w="2034" w:type="dxa"/>
            <w:tcBorders>
              <w:left w:val="single" w:color="auto" w:sz="4" w:space="0"/>
            </w:tcBorders>
            <w:vAlign w:val="center"/>
          </w:tcPr>
          <w:p>
            <w:pPr>
              <w:overflowPunct w:val="0"/>
              <w:topLinePunct/>
              <w:spacing w:line="340" w:lineRule="exact"/>
              <w:rPr>
                <w:rFonts w:ascii="方正黑体_GBK" w:hAnsi="Times" w:eastAsia="方正黑体_GBK"/>
                <w:kern w:val="0"/>
              </w:rPr>
            </w:pPr>
            <w:r>
              <w:rPr>
                <w:rFonts w:hint="eastAsia" w:ascii="方正黑体_GBK" w:hAnsi="Times" w:eastAsia="方正黑体_GBK"/>
              </w:rPr>
              <w:t>1.2.1制订抗肿瘤药物分级管理目录。</w:t>
            </w:r>
            <w:r>
              <w:rPr>
                <w:rFonts w:hint="eastAsia" w:ascii="方正黑体_GBK" w:hAnsi="Times" w:eastAsia="方正黑体_GBK"/>
                <w:kern w:val="0"/>
              </w:rPr>
              <w:t>（7分）</w:t>
            </w:r>
          </w:p>
        </w:tc>
        <w:tc>
          <w:tcPr>
            <w:tcW w:w="6096" w:type="dxa"/>
            <w:vAlign w:val="center"/>
          </w:tcPr>
          <w:p>
            <w:pPr>
              <w:widowControl/>
              <w:overflowPunct w:val="0"/>
              <w:topLinePunct/>
              <w:spacing w:line="340" w:lineRule="exact"/>
              <w:rPr>
                <w:rFonts w:ascii="方正黑体_GBK" w:hAnsi="Times" w:eastAsia="方正黑体_GBK"/>
                <w:spacing w:val="-4"/>
                <w:kern w:val="0"/>
              </w:rPr>
            </w:pPr>
            <w:r>
              <w:rPr>
                <w:rFonts w:hint="eastAsia" w:ascii="方正黑体_GBK" w:hAnsi="Times" w:eastAsia="方正黑体_GBK"/>
              </w:rPr>
              <w:t>制定本医疗机构使用的抗肿瘤药物分级管理目录（3分），并且向核发《医疗机构执业许可证》的卫生健康行政部门备案。</w:t>
            </w:r>
            <w:r>
              <w:rPr>
                <w:rFonts w:hint="eastAsia" w:ascii="方正黑体_GBK" w:hAnsi="Times" w:eastAsia="方正黑体_GBK"/>
                <w:kern w:val="0"/>
              </w:rPr>
              <w:t xml:space="preserve">（2分） </w:t>
            </w:r>
            <w:r>
              <w:rPr>
                <w:rFonts w:hint="eastAsia" w:ascii="方正黑体_GBK" w:hAnsi="Times" w:eastAsia="方正黑体_GBK"/>
              </w:rPr>
              <w:t>管理目录按要求定期进行调整。</w:t>
            </w:r>
            <w:r>
              <w:rPr>
                <w:rFonts w:hint="eastAsia" w:ascii="方正黑体_GBK" w:hAnsi="Times" w:eastAsia="方正黑体_GBK"/>
                <w:kern w:val="0"/>
              </w:rPr>
              <w:t>（2分）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restart"/>
            <w:tcBorders>
              <w:left w:val="single" w:color="auto" w:sz="4" w:space="0"/>
            </w:tcBorders>
            <w:vAlign w:val="center"/>
          </w:tcPr>
          <w:p>
            <w:pPr>
              <w:overflowPunct w:val="0"/>
              <w:topLinePunct/>
              <w:spacing w:line="340" w:lineRule="exact"/>
              <w:rPr>
                <w:rFonts w:ascii="方正黑体_GBK" w:hAnsi="Times" w:eastAsia="方正黑体_GBK"/>
              </w:rPr>
            </w:pPr>
            <w:r>
              <w:rPr>
                <w:rFonts w:hint="eastAsia" w:ascii="方正黑体_GBK" w:hAnsi="Times" w:eastAsia="方正黑体_GBK"/>
                <w:kern w:val="0"/>
              </w:rPr>
              <w:t>1.2.2抗</w:t>
            </w:r>
            <w:r>
              <w:rPr>
                <w:rFonts w:hint="eastAsia" w:ascii="方正黑体_GBK" w:hAnsi="Times" w:eastAsia="方正黑体_GBK"/>
              </w:rPr>
              <w:t>肿瘤</w:t>
            </w:r>
            <w:r>
              <w:rPr>
                <w:rFonts w:hint="eastAsia" w:ascii="方正黑体_GBK" w:hAnsi="Times" w:eastAsia="方正黑体_GBK"/>
                <w:kern w:val="0"/>
              </w:rPr>
              <w:t>药物品种遴选和评估工作。（11分）</w:t>
            </w:r>
          </w:p>
        </w:tc>
        <w:tc>
          <w:tcPr>
            <w:tcW w:w="6096" w:type="dxa"/>
            <w:vAlign w:val="center"/>
          </w:tcPr>
          <w:p>
            <w:pPr>
              <w:overflowPunct w:val="0"/>
              <w:topLinePunct/>
              <w:spacing w:line="340" w:lineRule="exact"/>
              <w:rPr>
                <w:rFonts w:ascii="方正黑体_GBK" w:hAnsi="Times" w:eastAsia="方正黑体_GBK"/>
                <w:kern w:val="0"/>
              </w:rPr>
            </w:pPr>
            <w:r>
              <w:rPr>
                <w:rFonts w:hint="eastAsia" w:ascii="方正黑体_GBK" w:hAnsi="Times" w:eastAsia="方正黑体_GBK"/>
              </w:rPr>
              <w:t>医疗机构应建立抗肿瘤药物遴选和评估制度（3分）</w:t>
            </w:r>
            <w:r>
              <w:rPr>
                <w:rFonts w:hint="eastAsia" w:ascii="方正黑体_GBK" w:hAnsi="Times" w:eastAsia="方正黑体_GBK"/>
                <w:kern w:val="0"/>
              </w:rPr>
              <w:t>，遴选、新引进或清退、更换抗肿瘤药物符合程序要求。（3分）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40" w:lineRule="exact"/>
              <w:rPr>
                <w:rFonts w:ascii="方正黑体_GBK" w:hAnsi="Times" w:eastAsia="方正黑体_GBK"/>
                <w:szCs w:val="24"/>
              </w:rPr>
            </w:pPr>
            <w:r>
              <w:rPr>
                <w:rFonts w:hint="eastAsia" w:ascii="方正黑体_GBK" w:hAnsi="Times" w:eastAsia="方正黑体_GBK"/>
                <w:kern w:val="0"/>
              </w:rPr>
              <w:t>抗肿瘤药物应当由药学部门统一采购供应</w:t>
            </w:r>
            <w:r>
              <w:rPr>
                <w:rFonts w:hint="eastAsia" w:ascii="方正黑体_GBK" w:hAnsi="Times" w:eastAsia="方正黑体_GBK"/>
              </w:rPr>
              <w:t>（2分）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40" w:lineRule="exact"/>
              <w:rPr>
                <w:rFonts w:ascii="方正黑体_GBK" w:hAnsi="Times" w:eastAsia="方正黑体_GBK"/>
                <w:kern w:val="0"/>
              </w:rPr>
            </w:pPr>
            <w:r>
              <w:rPr>
                <w:rFonts w:hint="eastAsia" w:ascii="方正黑体_GBK" w:hAnsi="Times" w:eastAsia="方正黑体_GBK"/>
                <w:kern w:val="0"/>
              </w:rPr>
              <w:t>医疗机构因特殊治疗需要使用目录外肿瘤药物，应及时启动临时采购程序，临时采购符合程序要求。（3分）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42" w:hRule="atLeast"/>
        </w:trPr>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restart"/>
            <w:tcBorders>
              <w:left w:val="single" w:color="auto" w:sz="4" w:space="0"/>
            </w:tcBorders>
            <w:vAlign w:val="center"/>
          </w:tcPr>
          <w:p>
            <w:pPr>
              <w:overflowPunct w:val="0"/>
              <w:topLinePunct/>
              <w:spacing w:line="340" w:lineRule="exact"/>
              <w:rPr>
                <w:rFonts w:ascii="方正黑体_GBK" w:hAnsi="Times" w:eastAsia="方正黑体_GBK"/>
              </w:rPr>
            </w:pPr>
            <w:r>
              <w:rPr>
                <w:rFonts w:hint="eastAsia" w:ascii="方正黑体_GBK" w:hAnsi="Times" w:eastAsia="方正黑体_GBK"/>
              </w:rPr>
              <w:t>1.2.3抗肿瘤药物培训考核和处方权授予工作。</w:t>
            </w:r>
            <w:r>
              <w:rPr>
                <w:rFonts w:hint="eastAsia" w:ascii="方正黑体_GBK" w:hAnsi="Times" w:eastAsia="方正黑体_GBK"/>
                <w:kern w:val="0"/>
              </w:rPr>
              <w:t>（8分）</w:t>
            </w:r>
          </w:p>
        </w:tc>
        <w:tc>
          <w:tcPr>
            <w:tcW w:w="6096" w:type="dxa"/>
            <w:vAlign w:val="center"/>
          </w:tcPr>
          <w:p>
            <w:pPr>
              <w:widowControl/>
              <w:overflowPunct w:val="0"/>
              <w:topLinePunct/>
              <w:spacing w:line="340" w:lineRule="exact"/>
              <w:rPr>
                <w:rFonts w:ascii="方正黑体_GBK" w:hAnsi="Times" w:eastAsia="方正黑体_GBK"/>
                <w:spacing w:val="-8"/>
                <w:szCs w:val="24"/>
              </w:rPr>
            </w:pPr>
            <w:r>
              <w:rPr>
                <w:rFonts w:hint="eastAsia" w:ascii="方正黑体_GBK" w:hAnsi="Times" w:eastAsia="方正黑体_GBK"/>
                <w:spacing w:val="-8"/>
                <w:kern w:val="0"/>
              </w:rPr>
              <w:t>定期对本机构抗肿瘤药物相关的医师、药师、护士等进行抗肿瘤药物临床应用知识培训并进行考核（每年不少于一次）。（3分）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2" w:hRule="atLeast"/>
        </w:trPr>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40" w:lineRule="exact"/>
              <w:rPr>
                <w:rFonts w:ascii="方正黑体_GBK" w:hAnsi="Times" w:eastAsia="方正黑体_GBK"/>
                <w:kern w:val="0"/>
              </w:rPr>
            </w:pPr>
            <w:r>
              <w:rPr>
                <w:rFonts w:hint="eastAsia" w:ascii="方正黑体_GBK" w:hAnsi="Times" w:eastAsia="方正黑体_GBK"/>
                <w:spacing w:val="-8"/>
                <w:kern w:val="0"/>
              </w:rPr>
              <w:t>培训合格后，按照医师专业技术职称级别授予不同级别肿瘤药物处方权（2分），并在信息化系统中设置相应的处方权。（3分）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restart"/>
            <w:tcBorders>
              <w:left w:val="single" w:color="auto" w:sz="4" w:space="0"/>
            </w:tcBorders>
            <w:vAlign w:val="center"/>
          </w:tcPr>
          <w:p>
            <w:pPr>
              <w:overflowPunct w:val="0"/>
              <w:topLinePunct/>
              <w:spacing w:line="340" w:lineRule="exact"/>
              <w:rPr>
                <w:rFonts w:ascii="方正黑体_GBK" w:hAnsi="Times" w:eastAsia="方正黑体_GBK"/>
              </w:rPr>
            </w:pPr>
            <w:r>
              <w:rPr>
                <w:rFonts w:hint="eastAsia" w:ascii="方正黑体_GBK" w:hAnsi="Times" w:eastAsia="方正黑体_GBK"/>
              </w:rPr>
              <w:t>1.2.4规范使用抗肿瘤药物</w:t>
            </w:r>
            <w:r>
              <w:rPr>
                <w:rFonts w:hint="eastAsia" w:ascii="方正黑体_GBK" w:hAnsi="Times" w:eastAsia="方正黑体_GBK"/>
                <w:kern w:val="0"/>
              </w:rPr>
              <w:t>（7分）</w:t>
            </w:r>
          </w:p>
        </w:tc>
        <w:tc>
          <w:tcPr>
            <w:tcW w:w="6096" w:type="dxa"/>
            <w:vAlign w:val="center"/>
          </w:tcPr>
          <w:p>
            <w:pPr>
              <w:widowControl/>
              <w:overflowPunct w:val="0"/>
              <w:topLinePunct/>
              <w:spacing w:line="340" w:lineRule="exact"/>
              <w:rPr>
                <w:rFonts w:ascii="方正黑体_GBK" w:hAnsi="Times" w:eastAsia="方正黑体_GBK"/>
                <w:spacing w:val="4"/>
                <w:szCs w:val="24"/>
              </w:rPr>
            </w:pPr>
            <w:r>
              <w:rPr>
                <w:rFonts w:hint="eastAsia" w:ascii="方正黑体_GBK" w:hAnsi="Times" w:eastAsia="方正黑体_GBK"/>
                <w:kern w:val="0"/>
              </w:rPr>
              <w:t>医师应当根据组织或细胞学病理诊断结果，或特殊分子病理诊断结果，合理选用抗肿瘤药物。（2分）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需进行基因靶点检测的靶向药物，使用前需经靶点基因检测，确认患者适用后方可开具。（2分）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原则上不得超说明书使用抗肿瘤药物，对药品说明书中未明确但具有循证医学证据的药品用法，应制订相应管理制度、技术规范进行严格管理。（3分）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restart"/>
            <w:tcBorders>
              <w:left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1.2.5抗肿瘤药物调剂（7分）</w:t>
            </w: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抗肿瘤药物处方由经过抗肿瘤药物临床应用知识培训并考核合格的药师审核和调配。</w:t>
            </w:r>
            <w:r>
              <w:rPr>
                <w:rFonts w:hint="eastAsia" w:ascii="方正黑体_GBK" w:hAnsi="Times" w:eastAsia="方正黑体_GBK"/>
              </w:rPr>
              <w:t>（3分）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设置专门区域用于抗肿瘤药物调配，实行相对集中调配，并做好医务人员职业防护。（2分）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bottom w:val="single" w:color="auto" w:sz="4" w:space="0"/>
            </w:tcBorders>
            <w:vAlign w:val="center"/>
          </w:tcPr>
          <w:p>
            <w:pPr>
              <w:overflowPunct w:val="0"/>
              <w:topLinePunct/>
              <w:spacing w:line="340" w:lineRule="exact"/>
              <w:rPr>
                <w:rFonts w:ascii="方正黑体_GBK" w:hAnsi="Times" w:eastAsia="方正黑体_GBK"/>
              </w:rPr>
            </w:pPr>
          </w:p>
        </w:tc>
        <w:tc>
          <w:tcPr>
            <w:tcW w:w="6096" w:type="dxa"/>
            <w:tcBorders>
              <w:bottom w:val="single" w:color="auto" w:sz="4" w:space="0"/>
            </w:tcBorders>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设有静配中心的医疗机构应当根据规范进行集中调配，并对调配人员进行培训考核。（2分）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restart"/>
            <w:tcBorders>
              <w:top w:val="single" w:color="auto" w:sz="4" w:space="0"/>
              <w:left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1.2.6抗肿瘤药物临床应用监测工作</w:t>
            </w:r>
            <w:r>
              <w:rPr>
                <w:rFonts w:hint="eastAsia" w:ascii="方正黑体_GBK" w:hAnsi="Times" w:eastAsia="方正黑体_GBK"/>
                <w:kern w:val="0"/>
              </w:rPr>
              <w:t>（28分）</w:t>
            </w:r>
          </w:p>
        </w:tc>
        <w:tc>
          <w:tcPr>
            <w:tcW w:w="6096" w:type="dxa"/>
            <w:tcBorders>
              <w:top w:val="single" w:color="auto" w:sz="4" w:space="0"/>
            </w:tcBorders>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开展抗肿瘤药物临床应用监测工作，分析本机构和各临床科室抗肿瘤药物使用情况，评估抗肿瘤药物使用适宜性（5分）；对抗肿瘤药物使用趋势进行分析，对抗肿瘤药物不合理使用情况及时采取有效干预措施。（5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充分利用信息化手段，加强抗肿瘤药物临床应用的全过程管理。（5分）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应当积极参加卫生健康行政部门组织的抗肿瘤药物临床应用监测工作，并明确具体部门和负责人，及时、规范、真实上报相关数据。（3分）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 w:hRule="atLeast"/>
        </w:trPr>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医疗机构每半年至少开展一次抗肿瘤药物专项处方点评（3分）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医疗机构应当根据各临床科室专业特点，科学设定抗肿瘤药物临床合理应用管理指标，定期开展评估。（5分）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vMerge w:val="continue"/>
            <w:tcBorders>
              <w:left w:val="single" w:color="auto" w:sz="4" w:space="0"/>
            </w:tcBorders>
            <w:vAlign w:val="center"/>
          </w:tcPr>
          <w:p>
            <w:pPr>
              <w:overflowPunct w:val="0"/>
              <w:topLinePunct/>
              <w:spacing w:line="340" w:lineRule="exact"/>
              <w:rPr>
                <w:rFonts w:ascii="方正黑体_GBK" w:hAnsi="Times" w:eastAsia="方正黑体_GBK"/>
              </w:rPr>
            </w:pP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医疗机构应当加强抗肿瘤药物不良反应、不良事件监测工作，并按规定及时上报（2分）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bottom w:val="single" w:color="auto" w:sz="4" w:space="0"/>
              <w:right w:val="single" w:color="auto" w:sz="4" w:space="0"/>
            </w:tcBorders>
            <w:vAlign w:val="center"/>
          </w:tcPr>
          <w:p>
            <w:pPr>
              <w:widowControl/>
              <w:overflowPunct w:val="0"/>
              <w:topLinePunct/>
              <w:spacing w:line="340" w:lineRule="exact"/>
              <w:jc w:val="left"/>
              <w:rPr>
                <w:rFonts w:ascii="方正黑体_GBK" w:hAnsi="Times" w:eastAsia="方正黑体_GBK"/>
              </w:rPr>
            </w:pPr>
          </w:p>
        </w:tc>
        <w:tc>
          <w:tcPr>
            <w:tcW w:w="2034" w:type="dxa"/>
            <w:tcBorders>
              <w:left w:val="single" w:color="auto" w:sz="4" w:space="0"/>
              <w:bottom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1.2.7抗肿瘤药物使用紧急预案</w:t>
            </w:r>
            <w:r>
              <w:rPr>
                <w:rFonts w:hint="eastAsia" w:ascii="方正黑体_GBK" w:hAnsi="Times" w:eastAsia="方正黑体_GBK"/>
                <w:kern w:val="0"/>
              </w:rPr>
              <w:t>（2分）</w:t>
            </w:r>
          </w:p>
        </w:tc>
        <w:tc>
          <w:tcPr>
            <w:tcW w:w="6096" w:type="dxa"/>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医疗机构应当制订抗肿瘤药物使用应急预案，对出现外漏或严重不良反应的，及时启动应急预案.（2分）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restart"/>
            <w:tcBorders>
              <w:top w:val="single" w:color="auto" w:sz="4" w:space="0"/>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r>
              <w:rPr>
                <w:rFonts w:hint="eastAsia" w:ascii="方正黑体_GBK" w:hAnsi="Times" w:eastAsia="方正黑体_GBK"/>
              </w:rPr>
              <w:t>1.3监督管理</w:t>
            </w:r>
            <w:r>
              <w:rPr>
                <w:rFonts w:hint="eastAsia" w:ascii="方正黑体_GBK" w:hAnsi="Times" w:eastAsia="方正黑体_GBK"/>
                <w:kern w:val="0"/>
              </w:rPr>
              <w:t>（10分）</w:t>
            </w:r>
          </w:p>
        </w:tc>
        <w:tc>
          <w:tcPr>
            <w:tcW w:w="2034" w:type="dxa"/>
            <w:tcBorders>
              <w:top w:val="single" w:color="auto" w:sz="4" w:space="0"/>
              <w:left w:val="single" w:color="auto" w:sz="4" w:space="0"/>
              <w:bottom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1.3.1加强考核</w:t>
            </w:r>
            <w:r>
              <w:rPr>
                <w:rFonts w:hint="eastAsia" w:ascii="方正黑体_GBK" w:hAnsi="Times" w:eastAsia="方正黑体_GBK"/>
                <w:kern w:val="0"/>
              </w:rPr>
              <w:t>（5分）</w:t>
            </w:r>
          </w:p>
        </w:tc>
        <w:tc>
          <w:tcPr>
            <w:tcW w:w="6096" w:type="dxa"/>
            <w:tcBorders>
              <w:bottom w:val="single" w:color="auto" w:sz="4" w:space="0"/>
            </w:tcBorders>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将抗肿瘤药物处方点评和用药医嘱审核结果纳入医师定期考核、临床科室和医务人员业务考核范围。（5分）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tcBorders>
              <w:top w:val="single" w:color="auto" w:sz="4" w:space="0"/>
              <w:left w:val="single" w:color="auto" w:sz="4" w:space="0"/>
              <w:bottom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1.3.2肿瘤治疗辅助药物管理</w:t>
            </w:r>
            <w:r>
              <w:rPr>
                <w:rFonts w:hint="eastAsia" w:ascii="方正黑体_GBK" w:hAnsi="Times" w:eastAsia="方正黑体_GBK"/>
                <w:kern w:val="0"/>
              </w:rPr>
              <w:t>（3分）</w:t>
            </w:r>
          </w:p>
        </w:tc>
        <w:tc>
          <w:tcPr>
            <w:tcW w:w="6096" w:type="dxa"/>
            <w:tcBorders>
              <w:top w:val="single" w:color="auto" w:sz="4" w:space="0"/>
              <w:bottom w:val="single" w:color="auto" w:sz="4" w:space="0"/>
            </w:tcBorders>
            <w:vAlign w:val="center"/>
          </w:tcPr>
          <w:p>
            <w:pPr>
              <w:widowControl/>
              <w:overflowPunct w:val="0"/>
              <w:topLinePunct/>
              <w:spacing w:line="300" w:lineRule="exact"/>
              <w:rPr>
                <w:rFonts w:ascii="方正黑体_GBK" w:hAnsi="Times" w:eastAsia="方正黑体_GBK"/>
                <w:kern w:val="0"/>
              </w:rPr>
            </w:pPr>
            <w:r>
              <w:rPr>
                <w:rFonts w:hint="eastAsia" w:ascii="方正黑体_GBK" w:hAnsi="Times" w:eastAsia="方正黑体_GBK"/>
                <w:kern w:val="0"/>
              </w:rPr>
              <w:t>对于价格昂贵、经济负担沉重的肿瘤治疗辅助药物，应及时纳入本机构重点监控合理用药目录，进行重点管理和监测评价。（3分）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60" w:type="dxa"/>
            <w:vMerge w:val="continue"/>
            <w:tcBorders>
              <w:right w:val="single" w:color="auto" w:sz="4" w:space="0"/>
            </w:tcBorders>
            <w:vAlign w:val="center"/>
          </w:tcPr>
          <w:p>
            <w:pPr>
              <w:overflowPunct w:val="0"/>
              <w:topLinePunct/>
              <w:spacing w:line="340" w:lineRule="exact"/>
              <w:jc w:val="center"/>
              <w:rPr>
                <w:rFonts w:ascii="方正黑体_GBK" w:hAnsi="Times" w:eastAsia="方正黑体_GBK"/>
                <w:bCs/>
                <w:kern w:val="0"/>
                <w:sz w:val="24"/>
              </w:rPr>
            </w:pPr>
          </w:p>
        </w:tc>
        <w:tc>
          <w:tcPr>
            <w:tcW w:w="2034" w:type="dxa"/>
            <w:tcBorders>
              <w:top w:val="single" w:color="auto" w:sz="4" w:space="0"/>
              <w:left w:val="single" w:color="auto" w:sz="4" w:space="0"/>
            </w:tcBorders>
            <w:vAlign w:val="center"/>
          </w:tcPr>
          <w:p>
            <w:pPr>
              <w:overflowPunct w:val="0"/>
              <w:topLinePunct/>
              <w:spacing w:line="340" w:lineRule="exact"/>
              <w:rPr>
                <w:rFonts w:ascii="方正黑体_GBK" w:hAnsi="Times" w:eastAsia="方正黑体_GBK"/>
                <w:szCs w:val="24"/>
              </w:rPr>
            </w:pPr>
            <w:r>
              <w:rPr>
                <w:rFonts w:hint="eastAsia" w:ascii="方正黑体_GBK" w:hAnsi="Times" w:eastAsia="方正黑体_GBK"/>
              </w:rPr>
              <w:t>1.3.3毒性药品管理</w:t>
            </w:r>
            <w:r>
              <w:rPr>
                <w:rFonts w:hint="eastAsia" w:ascii="方正黑体_GBK" w:hAnsi="Times" w:eastAsia="方正黑体_GBK"/>
                <w:kern w:val="0"/>
              </w:rPr>
              <w:t>（2分）</w:t>
            </w:r>
          </w:p>
        </w:tc>
        <w:tc>
          <w:tcPr>
            <w:tcW w:w="6096" w:type="dxa"/>
            <w:tcBorders>
              <w:top w:val="single" w:color="auto" w:sz="4" w:space="0"/>
            </w:tcBorders>
            <w:vAlign w:val="center"/>
          </w:tcPr>
          <w:p>
            <w:pPr>
              <w:widowControl/>
              <w:overflowPunct w:val="0"/>
              <w:topLinePunct/>
              <w:spacing w:line="340" w:lineRule="exact"/>
              <w:rPr>
                <w:rFonts w:ascii="方正黑体_GBK" w:hAnsi="Times" w:eastAsia="方正黑体_GBK"/>
                <w:kern w:val="0"/>
              </w:rPr>
            </w:pPr>
            <w:r>
              <w:rPr>
                <w:rFonts w:hint="eastAsia" w:ascii="方正黑体_GBK" w:hAnsi="Times" w:eastAsia="方正黑体_GBK"/>
                <w:kern w:val="0"/>
              </w:rPr>
              <w:t>对于限制使用级抗肿瘤药物中的毒性药品，要设专柜（或区）管理，做到专人保管、标识明显、每日清点、帐物相符；保存条件符合说明书要求；每次处方剂量不得超过二日极量。（2分）</w:t>
            </w:r>
          </w:p>
        </w:tc>
        <w:tc>
          <w:tcPr>
            <w:tcW w:w="708" w:type="dxa"/>
            <w:vAlign w:val="center"/>
          </w:tcPr>
          <w:p>
            <w:pPr>
              <w:widowControl/>
              <w:overflowPunct w:val="0"/>
              <w:topLinePunct/>
              <w:spacing w:line="340" w:lineRule="exact"/>
              <w:jc w:val="center"/>
              <w:rPr>
                <w:rFonts w:ascii="方正黑体_GBK" w:hAnsi="Times" w:eastAsia="方正黑体_GBK"/>
                <w:bCs/>
                <w:kern w:val="0"/>
                <w:sz w:val="24"/>
              </w:rPr>
            </w:pPr>
          </w:p>
        </w:tc>
        <w:tc>
          <w:tcPr>
            <w:tcW w:w="1276" w:type="dxa"/>
          </w:tcPr>
          <w:p>
            <w:pPr>
              <w:rPr>
                <w:rFonts w:ascii="方正黑体_GBK" w:hAnsi="Times" w:eastAsia="方正黑体_GBK"/>
                <w:bCs/>
                <w:kern w:val="0"/>
                <w:sz w:val="24"/>
              </w:rPr>
            </w:pPr>
          </w:p>
        </w:tc>
      </w:tr>
    </w:tbl>
    <w:p>
      <w:pPr>
        <w:rPr>
          <w:szCs w:val="24"/>
        </w:rPr>
      </w:pPr>
    </w:p>
    <w:p>
      <w:pPr>
        <w:rPr>
          <w:szCs w:val="24"/>
        </w:rPr>
      </w:pPr>
    </w:p>
    <w:p>
      <w:bookmarkStart w:id="0" w:name="_GoBack"/>
      <w:bookmarkEnd w:id="0"/>
    </w:p>
    <w:sectPr>
      <w:footerReference r:id="rId3" w:type="default"/>
      <w:footerReference r:id="rId4" w:type="even"/>
      <w:pgSz w:w="11906" w:h="16838"/>
      <w:pgMar w:top="2155" w:right="1531" w:bottom="2098" w:left="1531" w:header="567" w:footer="1361" w:gutter="0"/>
      <w:pgNumType w:fmt="numberInDash" w:chapStyle="1" w:chapSep="em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Times">
    <w:altName w:val="Times New Roman"/>
    <w:panose1 w:val="02020603060405020304"/>
    <w:charset w:val="00"/>
    <w:family w:val="roman"/>
    <w:pitch w:val="default"/>
    <w:sig w:usb0="00000000" w:usb1="00000000" w:usb2="00000000" w:usb3="00000000" w:csb0="00000093"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8672" w:y="-329"/>
      <w:ind w:left="420" w:leftChars="200" w:right="420" w:rightChars="200"/>
      <w:jc w:val="center"/>
      <w:rPr>
        <w:rStyle w:val="5"/>
        <w:rFonts w:ascii="宋体" w:hAnsi="宋体"/>
        <w:sz w:val="24"/>
        <w:szCs w:val="24"/>
      </w:rPr>
    </w:pPr>
    <w:r>
      <w:rPr>
        <w:rStyle w:val="5"/>
        <w:rFonts w:hint="eastAsia" w:ascii="宋体" w:hAnsi="宋体"/>
        <w:sz w:val="24"/>
        <w:szCs w:val="24"/>
      </w:rPr>
      <w:t xml:space="preserve">－ </w:t>
    </w:r>
    <w:r>
      <w:rPr>
        <w:rFonts w:ascii="宋体" w:hAnsi="宋体"/>
        <w:sz w:val="24"/>
        <w:szCs w:val="24"/>
      </w:rPr>
      <w:fldChar w:fldCharType="begin"/>
    </w:r>
    <w:r>
      <w:rPr>
        <w:rStyle w:val="5"/>
        <w:rFonts w:ascii="宋体" w:hAnsi="宋体"/>
        <w:sz w:val="24"/>
        <w:szCs w:val="24"/>
      </w:rPr>
      <w:instrText xml:space="preserve"> PAGE  \* Arabic </w:instrText>
    </w:r>
    <w:r>
      <w:rPr>
        <w:rFonts w:ascii="宋体" w:hAnsi="宋体"/>
        <w:sz w:val="24"/>
        <w:szCs w:val="24"/>
      </w:rPr>
      <w:fldChar w:fldCharType="separate"/>
    </w:r>
    <w:r>
      <w:rPr>
        <w:rStyle w:val="5"/>
        <w:rFonts w:ascii="宋体" w:hAnsi="宋体"/>
        <w:sz w:val="24"/>
        <w:szCs w:val="24"/>
      </w:rPr>
      <w:t>4</w:t>
    </w:r>
    <w:r>
      <w:rPr>
        <w:rFonts w:ascii="宋体" w:hAnsi="宋体"/>
        <w:sz w:val="24"/>
        <w:szCs w:val="24"/>
      </w:rPr>
      <w:fldChar w:fldCharType="end"/>
    </w:r>
    <w:r>
      <w:rPr>
        <w:rStyle w:val="5"/>
        <w:rFonts w:hint="eastAsia" w:ascii="宋体" w:hAnsi="宋体"/>
        <w:sz w:val="24"/>
        <w:szCs w:val="24"/>
      </w:rPr>
      <w:t xml:space="preserve"> －</w:t>
    </w:r>
  </w:p>
  <w:p>
    <w:pPr>
      <w:pStyle w:val="2"/>
      <w:tabs>
        <w:tab w:val="clear" w:pos="8306"/>
      </w:tabs>
      <w:ind w:left="420" w:leftChars="200" w:right="420" w:rightChars="2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7104A"/>
    <w:rsid w:val="77F7104A"/>
    <w:rsid w:val="7B436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6">
    <w:name w:val="秘密等级★保密期限"/>
    <w:basedOn w:val="1"/>
    <w:qFormat/>
    <w:uiPriority w:val="0"/>
    <w:pPr>
      <w:jc w:val="right"/>
    </w:pPr>
    <w:rPr>
      <w:rFonts w:eastAsia="黑体"/>
      <w:sz w:val="32"/>
      <w:szCs w:val="20"/>
    </w:rPr>
  </w:style>
  <w:style w:type="paragraph" w:customStyle="1" w:styleId="7">
    <w:name w:val="发文机关标识"/>
    <w:basedOn w:val="1"/>
    <w:qFormat/>
    <w:uiPriority w:val="0"/>
    <w:pPr>
      <w:jc w:val="center"/>
    </w:pPr>
    <w:rPr>
      <w:rFonts w:eastAsia="仿宋_GB2312"/>
      <w:b/>
      <w:color w:val="FF0000"/>
      <w:sz w:val="72"/>
      <w:szCs w:val="20"/>
    </w:rPr>
  </w:style>
  <w:style w:type="paragraph" w:customStyle="1" w:styleId="8">
    <w:name w:val="发文字号"/>
    <w:basedOn w:val="1"/>
    <w:qFormat/>
    <w:uiPriority w:val="0"/>
    <w:pPr>
      <w:jc w:val="center"/>
    </w:pPr>
    <w:rPr>
      <w:rFonts w:eastAsia="仿宋_GB2312"/>
      <w:sz w:val="32"/>
      <w:szCs w:val="20"/>
    </w:rPr>
  </w:style>
  <w:style w:type="paragraph" w:customStyle="1" w:styleId="9">
    <w:name w:val="公文标题"/>
    <w:basedOn w:val="1"/>
    <w:qFormat/>
    <w:uiPriority w:val="0"/>
    <w:pPr>
      <w:jc w:val="center"/>
    </w:pPr>
    <w:rPr>
      <w:rFonts w:eastAsia="仿宋_GB2312"/>
      <w:sz w:val="44"/>
      <w:szCs w:val="20"/>
    </w:rPr>
  </w:style>
  <w:style w:type="paragraph" w:customStyle="1" w:styleId="10">
    <w:name w:val="抄送机关"/>
    <w:basedOn w:val="1"/>
    <w:qFormat/>
    <w:uiPriority w:val="0"/>
  </w:style>
  <w:style w:type="paragraph" w:customStyle="1" w:styleId="11">
    <w:name w:val="成文日期"/>
    <w:basedOn w:val="1"/>
    <w:qFormat/>
    <w:uiPriority w:val="0"/>
    <w:pPr>
      <w:spacing w:line="360" w:lineRule="auto"/>
      <w:jc w:val="righ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2021-04-13T07:01:00Z</dcterms:created>
  <dc:creator>范燕</dc:creator>
  <cp:lastModifiedBy>范燕</cp:lastModifiedBy>
  <dcterms:modified xsi:type="dcterms:W3CDTF">2021-04-13T07:07:00Z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