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 w:cs="Times New Roman"/>
          <w:color w:val="000000"/>
          <w:kern w:val="0"/>
          <w:sz w:val="32"/>
          <w:szCs w:val="32"/>
        </w:rPr>
        <w:t>附件</w:t>
      </w:r>
    </w:p>
    <w:p>
      <w:pPr>
        <w:adjustRightInd w:val="0"/>
        <w:spacing w:line="590" w:lineRule="exac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</w:p>
    <w:p>
      <w:pPr>
        <w:adjustRightInd w:val="0"/>
        <w:spacing w:line="590" w:lineRule="exact"/>
        <w:jc w:val="center"/>
        <w:rPr>
          <w:rFonts w:ascii="Times New Roman" w:hAnsi="Times New Roman" w:eastAsia="方正小标宋_GBK" w:cs="Times New Roman"/>
          <w:kern w:val="0"/>
          <w:sz w:val="44"/>
          <w:szCs w:val="44"/>
        </w:rPr>
      </w:pPr>
      <w:r>
        <w:rPr>
          <w:rFonts w:ascii="Times New Roman" w:hAnsi="Times New Roman" w:eastAsia="方正小标宋_GBK" w:cs="Times New Roman"/>
          <w:kern w:val="0"/>
          <w:sz w:val="44"/>
          <w:szCs w:val="44"/>
        </w:rPr>
        <w:t>现场考察工作方案</w:t>
      </w:r>
    </w:p>
    <w:p>
      <w:pPr>
        <w:spacing w:line="590" w:lineRule="exact"/>
        <w:ind w:firstLine="63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570" w:lineRule="exact"/>
        <w:ind w:firstLine="63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按照202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年常州市创新创业大赛工作方案，对晋级决赛的团队和企业开展现场考察，为决赛提供参赛依据。各有关单位和个人应严格按照本方案开展现场考察工作。具体安排如下：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一、时间安排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年7月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日（星期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五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）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二、考察对象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晋级决赛的众创团队组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（以下简称“团队组”）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团队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、初创型科技型中小微企业组（以下简称“初创企业组”）、成长型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科技型中小微企业组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（以下简称“成长企业组”）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及20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20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年销售收入2亿元以下的十百千创新型企业组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（以下简称“十百千组”）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企业。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有效期内的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国家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高新技术企业免于本次现场考察。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三、考察形式</w:t>
      </w:r>
    </w:p>
    <w:p>
      <w:pPr>
        <w:adjustRightInd w:val="0"/>
        <w:spacing w:line="570" w:lineRule="exact"/>
        <w:ind w:firstLine="630" w:firstLineChars="196"/>
        <w:rPr>
          <w:rFonts w:ascii="Times New Roman" w:hAnsi="Times New Roman" w:eastAsia="楷体_GB2312" w:cs="Times New Roman"/>
          <w:b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（一）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</w:rPr>
        <w:t>团队组和初创企业组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团队组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和初创企业组项目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考察采用定点、定时、当面汇报的方式进行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主要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包含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项目汇报、专家提问等环节。参赛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项目汇报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（须为团队核心成员或项目负责人）提前准备好必要资料，按规定时间提前30分钟到指定会场（具体时间和会场安排详见附件1）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接受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专家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考察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。每个团队项目考察总时长不超过15分钟。</w:t>
      </w:r>
    </w:p>
    <w:p>
      <w:pPr>
        <w:adjustRightInd w:val="0"/>
        <w:spacing w:line="570" w:lineRule="exact"/>
        <w:ind w:firstLine="643" w:firstLineChars="200"/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楷体_GB2312" w:cs="Times New Roman"/>
          <w:b/>
          <w:bCs/>
          <w:kern w:val="0"/>
          <w:sz w:val="32"/>
          <w:szCs w:val="32"/>
        </w:rPr>
        <w:t>（二）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</w:rPr>
        <w:t>成长企业组和十百千组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成长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企业组和十百千组考察采取企业实地走访、参赛项目情况现场核实的方式进行。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企业安排项目负责人、财务主管或技术主管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在约定时间和地点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在经营现场对参赛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项目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作简要汇报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，专家通过问询、核实申报资料、参观企业现场等方式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开展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评估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。汇报时间限5分钟内，每家企业现场考察时间不超过20分钟。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四、考察内容</w:t>
      </w:r>
      <w:r>
        <w:rPr>
          <w:rFonts w:hint="eastAsia" w:ascii="Times New Roman" w:hAnsi="Times New Roman" w:eastAsia="黑体" w:cs="Times New Roman"/>
          <w:bCs/>
          <w:kern w:val="0"/>
          <w:sz w:val="32"/>
          <w:szCs w:val="32"/>
        </w:rPr>
        <w:t>与附件要求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现场考察工作的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目的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是核实团队与企业申报材料的真实性和项目可行性，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具体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考察内容如下：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（1）团队组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和初创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企业组考察内容包括：主要技术、产品及服务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产品市场分析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市场竞争分析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商业模式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业务拓展计划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经营风险与对策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核心团队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财务预测及法律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知识产权纠纷等情况。团队负责人现场签订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《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众创团队组承诺书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》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（附件2）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。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（2）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成长企业组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和十百千组考察内容包括：主要技术、产品及服务，主要客户真实性，产品市场分析，市场竞争分析，商业模式，业务拓展计划，经营风险与对策，企业管理模式，企业管理团队，财务报表，融资经历及法律、知识产权纠纷等情况。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提高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考察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效率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，方便专家审核，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团队和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企业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请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提前做好现场考察附件资料的准备。具体材料如下：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（1）参赛项目商业计划书等重要材料；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（2）各类有效自主知识产权证书；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（3）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重要的资质和荣誉证明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如行业许可证、获奖证书等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）；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（4）企业股东信息证明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（网上企业工商信息相应截图）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；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（5）年检有效的营业执照；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（6）201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年-20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20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年企业财务报表（与参赛附件一致）。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4．如发现现场考察企业（团队）实际情况与申报材料严重不符，或者企业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最近一年内发生重大安全、重大质量事故或严重环境违法行为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的，一票否决，直接取消晋级资格。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5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．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经现场考察的项目，专家组在对应的现场考察表上出具意见，并签字确认。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五、专家构成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现场考察专家小组由1名技术专家和1名创投专家组成。专家应具备足够的专业能力和经验，由技术专家担任组长。</w:t>
      </w:r>
    </w:p>
    <w:p>
      <w:pPr>
        <w:adjustRightInd w:val="0"/>
        <w:spacing w:line="570" w:lineRule="exact"/>
        <w:ind w:firstLine="615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2．参与现场考察的技术专家和创投专家从市科技专家库中抽取。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黑体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bCs/>
          <w:kern w:val="0"/>
          <w:sz w:val="32"/>
          <w:szCs w:val="32"/>
        </w:rPr>
        <w:t>六、工作要求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1.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专家必须严格执行现场考察流程和标准，遵守各项承诺，坚持公平、公正的原则，</w:t>
      </w: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与调查项目单位或个人有利益关系的，须遵循回避原则。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在现场考察工作中不以自身的利益和偏好作为评判依据。</w:t>
      </w:r>
    </w:p>
    <w:p>
      <w:pPr>
        <w:adjustRightInd w:val="0"/>
        <w:spacing w:line="570" w:lineRule="exact"/>
        <w:ind w:firstLine="627" w:firstLineChars="196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．专家不得以任何形式和名义向企业（团队）收取任何形式的费用或接受企业（团队）任何形式的宴请、礼品、财务、服务等；在现场考察过程中不向现场考察对象透露个人信息；如果出现此类问题，一经查实，组委会办公室将取消其现场考察资格并做进一步严肃处理。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根据新冠疫情防控需要，请各参会代表做好防疫措施，主动出示健康码、测量体温，企业现场的相关人员戴好口罩。</w:t>
      </w:r>
    </w:p>
    <w:p>
      <w:pPr>
        <w:adjustRightInd w:val="0"/>
        <w:spacing w:line="57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spacing w:line="570" w:lineRule="exact"/>
        <w:ind w:firstLine="63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附件：1．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团队组及初创企业组现场考察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安排表</w:t>
      </w:r>
    </w:p>
    <w:p>
      <w:pPr>
        <w:spacing w:line="570" w:lineRule="exact"/>
        <w:ind w:firstLine="1600" w:firstLineChars="5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2．众创团队组承诺书</w:t>
      </w:r>
    </w:p>
    <w:p>
      <w:pPr>
        <w:spacing w:line="570" w:lineRule="exact"/>
        <w:ind w:firstLine="630"/>
        <w:rPr>
          <w:rFonts w:ascii="Times New Roman" w:hAnsi="Times New Roman" w:eastAsia="仿宋_GB2312" w:cs="Times New Roman"/>
          <w:kern w:val="32"/>
          <w:sz w:val="32"/>
          <w:szCs w:val="32"/>
        </w:rPr>
      </w:pPr>
    </w:p>
    <w:p>
      <w:pPr>
        <w:spacing w:line="460" w:lineRule="exact"/>
        <w:rPr>
          <w:rFonts w:ascii="Times New Roman" w:hAnsi="Times New Roman" w:eastAsia="仿宋_GB2312" w:cs="Times New Roman"/>
          <w:kern w:val="0"/>
          <w:sz w:val="32"/>
          <w:szCs w:val="32"/>
        </w:rPr>
        <w:sectPr>
          <w:footerReference r:id="rId3" w:type="default"/>
          <w:pgSz w:w="11906" w:h="16838"/>
          <w:pgMar w:top="2098" w:right="1531" w:bottom="1985" w:left="1531" w:header="737" w:footer="1361" w:gutter="0"/>
          <w:cols w:space="425" w:num="1"/>
          <w:docGrid w:type="lines" w:linePitch="312" w:charSpace="0"/>
        </w:sectPr>
      </w:pPr>
    </w:p>
    <w:p>
      <w:pPr>
        <w:spacing w:line="460" w:lineRule="exac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附件1</w:t>
      </w:r>
    </w:p>
    <w:p>
      <w:pPr>
        <w:spacing w:line="460" w:lineRule="exact"/>
        <w:rPr>
          <w:rFonts w:ascii="Times New Roman" w:hAnsi="Times New Roman" w:eastAsia="仿宋_GB2312" w:cs="Times New Roman"/>
          <w:kern w:val="0"/>
          <w:sz w:val="32"/>
          <w:szCs w:val="28"/>
        </w:rPr>
      </w:pPr>
    </w:p>
    <w:p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32"/>
        </w:rPr>
      </w:pP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32"/>
        </w:rPr>
        <w:t>团队组</w:t>
      </w:r>
      <w:r>
        <w:rPr>
          <w:rFonts w:hint="eastAsia" w:ascii="Times New Roman" w:hAnsi="Times New Roman" w:eastAsia="方正小标宋简体" w:cs="Times New Roman"/>
          <w:snapToGrid w:val="0"/>
          <w:kern w:val="0"/>
          <w:sz w:val="44"/>
          <w:szCs w:val="32"/>
        </w:rPr>
        <w:t>及初创企业组</w:t>
      </w: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32"/>
        </w:rPr>
        <w:t>现场</w:t>
      </w:r>
      <w:r>
        <w:rPr>
          <w:rFonts w:hint="eastAsia" w:ascii="Times New Roman" w:hAnsi="Times New Roman" w:eastAsia="方正小标宋简体" w:cs="Times New Roman"/>
          <w:snapToGrid w:val="0"/>
          <w:kern w:val="0"/>
          <w:sz w:val="44"/>
          <w:szCs w:val="32"/>
        </w:rPr>
        <w:t>考察</w:t>
      </w: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32"/>
        </w:rPr>
        <w:t>安排表</w:t>
      </w:r>
    </w:p>
    <w:p>
      <w:pPr>
        <w:widowControl/>
        <w:spacing w:line="560" w:lineRule="exact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32"/>
        </w:rPr>
      </w:pPr>
    </w:p>
    <w:p>
      <w:pPr>
        <w:widowControl/>
        <w:spacing w:line="560" w:lineRule="exact"/>
        <w:jc w:val="center"/>
        <w:rPr>
          <w:rFonts w:ascii="黑体" w:hAnsi="黑体" w:eastAsia="黑体" w:cs="Times New Roman"/>
          <w:snapToGrid w:val="0"/>
          <w:kern w:val="0"/>
          <w:sz w:val="32"/>
          <w:szCs w:val="32"/>
        </w:rPr>
      </w:pPr>
      <w:r>
        <w:rPr>
          <w:rFonts w:ascii="黑体" w:hAnsi="黑体" w:eastAsia="黑体" w:cs="Times New Roman"/>
          <w:snapToGrid w:val="0"/>
          <w:kern w:val="0"/>
          <w:sz w:val="32"/>
          <w:szCs w:val="32"/>
        </w:rPr>
        <w:t>1号会场</w:t>
      </w:r>
    </w:p>
    <w:p>
      <w:pPr>
        <w:widowControl/>
        <w:spacing w:line="560" w:lineRule="exact"/>
        <w:ind w:right="-86" w:rightChars="-41"/>
        <w:rPr>
          <w:rFonts w:ascii="Times New Roman" w:hAnsi="Times New Roman" w:eastAsia="楷体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楷体" w:cs="Times New Roman"/>
          <w:snapToGrid w:val="0"/>
          <w:kern w:val="0"/>
          <w:sz w:val="32"/>
          <w:szCs w:val="32"/>
        </w:rPr>
        <w:t>都喜天丽富都中航酒店（钟楼区星港路8号）三楼</w:t>
      </w:r>
      <w:r>
        <w:rPr>
          <w:rFonts w:hint="eastAsia" w:ascii="Times New Roman" w:hAnsi="Times New Roman" w:eastAsia="楷体" w:cs="Times New Roman"/>
          <w:snapToGrid w:val="0"/>
          <w:kern w:val="0"/>
          <w:sz w:val="32"/>
          <w:szCs w:val="32"/>
        </w:rPr>
        <w:t xml:space="preserve"> </w:t>
      </w:r>
      <w:r>
        <w:rPr>
          <w:rFonts w:ascii="Times New Roman" w:hAnsi="Times New Roman" w:eastAsia="楷体" w:cs="Times New Roman"/>
          <w:b/>
          <w:snapToGrid w:val="0"/>
          <w:kern w:val="0"/>
          <w:sz w:val="32"/>
          <w:szCs w:val="32"/>
        </w:rPr>
        <w:t>竺山湖厅</w:t>
      </w:r>
    </w:p>
    <w:tbl>
      <w:tblPr>
        <w:tblStyle w:val="4"/>
        <w:tblW w:w="918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2705"/>
        <w:gridCol w:w="2907"/>
        <w:gridCol w:w="1608"/>
        <w:gridCol w:w="127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团队（企业）名称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行业领域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汇报时间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连理新材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壁载化光催化微反应器废水处理的连续工艺研发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节能环保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8:45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2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 ROBOT</w:t>
            </w:r>
            <w:r>
              <w:rPr>
                <w:rFonts w:ascii="Times New Roman" w:hAnsi="Arial" w:cs="Times New Roman"/>
                <w:sz w:val="20"/>
                <w:szCs w:val="20"/>
              </w:rPr>
              <w:t>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基于柔性夹爪的软体机器人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3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朱宇光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智慧交通系统应用的车载毫米波探测与通信一体化传感器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4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集成电路异形自动插件机器人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集成电路异形元件自动插件机器人及产业化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5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中德易测高性能智能涂料技术团队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纳米水性自修复智能汽车涂料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新材料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6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基于碳汇交易与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CCER</w:t>
            </w:r>
            <w:r>
              <w:rPr>
                <w:rFonts w:ascii="Times New Roman" w:hAnsi="Arial" w:cs="Times New Roman"/>
                <w:sz w:val="20"/>
                <w:szCs w:val="20"/>
              </w:rPr>
              <w:t>管理的碳金融平台团队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基于碳汇交易与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CCER</w:t>
            </w:r>
            <w:r>
              <w:rPr>
                <w:rFonts w:ascii="Times New Roman" w:hAnsi="Arial" w:cs="Times New Roman"/>
                <w:sz w:val="20"/>
                <w:szCs w:val="20"/>
              </w:rPr>
              <w:t>管理的碳金融平台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7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工业视觉博士团队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基于泛态视觉认知的超维工业眼系统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8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宜链物联网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宜链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RFID</w:t>
            </w:r>
            <w:r>
              <w:rPr>
                <w:rFonts w:ascii="Times New Roman" w:hAnsi="Arial" w:cs="Times New Roman"/>
                <w:sz w:val="20"/>
                <w:szCs w:val="20"/>
              </w:rPr>
              <w:t>冷链标签芯片系统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9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清澄团队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脱硫废水处理成套装备研发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节能环保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10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高端发动机超精密喷孔智造装备技术研发及产业化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高端发动机超精密喷孔智造装备技术研发及产业化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tcBorders>
              <w:bottom w:val="single" w:color="auto" w:sz="6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11:00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11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奇讯安防团队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基于物联网技术的配电柜智慧消防系统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11:15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12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心磁图仪创新团队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心磁图仪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生物医药</w:t>
            </w:r>
          </w:p>
        </w:tc>
        <w:tc>
          <w:tcPr>
            <w:tcW w:w="127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13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商用车及工程机械智能检修联网解决方案团队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商用车及工程机械智能检修联网解决方案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14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基于眼动追踪的智能人机交互系统团队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基于眼动追踪的智能人机交互系统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15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二销管家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Arial" w:cs="Times New Roman"/>
                <w:sz w:val="20"/>
                <w:szCs w:val="20"/>
              </w:rPr>
              <w:t>自在文旅科技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二销管家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Arial" w:cs="Times New Roman"/>
                <w:sz w:val="20"/>
                <w:szCs w:val="20"/>
              </w:rPr>
              <w:t>自在文旅科技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2"/>
                <w:szCs w:val="24"/>
              </w:rPr>
              <w:t>16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乾卯雪龙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基于先进复合材料的高端体育运动装备的开发与生产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新材料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17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比特动力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AI</w:t>
            </w:r>
            <w:r>
              <w:rPr>
                <w:rFonts w:ascii="Times New Roman" w:hAnsi="Arial" w:cs="Times New Roman"/>
                <w:sz w:val="20"/>
                <w:szCs w:val="20"/>
              </w:rPr>
              <w:t>的科学运动及智能训练解决方案提供商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光影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光影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——</w:t>
            </w:r>
            <w:r>
              <w:rPr>
                <w:rFonts w:ascii="Times New Roman" w:hAnsi="Arial" w:cs="Times New Roman"/>
                <w:sz w:val="20"/>
                <w:szCs w:val="20"/>
              </w:rPr>
              <w:t>智慧灯光专家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19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栋梁之能文化科技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栋梁之能新型数字化线上教育平台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宣怀机器人团队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协作型工业机器人技术开发与应用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基于机器视觉的智慧工地安全检测系统河海研究团队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基于机器视觉的智慧工地安全检测系统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22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大载重双旋翼无人机系统开发团队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大载重双旋翼无人机系统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1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23</w:t>
            </w:r>
          </w:p>
        </w:tc>
        <w:tc>
          <w:tcPr>
            <w:tcW w:w="270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多传感器融合终端算法</w:t>
            </w:r>
          </w:p>
        </w:tc>
        <w:tc>
          <w:tcPr>
            <w:tcW w:w="2907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多传感器融合算法终端</w:t>
            </w:r>
          </w:p>
        </w:tc>
        <w:tc>
          <w:tcPr>
            <w:tcW w:w="1608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15:45</w:t>
            </w:r>
          </w:p>
        </w:tc>
      </w:tr>
    </w:tbl>
    <w:p>
      <w:pPr>
        <w:widowControl/>
        <w:spacing w:line="560" w:lineRule="exact"/>
        <w:rPr>
          <w:rFonts w:ascii="Times New Roman" w:hAnsi="Times New Roman" w:eastAsia="楷体" w:cs="Times New Roman"/>
          <w:snapToGrid w:val="0"/>
          <w:kern w:val="0"/>
          <w:sz w:val="32"/>
          <w:szCs w:val="32"/>
        </w:rPr>
      </w:pPr>
    </w:p>
    <w:p>
      <w:pPr>
        <w:widowControl/>
        <w:jc w:val="left"/>
        <w:rPr>
          <w:rFonts w:ascii="Times New Roman" w:hAnsi="Times New Roman" w:eastAsia="楷体" w:cs="Times New Roman"/>
          <w:snapToGrid w:val="0"/>
          <w:kern w:val="0"/>
          <w:sz w:val="32"/>
          <w:szCs w:val="32"/>
        </w:rPr>
      </w:pPr>
      <w:r>
        <w:rPr>
          <w:rFonts w:ascii="Times New Roman" w:hAnsi="Times New Roman" w:eastAsia="楷体" w:cs="Times New Roman"/>
          <w:snapToGrid w:val="0"/>
          <w:kern w:val="0"/>
          <w:sz w:val="32"/>
          <w:szCs w:val="32"/>
        </w:rPr>
        <w:br w:type="page"/>
      </w:r>
    </w:p>
    <w:p>
      <w:pPr>
        <w:widowControl/>
        <w:spacing w:line="560" w:lineRule="exact"/>
        <w:jc w:val="center"/>
        <w:rPr>
          <w:rFonts w:ascii="黑体" w:hAnsi="黑体" w:eastAsia="黑体" w:cs="Times New Roman"/>
          <w:snapToGrid w:val="0"/>
          <w:kern w:val="0"/>
          <w:sz w:val="32"/>
          <w:szCs w:val="32"/>
        </w:rPr>
      </w:pPr>
      <w:r>
        <w:rPr>
          <w:rFonts w:ascii="黑体" w:hAnsi="黑体" w:eastAsia="黑体" w:cs="Times New Roman"/>
          <w:snapToGrid w:val="0"/>
          <w:kern w:val="0"/>
          <w:sz w:val="32"/>
          <w:szCs w:val="32"/>
        </w:rPr>
        <w:t>2号会场</w:t>
      </w:r>
    </w:p>
    <w:p>
      <w:pPr>
        <w:widowControl/>
        <w:spacing w:line="560" w:lineRule="exact"/>
        <w:rPr>
          <w:rFonts w:ascii="Times New Roman" w:hAnsi="Times New Roman" w:cs="Times New Roman"/>
        </w:rPr>
      </w:pPr>
      <w:r>
        <w:rPr>
          <w:rFonts w:hint="eastAsia" w:ascii="Times New Roman" w:hAnsi="Times New Roman" w:eastAsia="楷体" w:cs="Times New Roman"/>
          <w:snapToGrid w:val="0"/>
          <w:kern w:val="0"/>
          <w:sz w:val="32"/>
          <w:szCs w:val="32"/>
        </w:rPr>
        <w:t>都喜天丽富都中航酒店（钟楼区星港路8号）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楼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楷体" w:cs="Times New Roman"/>
          <w:b/>
          <w:snapToGrid w:val="0"/>
          <w:kern w:val="0"/>
          <w:sz w:val="32"/>
          <w:szCs w:val="32"/>
        </w:rPr>
        <w:t>青枫湖</w:t>
      </w:r>
      <w:r>
        <w:rPr>
          <w:rFonts w:ascii="Times New Roman" w:hAnsi="Times New Roman" w:eastAsia="楷体" w:cs="Times New Roman"/>
          <w:b/>
          <w:snapToGrid w:val="0"/>
          <w:kern w:val="0"/>
          <w:sz w:val="32"/>
          <w:szCs w:val="32"/>
        </w:rPr>
        <w:t>厅</w:t>
      </w:r>
    </w:p>
    <w:tbl>
      <w:tblPr>
        <w:tblStyle w:val="4"/>
        <w:tblW w:w="918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2745"/>
        <w:gridCol w:w="2889"/>
        <w:gridCol w:w="1583"/>
        <w:gridCol w:w="127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widowControl/>
              <w:ind w:left="-57" w:right="-57"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团队（企业）名称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行业领域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4"/>
                <w:szCs w:val="24"/>
              </w:rPr>
              <w:t>汇报时间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1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本善智能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智能服务机器人及其操作系统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8:45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2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TopSense</w:t>
            </w:r>
            <w:r>
              <w:rPr>
                <w:rFonts w:ascii="Times New Roman" w:hAnsi="Arial" w:cs="Times New Roman"/>
                <w:sz w:val="20"/>
                <w:szCs w:val="20"/>
              </w:rPr>
              <w:t>无人机创客教育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TopSense</w:t>
            </w:r>
            <w:r>
              <w:rPr>
                <w:rFonts w:ascii="Times New Roman" w:hAnsi="Arial" w:cs="Times New Roman"/>
                <w:sz w:val="20"/>
                <w:szCs w:val="20"/>
              </w:rPr>
              <w:t>无人机创客教育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3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工业能效优化平台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工业能效优化平台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4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  <w:r>
              <w:rPr>
                <w:rFonts w:ascii="Times New Roman" w:hAnsi="Arial" w:cs="Times New Roman"/>
                <w:sz w:val="20"/>
                <w:szCs w:val="20"/>
              </w:rPr>
              <w:t>云图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>
              <w:rPr>
                <w:rFonts w:ascii="Times New Roman" w:hAnsi="Arial" w:cs="Times New Roman"/>
                <w:sz w:val="20"/>
                <w:szCs w:val="20"/>
              </w:rPr>
              <w:t>智能驾驶数据分析平台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“</w:t>
            </w:r>
            <w:r>
              <w:rPr>
                <w:rFonts w:ascii="Times New Roman" w:hAnsi="Arial" w:cs="Times New Roman"/>
                <w:sz w:val="20"/>
                <w:szCs w:val="20"/>
              </w:rPr>
              <w:t>云图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  <w:r>
              <w:rPr>
                <w:rFonts w:ascii="Times New Roman" w:hAnsi="Arial" w:cs="Times New Roman"/>
                <w:sz w:val="20"/>
                <w:szCs w:val="20"/>
              </w:rPr>
              <w:t>智能驾驶大数据分析平台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新能源汽车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5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德心智能科技团队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室内活体检测项目（毫米波雷达）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9:45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6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蚂蚁机器人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串联弹性欠驱动机器人手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</w:rPr>
              <w:t>7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寰宇科技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一款车辆引擎效率提升装置设计及应用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节能环保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8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常州蓝艺珐琅金属工艺科技有限公司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景泰蓝生产工艺节能循环制造技术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节能环保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江苏上美医疗科技有限公司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国产高端超细四向一次性输尿管内窥镜的研发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生物医药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10:45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江苏东微感知技术有限公司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建筑桥梁隧道智慧监测核心硬件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11:00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波塞冬（江苏）新材料科技有限公司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恒亲水、耐污染高端滤膜开发与产业化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新材料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11:15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12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久瓴（江苏）数字智能科技有限公司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面向数字建筑与数字城市场景应用的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3D</w:t>
            </w:r>
            <w:r>
              <w:rPr>
                <w:rFonts w:ascii="Times New Roman" w:cs="Times New Roman" w:hAnsiTheme="minorEastAsia"/>
                <w:sz w:val="20"/>
                <w:szCs w:val="20"/>
              </w:rPr>
              <w:t>轻量化引擎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13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常州华芯盛软件科技有限公司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芯片数据管理和设计协同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EDA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智一新能源发展有限公司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分布式免增容新能源储能微网系统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新能源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格瑞海思人居环境科技（江苏）有限公司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平疫结合双冷源全变频恒温恒湿信封空气处理技术及应用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节能环保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13:45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常州常荣传感技术有限公司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BMS</w:t>
            </w:r>
            <w:r>
              <w:rPr>
                <w:rFonts w:ascii="Times New Roman" w:cs="Times New Roman" w:hAnsiTheme="minorEastAsia"/>
                <w:sz w:val="20"/>
                <w:szCs w:val="20"/>
              </w:rPr>
              <w:t>高精度智能电流传感器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新能源汽车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太丛信息科技（常州）有限公司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双能锥形束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生物医药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18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法玛门多（常州）生物科技有限公司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基于多组学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cs="Times New Roman" w:hAnsiTheme="minorEastAsia"/>
                <w:sz w:val="20"/>
                <w:szCs w:val="20"/>
              </w:rPr>
              <w:t>生物信息技术的新一代罕见病诊断技术的研发及产业化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生物医药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19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常州创氢能源科技有限公司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基于高温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PEMFC</w:t>
            </w:r>
            <w:r>
              <w:rPr>
                <w:rFonts w:ascii="Times New Roman" w:cs="Times New Roman" w:hAnsiTheme="minorEastAsia"/>
                <w:sz w:val="20"/>
                <w:szCs w:val="20"/>
              </w:rPr>
              <w:t>技术的高温甲醇重整燃料电池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新能源汽车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14:45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智寰科技（常州）有限公司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设备预测性维护解决方案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新一代信息技术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合烯电子科技（江苏）有限公司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高导热低介电界面材料研发设计及应用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新材料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15:15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江苏邦邦智能科技有限公司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邦邦智能辅助移动机器人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—</w:t>
            </w:r>
            <w:r>
              <w:rPr>
                <w:rFonts w:ascii="Times New Roman" w:cs="Times New Roman" w:hAnsiTheme="minorEastAsia"/>
                <w:sz w:val="20"/>
                <w:szCs w:val="20"/>
              </w:rPr>
              <w:t>训练之星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高端装备制造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69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</w:t>
            </w:r>
          </w:p>
        </w:tc>
        <w:tc>
          <w:tcPr>
            <w:tcW w:w="2745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常州硅源新能材料有限公司</w:t>
            </w:r>
          </w:p>
        </w:tc>
        <w:tc>
          <w:tcPr>
            <w:tcW w:w="2889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硅基负极宏量制备技术产业化</w:t>
            </w:r>
          </w:p>
        </w:tc>
        <w:tc>
          <w:tcPr>
            <w:tcW w:w="1583" w:type="dxa"/>
            <w:shd w:val="clear" w:color="auto" w:fill="auto"/>
            <w:noWrap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cs="Times New Roman" w:hAnsiTheme="minorEastAsia"/>
                <w:sz w:val="20"/>
                <w:szCs w:val="20"/>
              </w:rPr>
              <w:t>新材料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</w:t>
            </w:r>
            <w:r>
              <w:rPr>
                <w:rFonts w:ascii="Times New Roman" w:cs="Times New Roman"/>
                <w:color w:val="000000"/>
                <w:sz w:val="22"/>
              </w:rPr>
              <w:t>月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9</w:t>
            </w:r>
            <w:r>
              <w:rPr>
                <w:rFonts w:ascii="Times New Roman" w:cs="Times New Roman"/>
                <w:color w:val="000000"/>
                <w:sz w:val="22"/>
              </w:rPr>
              <w:t>日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15:45</w:t>
            </w:r>
          </w:p>
        </w:tc>
      </w:tr>
    </w:tbl>
    <w:p>
      <w:pPr>
        <w:widowControl/>
        <w:spacing w:line="560" w:lineRule="exact"/>
        <w:rPr>
          <w:rFonts w:ascii="Times New Roman" w:hAnsi="Times New Roman" w:eastAsia="楷体_GB2312" w:cs="Times New Roman"/>
          <w:snapToGrid w:val="0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snapToGrid w:val="0"/>
          <w:kern w:val="0"/>
          <w:sz w:val="28"/>
          <w:szCs w:val="28"/>
        </w:rPr>
        <w:t>注：地铁2号线，海棠路站1号出口直达酒店；</w:t>
      </w:r>
    </w:p>
    <w:p>
      <w:pPr>
        <w:widowControl/>
        <w:spacing w:line="560" w:lineRule="exact"/>
        <w:rPr>
          <w:rFonts w:ascii="Times New Roman" w:hAnsi="Times New Roman" w:eastAsia="楷体_GB2312" w:cs="Times New Roman"/>
          <w:snapToGrid w:val="0"/>
          <w:kern w:val="0"/>
          <w:sz w:val="28"/>
          <w:szCs w:val="28"/>
        </w:rPr>
      </w:pPr>
      <w:r>
        <w:rPr>
          <w:rFonts w:ascii="Times New Roman" w:hAnsi="Times New Roman" w:eastAsia="楷体_GB2312" w:cs="Times New Roman"/>
          <w:snapToGrid w:val="0"/>
          <w:kern w:val="0"/>
          <w:sz w:val="28"/>
          <w:szCs w:val="28"/>
        </w:rPr>
        <w:t>B23</w:t>
      </w:r>
      <w:r>
        <w:rPr>
          <w:rFonts w:hint="eastAsia" w:ascii="Times New Roman" w:hAnsi="Times New Roman" w:eastAsia="楷体_GB2312" w:cs="Times New Roman"/>
          <w:snapToGrid w:val="0"/>
          <w:kern w:val="0"/>
          <w:sz w:val="28"/>
          <w:szCs w:val="28"/>
        </w:rPr>
        <w:t>、</w:t>
      </w:r>
      <w:r>
        <w:rPr>
          <w:rFonts w:ascii="Times New Roman" w:hAnsi="Times New Roman" w:eastAsia="楷体_GB2312" w:cs="Times New Roman"/>
          <w:snapToGrid w:val="0"/>
          <w:kern w:val="0"/>
          <w:sz w:val="28"/>
          <w:szCs w:val="28"/>
        </w:rPr>
        <w:t>52路公交车于海棠路站下，步行约150米可达。</w:t>
      </w:r>
    </w:p>
    <w:p>
      <w:pPr>
        <w:widowControl/>
        <w:spacing w:line="560" w:lineRule="exact"/>
        <w:rPr>
          <w:rFonts w:ascii="Times New Roman" w:hAnsi="Times New Roman" w:eastAsia="楷体_GB2312" w:cs="Times New Roman"/>
          <w:snapToGrid w:val="0"/>
          <w:kern w:val="0"/>
          <w:sz w:val="28"/>
          <w:szCs w:val="28"/>
        </w:rPr>
      </w:pPr>
    </w:p>
    <w:p>
      <w:pPr>
        <w:widowControl/>
        <w:spacing w:line="560" w:lineRule="exact"/>
        <w:rPr>
          <w:rFonts w:ascii="Times New Roman" w:hAnsi="Times New Roman" w:eastAsia="楷体_GB2312" w:cs="Times New Roman"/>
          <w:snapToGrid w:val="0"/>
          <w:kern w:val="0"/>
          <w:sz w:val="28"/>
          <w:szCs w:val="28"/>
        </w:rPr>
        <w:sectPr>
          <w:pgSz w:w="11906" w:h="16838"/>
          <w:pgMar w:top="2098" w:right="1531" w:bottom="1985" w:left="1531" w:header="737" w:footer="1361" w:gutter="0"/>
          <w:cols w:space="425" w:num="1"/>
          <w:docGrid w:type="lines" w:linePitch="312" w:charSpace="0"/>
        </w:sectPr>
      </w:pPr>
    </w:p>
    <w:p>
      <w:pPr>
        <w:widowControl/>
        <w:jc w:val="left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附件2</w:t>
      </w:r>
    </w:p>
    <w:p>
      <w:pPr>
        <w:widowControl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570" w:lineRule="exact"/>
        <w:jc w:val="center"/>
        <w:rPr>
          <w:rFonts w:ascii="Times New Roman" w:hAnsi="Times New Roman" w:eastAsia="方正小标宋简体" w:cs="Times New Roman"/>
          <w:snapToGrid w:val="0"/>
          <w:kern w:val="0"/>
          <w:sz w:val="44"/>
          <w:szCs w:val="32"/>
        </w:rPr>
      </w:pPr>
      <w:r>
        <w:rPr>
          <w:rFonts w:ascii="Times New Roman" w:hAnsi="Times New Roman" w:eastAsia="方正小标宋简体" w:cs="Times New Roman"/>
          <w:snapToGrid w:val="0"/>
          <w:kern w:val="0"/>
          <w:sz w:val="44"/>
          <w:szCs w:val="32"/>
        </w:rPr>
        <w:t>众创团队组承诺书</w:t>
      </w:r>
    </w:p>
    <w:p>
      <w:pPr>
        <w:adjustRightInd w:val="0"/>
        <w:snapToGrid w:val="0"/>
        <w:spacing w:line="590" w:lineRule="exact"/>
        <w:rPr>
          <w:rFonts w:ascii="Times New Roman" w:hAnsi="Times New Roman" w:eastAsia="仿宋_GB2312" w:cs="Times New Roman"/>
          <w:kern w:val="0"/>
          <w:sz w:val="32"/>
          <w:szCs w:val="24"/>
        </w:rPr>
      </w:pPr>
    </w:p>
    <w:p>
      <w:pPr>
        <w:adjustRightInd w:val="0"/>
        <w:snapToGrid w:val="0"/>
        <w:spacing w:line="58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常州市创新创业大赛组织委员会办公室：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我</w:t>
      </w:r>
      <w:r>
        <w:rPr>
          <w:rFonts w:ascii="Times New Roman" w:hAnsi="Times New Roman" w:eastAsia="仿宋_GB2312" w:cs="Times New Roman"/>
          <w:kern w:val="0"/>
          <w:sz w:val="32"/>
          <w:szCs w:val="24"/>
          <w:u w:val="single"/>
        </w:rPr>
        <w:t xml:space="preserve">           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团队根据《关于组织202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年常州市创新创业大赛的通知》（常苏自创区办发〔202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〕1号）中对众创团队组参赛条件的要求，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承诺本团队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在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报名阶段未在常州市注册成立企业，并计划于202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年1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月3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0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日之前，在常州市境内注册成立企业。核心团队成员不少于3人，且参赛项目的产品、技术及相关专利归属本团队，无产权纠纷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90" w:lineRule="exac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ascii="Times New Roman" w:hAnsi="Times New Roman" w:eastAsia="方正仿宋_GBK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ascii="仿宋_GB2312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4320" w:firstLineChars="135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团队负责人签字：</w:t>
      </w:r>
    </w:p>
    <w:p>
      <w:pPr>
        <w:adjustRightInd w:val="0"/>
        <w:snapToGrid w:val="0"/>
        <w:spacing w:line="590" w:lineRule="exact"/>
        <w:ind w:firstLine="4320" w:firstLineChars="1350"/>
        <w:rPr>
          <w:rFonts w:ascii="仿宋_GB2312" w:hAnsi="Times New Roman" w:eastAsia="仿宋_GB2312" w:cs="Times New Roman"/>
          <w:kern w:val="0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0"/>
          <w:sz w:val="32"/>
          <w:szCs w:val="32"/>
        </w:rPr>
        <w:t>日期：    年    月    日</w:t>
      </w:r>
    </w:p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2098" w:right="1531" w:bottom="1985" w:left="1531" w:header="737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Theme="minorEastAsia" w:hAnsiTheme="minorEastAsia"/>
        <w:sz w:val="28"/>
      </w:rPr>
    </w:pPr>
    <w:r>
      <w:rPr>
        <w:rFonts w:hint="eastAsia" w:asciiTheme="minorEastAsia" w:hAnsiTheme="minorEastAsia"/>
        <w:sz w:val="28"/>
        <w:szCs w:val="28"/>
        <w:lang w:val="zh-CN"/>
      </w:rPr>
      <w:t>—</w:t>
    </w:r>
    <w:r>
      <w:rPr>
        <w:rFonts w:asciiTheme="minorEastAsia" w:hAnsiTheme="minorEastAsia"/>
        <w:sz w:val="28"/>
        <w:szCs w:val="28"/>
        <w:lang w:val="zh-CN"/>
      </w:rPr>
      <w:t xml:space="preserve"> </w:t>
    </w:r>
    <w:r>
      <w:rPr>
        <w:rFonts w:asciiTheme="minorEastAsia" w:hAnsiTheme="minorEastAsia"/>
        <w:sz w:val="28"/>
      </w:rPr>
      <w:fldChar w:fldCharType="begin"/>
    </w:r>
    <w:r>
      <w:rPr>
        <w:rFonts w:asciiTheme="minorEastAsia" w:hAnsiTheme="minorEastAsia"/>
        <w:sz w:val="28"/>
      </w:rPr>
      <w:instrText xml:space="preserve"> PAGE    \* MERGEFORMAT </w:instrText>
    </w:r>
    <w:r>
      <w:rPr>
        <w:rFonts w:asciiTheme="minorEastAsia" w:hAnsiTheme="minorEastAsia"/>
        <w:sz w:val="28"/>
      </w:rPr>
      <w:fldChar w:fldCharType="separate"/>
    </w:r>
    <w:r>
      <w:rPr>
        <w:rFonts w:asciiTheme="minorEastAsia" w:hAnsiTheme="minorEastAsia"/>
        <w:sz w:val="28"/>
        <w:szCs w:val="28"/>
        <w:lang w:val="zh-CN"/>
      </w:rPr>
      <w:t>2</w:t>
    </w:r>
    <w:r>
      <w:rPr>
        <w:rFonts w:asciiTheme="minorEastAsia" w:hAnsiTheme="minorEastAsia"/>
        <w:sz w:val="28"/>
      </w:rPr>
      <w:fldChar w:fldCharType="end"/>
    </w:r>
    <w:r>
      <w:rPr>
        <w:rFonts w:asciiTheme="minorEastAsia" w:hAnsiTheme="minorEastAsia"/>
        <w:sz w:val="28"/>
        <w:szCs w:val="28"/>
        <w:lang w:val="zh-CN"/>
      </w:rPr>
      <w:t xml:space="preserve"> </w:t>
    </w:r>
    <w:r>
      <w:rPr>
        <w:rFonts w:hint="eastAsia" w:asciiTheme="minorEastAsia" w:hAnsiTheme="minorEastAsia"/>
        <w:sz w:val="28"/>
        <w:szCs w:val="28"/>
        <w:lang w:val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261"/>
    <w:rsid w:val="0028593C"/>
    <w:rsid w:val="002B6494"/>
    <w:rsid w:val="003B5EBA"/>
    <w:rsid w:val="00432723"/>
    <w:rsid w:val="00454F29"/>
    <w:rsid w:val="0047135F"/>
    <w:rsid w:val="004F32E7"/>
    <w:rsid w:val="00537505"/>
    <w:rsid w:val="00546F61"/>
    <w:rsid w:val="005C1694"/>
    <w:rsid w:val="005D1952"/>
    <w:rsid w:val="006231AF"/>
    <w:rsid w:val="00635151"/>
    <w:rsid w:val="00635502"/>
    <w:rsid w:val="00647094"/>
    <w:rsid w:val="00654FC1"/>
    <w:rsid w:val="00740AA8"/>
    <w:rsid w:val="007B2261"/>
    <w:rsid w:val="007B3FDC"/>
    <w:rsid w:val="0083567E"/>
    <w:rsid w:val="00880ED2"/>
    <w:rsid w:val="008A1406"/>
    <w:rsid w:val="00A3490B"/>
    <w:rsid w:val="00AD511B"/>
    <w:rsid w:val="00B7448E"/>
    <w:rsid w:val="00BB6993"/>
    <w:rsid w:val="00D23A19"/>
    <w:rsid w:val="00D73565"/>
    <w:rsid w:val="00D84DD3"/>
    <w:rsid w:val="00E57228"/>
    <w:rsid w:val="15A5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8">
    <w:name w:val="文头"/>
    <w:basedOn w:val="1"/>
    <w:uiPriority w:val="0"/>
    <w:pPr>
      <w:tabs>
        <w:tab w:val="left" w:pos="6663"/>
      </w:tabs>
      <w:autoSpaceDE w:val="0"/>
      <w:autoSpaceDN w:val="0"/>
      <w:snapToGrid w:val="0"/>
      <w:spacing w:before="40" w:after="800" w:line="1640" w:lineRule="atLeast"/>
      <w:ind w:left="511" w:right="227" w:hanging="284"/>
      <w:jc w:val="distribute"/>
    </w:pPr>
    <w:rPr>
      <w:rFonts w:ascii="汉鼎简大宋" w:hAnsi="Times New Roman" w:eastAsia="汉鼎简大宋" w:cs="Times New Roman"/>
      <w:b/>
      <w:snapToGrid w:val="0"/>
      <w:color w:val="FF0000"/>
      <w:w w:val="50"/>
      <w:kern w:val="0"/>
      <w:sz w:val="136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711</Words>
  <Characters>4058</Characters>
  <Lines>33</Lines>
  <Paragraphs>9</Paragraphs>
  <TotalTime>5</TotalTime>
  <ScaleCrop>false</ScaleCrop>
  <LinksUpToDate>false</LinksUpToDate>
  <CharactersWithSpaces>4760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2021-07-07T08:51:00Z</dcterms:created>
  <dc:creator>AutoBVT</dc:creator>
  <cp:lastModifiedBy>白开水</cp:lastModifiedBy>
  <cp:lastPrinted>2021-07-07T08:46:00Z</cp:lastPrinted>
  <dcterms:modified xsi:type="dcterms:W3CDTF">2021-07-08T09:04:55Z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9E8305BD98CE49948389281B06A525D4</vt:lpwstr>
  </property>
</Properties>
</file>