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3004" w:rsidRDefault="002D3004">
      <w:pPr>
        <w:pStyle w:val="a5"/>
        <w:widowControl w:val="0"/>
        <w:spacing w:before="1300" w:beforeAutospacing="0" w:after="0" w:afterAutospacing="0"/>
        <w:jc w:val="both"/>
        <w:rPr>
          <w:rFonts w:ascii="Times New Roman" w:eastAsia="仿宋_GB2312" w:hAnsi="Times New Roman"/>
          <w:kern w:val="2"/>
          <w:sz w:val="32"/>
          <w:szCs w:val="32"/>
        </w:rPr>
      </w:pPr>
    </w:p>
    <w:p w:rsidR="002D3004" w:rsidRDefault="0093795E">
      <w:pPr>
        <w:overflowPunct w:val="0"/>
        <w:autoSpaceDE w:val="0"/>
        <w:autoSpaceDN w:val="0"/>
        <w:adjustRightInd w:val="0"/>
        <w:snapToGrid w:val="0"/>
        <w:spacing w:line="600" w:lineRule="exact"/>
        <w:jc w:val="left"/>
        <w:rPr>
          <w:rFonts w:ascii="Times New Roman" w:eastAsia="黑体"/>
          <w:snapToGrid w:val="0"/>
          <w:color w:val="000000"/>
        </w:rPr>
      </w:pPr>
      <w:r>
        <w:rPr>
          <w:rFonts w:ascii="Times New Roman" w:eastAsia="黑体" w:hAnsi="黑体"/>
          <w:snapToGrid w:val="0"/>
          <w:color w:val="000000"/>
        </w:rPr>
        <w:t>附件</w:t>
      </w:r>
      <w:r>
        <w:rPr>
          <w:rFonts w:ascii="Times New Roman" w:eastAsia="黑体"/>
          <w:snapToGrid w:val="0"/>
          <w:color w:val="000000"/>
        </w:rPr>
        <w:t>1</w:t>
      </w:r>
    </w:p>
    <w:p w:rsidR="002D3004" w:rsidRDefault="0093795E">
      <w:pPr>
        <w:overflowPunct w:val="0"/>
        <w:autoSpaceDE w:val="0"/>
        <w:autoSpaceDN w:val="0"/>
        <w:adjustRightInd w:val="0"/>
        <w:snapToGrid w:val="0"/>
        <w:spacing w:before="240" w:after="240" w:line="570" w:lineRule="exact"/>
        <w:jc w:val="center"/>
        <w:rPr>
          <w:rFonts w:ascii="方正小标宋简体" w:eastAsia="方正小标宋简体"/>
          <w:snapToGrid w:val="0"/>
          <w:color w:val="000000"/>
          <w:sz w:val="44"/>
          <w:szCs w:val="44"/>
        </w:rPr>
      </w:pPr>
      <w:r>
        <w:rPr>
          <w:rFonts w:ascii="方正小标宋简体" w:eastAsia="方正小标宋简体" w:hint="eastAsia"/>
          <w:snapToGrid w:val="0"/>
          <w:color w:val="000000"/>
          <w:sz w:val="44"/>
          <w:szCs w:val="44"/>
        </w:rPr>
        <w:t>新增乙类药品个人自付比例标注表</w:t>
      </w:r>
    </w:p>
    <w:p w:rsidR="002D3004" w:rsidRDefault="0093795E">
      <w:pPr>
        <w:overflowPunct w:val="0"/>
        <w:autoSpaceDE w:val="0"/>
        <w:autoSpaceDN w:val="0"/>
        <w:adjustRightInd w:val="0"/>
        <w:snapToGrid w:val="0"/>
        <w:spacing w:after="120" w:line="570" w:lineRule="exact"/>
        <w:jc w:val="left"/>
        <w:rPr>
          <w:rFonts w:ascii="黑体" w:eastAsia="黑体" w:hAnsi="黑体" w:cs="黑体"/>
          <w:snapToGrid w:val="0"/>
          <w:color w:val="000000"/>
        </w:rPr>
      </w:pPr>
      <w:r>
        <w:rPr>
          <w:rFonts w:ascii="黑体" w:eastAsia="黑体" w:hAnsi="黑体" w:cs="黑体" w:hint="eastAsia"/>
          <w:snapToGrid w:val="0"/>
          <w:color w:val="000000"/>
        </w:rPr>
        <w:t>一、西药</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28"/>
        <w:gridCol w:w="794"/>
        <w:gridCol w:w="2214"/>
        <w:gridCol w:w="966"/>
        <w:gridCol w:w="3715"/>
        <w:gridCol w:w="843"/>
      </w:tblGrid>
      <w:tr w:rsidR="002D3004">
        <w:trPr>
          <w:trHeight w:val="745"/>
          <w:tblHeader/>
          <w:jc w:val="center"/>
        </w:trPr>
        <w:tc>
          <w:tcPr>
            <w:tcW w:w="291"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color w:val="000000"/>
                <w:sz w:val="21"/>
                <w:szCs w:val="21"/>
              </w:rPr>
            </w:pPr>
            <w:r>
              <w:rPr>
                <w:rFonts w:ascii="黑体" w:eastAsia="黑体" w:hAnsi="黑体"/>
                <w:color w:val="000000"/>
                <w:sz w:val="21"/>
                <w:szCs w:val="21"/>
              </w:rPr>
              <w:t>序号</w:t>
            </w:r>
          </w:p>
        </w:tc>
        <w:tc>
          <w:tcPr>
            <w:tcW w:w="438"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color w:val="000000"/>
                <w:sz w:val="21"/>
                <w:szCs w:val="21"/>
              </w:rPr>
            </w:pPr>
            <w:r>
              <w:rPr>
                <w:rFonts w:ascii="黑体" w:eastAsia="黑体" w:hAnsi="黑体"/>
                <w:color w:val="000000"/>
                <w:sz w:val="21"/>
                <w:szCs w:val="21"/>
              </w:rPr>
              <w:t>支付</w:t>
            </w:r>
          </w:p>
          <w:p w:rsidR="002D3004" w:rsidRDefault="0093795E">
            <w:pPr>
              <w:overflowPunct w:val="0"/>
              <w:autoSpaceDE w:val="0"/>
              <w:autoSpaceDN w:val="0"/>
              <w:adjustRightInd w:val="0"/>
              <w:snapToGrid w:val="0"/>
              <w:spacing w:line="300" w:lineRule="exact"/>
              <w:jc w:val="center"/>
              <w:rPr>
                <w:rFonts w:ascii="黑体" w:eastAsia="黑体" w:hAnsi="黑体"/>
                <w:color w:val="000000"/>
                <w:sz w:val="21"/>
                <w:szCs w:val="21"/>
              </w:rPr>
            </w:pPr>
            <w:r>
              <w:rPr>
                <w:rFonts w:ascii="黑体" w:eastAsia="黑体" w:hAnsi="黑体"/>
                <w:color w:val="000000"/>
                <w:sz w:val="21"/>
                <w:szCs w:val="21"/>
              </w:rPr>
              <w:t>类别</w:t>
            </w:r>
          </w:p>
        </w:tc>
        <w:tc>
          <w:tcPr>
            <w:tcW w:w="1221"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sz w:val="21"/>
                <w:szCs w:val="21"/>
              </w:rPr>
            </w:pPr>
            <w:r>
              <w:rPr>
                <w:rFonts w:ascii="黑体" w:eastAsia="黑体" w:hAnsi="黑体"/>
                <w:sz w:val="21"/>
                <w:szCs w:val="21"/>
              </w:rPr>
              <w:t>药品名称</w:t>
            </w:r>
          </w:p>
        </w:tc>
        <w:tc>
          <w:tcPr>
            <w:tcW w:w="533"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sz w:val="21"/>
                <w:szCs w:val="21"/>
              </w:rPr>
            </w:pPr>
            <w:r>
              <w:rPr>
                <w:rFonts w:ascii="黑体" w:eastAsia="黑体" w:hAnsi="黑体"/>
                <w:sz w:val="21"/>
                <w:szCs w:val="21"/>
              </w:rPr>
              <w:t>剂</w:t>
            </w:r>
            <w:r>
              <w:rPr>
                <w:rFonts w:ascii="黑体" w:eastAsia="黑体" w:hAnsi="黑体"/>
                <w:sz w:val="21"/>
                <w:szCs w:val="21"/>
              </w:rPr>
              <w:t xml:space="preserve">  </w:t>
            </w:r>
            <w:r>
              <w:rPr>
                <w:rFonts w:ascii="黑体" w:eastAsia="黑体" w:hAnsi="黑体"/>
                <w:sz w:val="21"/>
                <w:szCs w:val="21"/>
              </w:rPr>
              <w:t>型</w:t>
            </w:r>
          </w:p>
        </w:tc>
        <w:tc>
          <w:tcPr>
            <w:tcW w:w="2049" w:type="pct"/>
            <w:shd w:val="clear" w:color="000000" w:fill="FFFFFF"/>
            <w:noWrap/>
            <w:vAlign w:val="center"/>
          </w:tcPr>
          <w:p w:rsidR="002D3004" w:rsidRDefault="0093795E">
            <w:pPr>
              <w:overflowPunct w:val="0"/>
              <w:autoSpaceDE w:val="0"/>
              <w:autoSpaceDN w:val="0"/>
              <w:adjustRightInd w:val="0"/>
              <w:snapToGrid w:val="0"/>
              <w:spacing w:line="240" w:lineRule="exact"/>
              <w:jc w:val="center"/>
              <w:rPr>
                <w:rFonts w:ascii="Times New Roman" w:eastAsia="宋体"/>
                <w:sz w:val="18"/>
                <w:szCs w:val="21"/>
              </w:rPr>
            </w:pPr>
            <w:r>
              <w:rPr>
                <w:rFonts w:ascii="黑体" w:eastAsia="黑体" w:hAnsi="黑体"/>
                <w:sz w:val="21"/>
                <w:szCs w:val="21"/>
              </w:rPr>
              <w:t>备</w:t>
            </w:r>
            <w:r>
              <w:rPr>
                <w:rFonts w:ascii="黑体" w:eastAsia="黑体" w:hAnsi="黑体"/>
                <w:sz w:val="21"/>
                <w:szCs w:val="21"/>
              </w:rPr>
              <w:t xml:space="preserve">  </w:t>
            </w:r>
            <w:r>
              <w:rPr>
                <w:rFonts w:ascii="黑体" w:eastAsia="黑体" w:hAnsi="黑体"/>
                <w:sz w:val="21"/>
                <w:szCs w:val="21"/>
              </w:rPr>
              <w:t>注</w:t>
            </w:r>
          </w:p>
        </w:tc>
        <w:tc>
          <w:tcPr>
            <w:tcW w:w="465"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sz w:val="21"/>
                <w:szCs w:val="21"/>
              </w:rPr>
            </w:pPr>
            <w:r>
              <w:rPr>
                <w:rFonts w:ascii="黑体" w:eastAsia="黑体" w:hAnsi="黑体"/>
                <w:sz w:val="21"/>
                <w:szCs w:val="21"/>
              </w:rPr>
              <w:t>个人自付</w:t>
            </w:r>
          </w:p>
          <w:p w:rsidR="002D3004" w:rsidRDefault="0093795E">
            <w:pPr>
              <w:overflowPunct w:val="0"/>
              <w:autoSpaceDE w:val="0"/>
              <w:autoSpaceDN w:val="0"/>
              <w:adjustRightInd w:val="0"/>
              <w:snapToGrid w:val="0"/>
              <w:spacing w:line="300" w:lineRule="exact"/>
              <w:jc w:val="center"/>
              <w:rPr>
                <w:rFonts w:ascii="黑体" w:eastAsia="黑体" w:hAnsi="黑体"/>
                <w:sz w:val="21"/>
                <w:szCs w:val="21"/>
              </w:rPr>
            </w:pPr>
            <w:r>
              <w:rPr>
                <w:rFonts w:ascii="黑体" w:eastAsia="黑体" w:hAnsi="黑体"/>
                <w:sz w:val="21"/>
                <w:szCs w:val="21"/>
              </w:rPr>
              <w:t>比例</w:t>
            </w:r>
          </w:p>
        </w:tc>
      </w:tr>
      <w:tr w:rsidR="002D3004">
        <w:trPr>
          <w:cantSplit/>
          <w:trHeight w:hRule="exact" w:val="711"/>
          <w:jc w:val="center"/>
        </w:trPr>
        <w:tc>
          <w:tcPr>
            <w:tcW w:w="291" w:type="pct"/>
            <w:shd w:val="clear" w:color="auto" w:fill="auto"/>
            <w:noWrap/>
            <w:vAlign w:val="center"/>
          </w:tcPr>
          <w:p w:rsidR="002D3004" w:rsidRDefault="0093795E">
            <w:pPr>
              <w:widowControl/>
              <w:spacing w:line="300" w:lineRule="exact"/>
              <w:jc w:val="center"/>
              <w:textAlignment w:val="center"/>
              <w:rPr>
                <w:rFonts w:ascii="Times New Roman" w:eastAsia="宋体"/>
                <w:sz w:val="21"/>
                <w:szCs w:val="21"/>
              </w:rPr>
            </w:pPr>
            <w:r>
              <w:rPr>
                <w:rFonts w:ascii="Times New Roman" w:eastAsia="宋体"/>
                <w:bCs/>
                <w:color w:val="000000"/>
                <w:sz w:val="21"/>
                <w:szCs w:val="21"/>
              </w:rPr>
              <w:t>1</w:t>
            </w:r>
          </w:p>
        </w:tc>
        <w:tc>
          <w:tcPr>
            <w:tcW w:w="438"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1221"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sz w:val="21"/>
                <w:szCs w:val="21"/>
              </w:rPr>
              <w:t>格隆溴铵</w:t>
            </w:r>
            <w:proofErr w:type="gramEnd"/>
          </w:p>
        </w:tc>
        <w:tc>
          <w:tcPr>
            <w:tcW w:w="533"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049" w:type="pct"/>
            <w:shd w:val="clear" w:color="auto" w:fill="auto"/>
            <w:noWrap/>
            <w:vAlign w:val="bottom"/>
          </w:tcPr>
          <w:p w:rsidR="002D3004" w:rsidRDefault="002D3004">
            <w:pPr>
              <w:spacing w:line="240" w:lineRule="exact"/>
              <w:jc w:val="left"/>
              <w:rPr>
                <w:rFonts w:ascii="Times New Roman" w:eastAsia="宋体" w:cs="宋体"/>
                <w:sz w:val="18"/>
                <w:szCs w:val="21"/>
              </w:rPr>
            </w:pPr>
          </w:p>
        </w:tc>
        <w:tc>
          <w:tcPr>
            <w:tcW w:w="465"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711"/>
          <w:jc w:val="center"/>
        </w:trPr>
        <w:tc>
          <w:tcPr>
            <w:tcW w:w="291"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bCs/>
                <w:color w:val="000000"/>
                <w:sz w:val="21"/>
                <w:szCs w:val="21"/>
              </w:rPr>
              <w:t>2</w:t>
            </w:r>
          </w:p>
        </w:tc>
        <w:tc>
          <w:tcPr>
            <w:tcW w:w="438"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1221"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硝酸异山梨</w:t>
            </w:r>
            <w:proofErr w:type="gramStart"/>
            <w:r>
              <w:rPr>
                <w:rFonts w:ascii="宋体" w:eastAsia="宋体" w:hAnsi="宋体" w:cs="宋体" w:hint="eastAsia"/>
                <w:color w:val="000000"/>
                <w:sz w:val="21"/>
                <w:szCs w:val="21"/>
              </w:rPr>
              <w:t>酯</w:t>
            </w:r>
            <w:proofErr w:type="gramEnd"/>
            <w:r>
              <w:rPr>
                <w:rFonts w:ascii="宋体" w:eastAsia="宋体" w:hAnsi="宋体" w:cs="宋体" w:hint="eastAsia"/>
                <w:color w:val="000000"/>
                <w:sz w:val="21"/>
                <w:szCs w:val="21"/>
              </w:rPr>
              <w:t>氯化钠</w:t>
            </w:r>
          </w:p>
        </w:tc>
        <w:tc>
          <w:tcPr>
            <w:tcW w:w="533"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049" w:type="pct"/>
            <w:shd w:val="clear" w:color="auto" w:fill="auto"/>
            <w:noWrap/>
            <w:vAlign w:val="bottom"/>
          </w:tcPr>
          <w:p w:rsidR="002D3004" w:rsidRDefault="002D3004">
            <w:pPr>
              <w:spacing w:line="240" w:lineRule="exact"/>
              <w:jc w:val="left"/>
              <w:rPr>
                <w:rFonts w:ascii="Times New Roman" w:eastAsia="宋体" w:cs="宋体"/>
                <w:sz w:val="18"/>
                <w:szCs w:val="21"/>
              </w:rPr>
            </w:pPr>
          </w:p>
        </w:tc>
        <w:tc>
          <w:tcPr>
            <w:tcW w:w="465"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5%</w:t>
            </w:r>
          </w:p>
        </w:tc>
      </w:tr>
      <w:tr w:rsidR="002D3004">
        <w:trPr>
          <w:trHeight w:hRule="exact" w:val="804"/>
          <w:jc w:val="center"/>
        </w:trPr>
        <w:tc>
          <w:tcPr>
            <w:tcW w:w="291"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bCs/>
                <w:color w:val="000000"/>
                <w:sz w:val="21"/>
                <w:szCs w:val="21"/>
              </w:rPr>
              <w:t>3</w:t>
            </w:r>
          </w:p>
        </w:tc>
        <w:tc>
          <w:tcPr>
            <w:tcW w:w="438"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1221"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硝酸异山梨</w:t>
            </w:r>
            <w:proofErr w:type="gramStart"/>
            <w:r>
              <w:rPr>
                <w:rFonts w:ascii="宋体" w:eastAsia="宋体" w:hAnsi="宋体" w:cs="宋体" w:hint="eastAsia"/>
                <w:color w:val="000000"/>
                <w:sz w:val="21"/>
                <w:szCs w:val="21"/>
              </w:rPr>
              <w:t>酯</w:t>
            </w:r>
            <w:proofErr w:type="gramEnd"/>
            <w:r>
              <w:rPr>
                <w:rFonts w:ascii="宋体" w:eastAsia="宋体" w:hAnsi="宋体" w:cs="宋体" w:hint="eastAsia"/>
                <w:color w:val="000000"/>
                <w:sz w:val="21"/>
                <w:szCs w:val="21"/>
              </w:rPr>
              <w:t>葡萄糖</w:t>
            </w:r>
          </w:p>
        </w:tc>
        <w:tc>
          <w:tcPr>
            <w:tcW w:w="533"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049" w:type="pct"/>
            <w:shd w:val="clear" w:color="auto" w:fill="auto"/>
            <w:noWrap/>
            <w:vAlign w:val="bottom"/>
          </w:tcPr>
          <w:p w:rsidR="002D3004" w:rsidRDefault="002D3004">
            <w:pPr>
              <w:spacing w:line="240" w:lineRule="exact"/>
              <w:jc w:val="left"/>
              <w:rPr>
                <w:rFonts w:ascii="Times New Roman" w:eastAsia="宋体" w:cs="宋体"/>
                <w:sz w:val="18"/>
                <w:szCs w:val="21"/>
              </w:rPr>
            </w:pPr>
          </w:p>
        </w:tc>
        <w:tc>
          <w:tcPr>
            <w:tcW w:w="465"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5%</w:t>
            </w:r>
          </w:p>
        </w:tc>
      </w:tr>
      <w:tr w:rsidR="002D3004">
        <w:trPr>
          <w:trHeight w:val="724"/>
          <w:jc w:val="center"/>
        </w:trPr>
        <w:tc>
          <w:tcPr>
            <w:tcW w:w="291"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bCs/>
                <w:color w:val="000000"/>
                <w:sz w:val="21"/>
                <w:szCs w:val="21"/>
              </w:rPr>
              <w:t>4</w:t>
            </w:r>
          </w:p>
        </w:tc>
        <w:tc>
          <w:tcPr>
            <w:tcW w:w="438"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1221"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苯达莫司汀</w:t>
            </w:r>
          </w:p>
        </w:tc>
        <w:tc>
          <w:tcPr>
            <w:tcW w:w="533"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049" w:type="pct"/>
            <w:shd w:val="clear" w:color="auto" w:fill="auto"/>
            <w:noWrap/>
            <w:vAlign w:val="bottom"/>
          </w:tcPr>
          <w:p w:rsidR="002D3004" w:rsidRDefault="002D3004">
            <w:pPr>
              <w:spacing w:line="240" w:lineRule="exact"/>
              <w:jc w:val="left"/>
              <w:rPr>
                <w:rFonts w:ascii="Times New Roman" w:eastAsia="宋体" w:cs="宋体"/>
                <w:sz w:val="18"/>
                <w:szCs w:val="21"/>
              </w:rPr>
            </w:pPr>
          </w:p>
        </w:tc>
        <w:tc>
          <w:tcPr>
            <w:tcW w:w="465"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724"/>
          <w:jc w:val="center"/>
        </w:trPr>
        <w:tc>
          <w:tcPr>
            <w:tcW w:w="291"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bCs/>
                <w:color w:val="000000"/>
                <w:sz w:val="21"/>
                <w:szCs w:val="21"/>
              </w:rPr>
              <w:t>5</w:t>
            </w:r>
          </w:p>
        </w:tc>
        <w:tc>
          <w:tcPr>
            <w:tcW w:w="438"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1221"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布</w:t>
            </w:r>
            <w:proofErr w:type="gramStart"/>
            <w:r>
              <w:rPr>
                <w:rFonts w:ascii="宋体" w:eastAsia="宋体" w:hAnsi="宋体" w:cs="宋体" w:hint="eastAsia"/>
                <w:color w:val="000000"/>
                <w:sz w:val="21"/>
                <w:szCs w:val="21"/>
              </w:rPr>
              <w:t>洛</w:t>
            </w:r>
            <w:proofErr w:type="gramEnd"/>
            <w:r>
              <w:rPr>
                <w:rFonts w:ascii="宋体" w:eastAsia="宋体" w:hAnsi="宋体" w:cs="宋体" w:hint="eastAsia"/>
                <w:color w:val="000000"/>
                <w:sz w:val="21"/>
                <w:szCs w:val="21"/>
              </w:rPr>
              <w:t>芬</w:t>
            </w:r>
          </w:p>
        </w:tc>
        <w:tc>
          <w:tcPr>
            <w:tcW w:w="533"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049" w:type="pct"/>
            <w:shd w:val="clear" w:color="auto" w:fill="auto"/>
            <w:noWrap/>
            <w:vAlign w:val="bottom"/>
          </w:tcPr>
          <w:p w:rsidR="002D3004" w:rsidRDefault="002D3004">
            <w:pPr>
              <w:spacing w:line="240" w:lineRule="exact"/>
              <w:jc w:val="left"/>
              <w:rPr>
                <w:rFonts w:ascii="Times New Roman" w:eastAsia="宋体" w:cs="宋体"/>
                <w:sz w:val="18"/>
                <w:szCs w:val="21"/>
              </w:rPr>
            </w:pPr>
          </w:p>
        </w:tc>
        <w:tc>
          <w:tcPr>
            <w:tcW w:w="465"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624"/>
          <w:jc w:val="center"/>
        </w:trPr>
        <w:tc>
          <w:tcPr>
            <w:tcW w:w="291"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bCs/>
                <w:color w:val="000000"/>
                <w:sz w:val="21"/>
                <w:szCs w:val="21"/>
              </w:rPr>
              <w:t>6</w:t>
            </w:r>
          </w:p>
        </w:tc>
        <w:tc>
          <w:tcPr>
            <w:tcW w:w="438"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1221"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sz w:val="21"/>
                <w:szCs w:val="21"/>
              </w:rPr>
              <w:t>胞磷胆碱</w:t>
            </w:r>
            <w:proofErr w:type="gramEnd"/>
            <w:r>
              <w:rPr>
                <w:rFonts w:ascii="宋体" w:eastAsia="宋体" w:hAnsi="宋体" w:cs="宋体" w:hint="eastAsia"/>
                <w:color w:val="000000"/>
                <w:sz w:val="21"/>
                <w:szCs w:val="21"/>
              </w:rPr>
              <w:t>氯化钠</w:t>
            </w:r>
          </w:p>
        </w:tc>
        <w:tc>
          <w:tcPr>
            <w:tcW w:w="533"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049" w:type="pct"/>
            <w:shd w:val="clear" w:color="auto" w:fill="auto"/>
            <w:noWrap/>
            <w:vAlign w:val="center"/>
          </w:tcPr>
          <w:p w:rsidR="002D3004" w:rsidRDefault="0093795E">
            <w:pPr>
              <w:widowControl/>
              <w:spacing w:line="280" w:lineRule="exact"/>
              <w:textAlignment w:val="center"/>
              <w:rPr>
                <w:rFonts w:ascii="Times New Roman" w:eastAsia="宋体" w:cs="宋体"/>
                <w:color w:val="000000"/>
                <w:sz w:val="18"/>
                <w:szCs w:val="21"/>
              </w:rPr>
            </w:pPr>
            <w:proofErr w:type="gramStart"/>
            <w:r>
              <w:rPr>
                <w:rFonts w:ascii="Times New Roman" w:eastAsia="宋体" w:cs="宋体" w:hint="eastAsia"/>
                <w:color w:val="000000"/>
                <w:sz w:val="18"/>
                <w:szCs w:val="21"/>
              </w:rPr>
              <w:t>限出现</w:t>
            </w:r>
            <w:proofErr w:type="gramEnd"/>
            <w:r>
              <w:rPr>
                <w:rFonts w:ascii="Times New Roman" w:eastAsia="宋体" w:cs="宋体" w:hint="eastAsia"/>
                <w:color w:val="000000"/>
                <w:sz w:val="18"/>
                <w:szCs w:val="21"/>
              </w:rPr>
              <w:t>意识障碍的急性颅脑外伤和脑手术后患者，支付不超过</w:t>
            </w:r>
            <w:r>
              <w:rPr>
                <w:rFonts w:ascii="Times New Roman" w:eastAsia="宋体" w:cs="宋体" w:hint="eastAsia"/>
                <w:color w:val="000000"/>
                <w:sz w:val="18"/>
                <w:szCs w:val="21"/>
              </w:rPr>
              <w:t>14</w:t>
            </w:r>
            <w:r>
              <w:rPr>
                <w:rFonts w:ascii="Times New Roman" w:eastAsia="宋体" w:cs="宋体" w:hint="eastAsia"/>
                <w:color w:val="000000"/>
                <w:sz w:val="18"/>
                <w:szCs w:val="21"/>
              </w:rPr>
              <w:t>天</w:t>
            </w:r>
          </w:p>
        </w:tc>
        <w:tc>
          <w:tcPr>
            <w:tcW w:w="465"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567"/>
          <w:jc w:val="center"/>
        </w:trPr>
        <w:tc>
          <w:tcPr>
            <w:tcW w:w="291"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bCs/>
                <w:color w:val="000000"/>
                <w:sz w:val="21"/>
                <w:szCs w:val="21"/>
              </w:rPr>
              <w:t>7</w:t>
            </w:r>
          </w:p>
        </w:tc>
        <w:tc>
          <w:tcPr>
            <w:tcW w:w="438"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1221"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sz w:val="21"/>
                <w:szCs w:val="21"/>
              </w:rPr>
              <w:t>胞磷胆碱</w:t>
            </w:r>
            <w:proofErr w:type="gramEnd"/>
            <w:r>
              <w:rPr>
                <w:rFonts w:ascii="宋体" w:eastAsia="宋体" w:hAnsi="宋体" w:cs="宋体" w:hint="eastAsia"/>
                <w:color w:val="000000"/>
                <w:sz w:val="21"/>
                <w:szCs w:val="21"/>
              </w:rPr>
              <w:t>葡萄糖</w:t>
            </w:r>
          </w:p>
        </w:tc>
        <w:tc>
          <w:tcPr>
            <w:tcW w:w="533"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049" w:type="pct"/>
            <w:shd w:val="clear" w:color="auto" w:fill="auto"/>
            <w:noWrap/>
            <w:vAlign w:val="center"/>
          </w:tcPr>
          <w:p w:rsidR="002D3004" w:rsidRDefault="0093795E">
            <w:pPr>
              <w:widowControl/>
              <w:spacing w:line="280" w:lineRule="exact"/>
              <w:textAlignment w:val="center"/>
              <w:rPr>
                <w:rFonts w:ascii="Times New Roman" w:eastAsia="宋体" w:cs="宋体"/>
                <w:color w:val="000000"/>
                <w:sz w:val="18"/>
                <w:szCs w:val="21"/>
              </w:rPr>
            </w:pPr>
            <w:proofErr w:type="gramStart"/>
            <w:r>
              <w:rPr>
                <w:rFonts w:ascii="Times New Roman" w:eastAsia="宋体" w:cs="宋体" w:hint="eastAsia"/>
                <w:color w:val="000000"/>
                <w:sz w:val="18"/>
                <w:szCs w:val="21"/>
              </w:rPr>
              <w:t>限出现</w:t>
            </w:r>
            <w:proofErr w:type="gramEnd"/>
            <w:r>
              <w:rPr>
                <w:rFonts w:ascii="Times New Roman" w:eastAsia="宋体" w:cs="宋体" w:hint="eastAsia"/>
                <w:color w:val="000000"/>
                <w:sz w:val="18"/>
                <w:szCs w:val="21"/>
              </w:rPr>
              <w:t>意识障碍的急性颅脑外伤和脑手术后患者，支付不超过</w:t>
            </w:r>
            <w:r>
              <w:rPr>
                <w:rFonts w:ascii="Times New Roman" w:eastAsia="宋体" w:cs="宋体" w:hint="eastAsia"/>
                <w:color w:val="000000"/>
                <w:sz w:val="18"/>
                <w:szCs w:val="21"/>
              </w:rPr>
              <w:t>14</w:t>
            </w:r>
            <w:r>
              <w:rPr>
                <w:rFonts w:ascii="Times New Roman" w:eastAsia="宋体" w:cs="宋体" w:hint="eastAsia"/>
                <w:color w:val="000000"/>
                <w:sz w:val="18"/>
                <w:szCs w:val="21"/>
              </w:rPr>
              <w:t>天</w:t>
            </w:r>
          </w:p>
        </w:tc>
        <w:tc>
          <w:tcPr>
            <w:tcW w:w="465"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bl>
    <w:p w:rsidR="002D3004" w:rsidRDefault="002D3004">
      <w:pPr>
        <w:spacing w:line="580" w:lineRule="exact"/>
        <w:rPr>
          <w:rFonts w:ascii="Times New Roman" w:eastAsia="方正仿宋_GBK"/>
          <w:bCs/>
        </w:rPr>
      </w:pPr>
    </w:p>
    <w:p w:rsidR="002D3004" w:rsidRDefault="0093795E">
      <w:pPr>
        <w:overflowPunct w:val="0"/>
        <w:autoSpaceDE w:val="0"/>
        <w:autoSpaceDN w:val="0"/>
        <w:adjustRightInd w:val="0"/>
        <w:snapToGrid w:val="0"/>
        <w:spacing w:after="120" w:line="570" w:lineRule="exact"/>
        <w:jc w:val="left"/>
        <w:rPr>
          <w:rFonts w:ascii="黑体" w:eastAsia="黑体" w:hAnsi="黑体" w:cs="黑体"/>
          <w:snapToGrid w:val="0"/>
          <w:color w:val="000000"/>
        </w:rPr>
      </w:pPr>
      <w:r>
        <w:rPr>
          <w:rFonts w:ascii="Times New Roman" w:eastAsia="方正仿宋_GBK"/>
          <w:bCs/>
        </w:rPr>
        <w:br w:type="page"/>
      </w:r>
      <w:r>
        <w:rPr>
          <w:rFonts w:ascii="黑体" w:eastAsia="黑体" w:hAnsi="黑体" w:cs="黑体" w:hint="eastAsia"/>
          <w:snapToGrid w:val="0"/>
          <w:color w:val="000000"/>
        </w:rPr>
        <w:lastRenderedPageBreak/>
        <w:t>二、协议期内谈判药品</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91"/>
        <w:gridCol w:w="708"/>
        <w:gridCol w:w="1640"/>
        <w:gridCol w:w="1587"/>
        <w:gridCol w:w="3716"/>
        <w:gridCol w:w="718"/>
      </w:tblGrid>
      <w:tr w:rsidR="002D3004">
        <w:trPr>
          <w:trHeight w:val="218"/>
          <w:tblHeader/>
          <w:jc w:val="center"/>
        </w:trPr>
        <w:tc>
          <w:tcPr>
            <w:tcW w:w="381" w:type="pct"/>
            <w:noWrap/>
            <w:vAlign w:val="center"/>
          </w:tcPr>
          <w:p w:rsidR="002D3004" w:rsidRDefault="0093795E">
            <w:pPr>
              <w:overflowPunct w:val="0"/>
              <w:autoSpaceDE w:val="0"/>
              <w:autoSpaceDN w:val="0"/>
              <w:adjustRightInd w:val="0"/>
              <w:snapToGrid w:val="0"/>
              <w:spacing w:line="300" w:lineRule="exact"/>
              <w:jc w:val="center"/>
              <w:rPr>
                <w:rFonts w:ascii="Times New Roman" w:eastAsia="黑体"/>
                <w:sz w:val="21"/>
                <w:szCs w:val="21"/>
              </w:rPr>
            </w:pPr>
            <w:r>
              <w:rPr>
                <w:rFonts w:ascii="Times New Roman" w:eastAsia="黑体" w:hAnsi="黑体"/>
                <w:sz w:val="21"/>
                <w:szCs w:val="21"/>
              </w:rPr>
              <w:t>序号</w:t>
            </w:r>
          </w:p>
        </w:tc>
        <w:tc>
          <w:tcPr>
            <w:tcW w:w="390" w:type="pct"/>
            <w:noWrap/>
            <w:vAlign w:val="center"/>
          </w:tcPr>
          <w:p w:rsidR="002D3004" w:rsidRDefault="0093795E">
            <w:pPr>
              <w:overflowPunct w:val="0"/>
              <w:autoSpaceDE w:val="0"/>
              <w:autoSpaceDN w:val="0"/>
              <w:adjustRightInd w:val="0"/>
              <w:snapToGrid w:val="0"/>
              <w:spacing w:line="300" w:lineRule="exact"/>
              <w:jc w:val="center"/>
              <w:rPr>
                <w:rFonts w:ascii="Times New Roman" w:eastAsia="黑体"/>
                <w:sz w:val="21"/>
                <w:szCs w:val="21"/>
              </w:rPr>
            </w:pPr>
            <w:r>
              <w:rPr>
                <w:rFonts w:ascii="Times New Roman" w:eastAsia="黑体" w:hAnsi="黑体"/>
                <w:sz w:val="21"/>
                <w:szCs w:val="21"/>
              </w:rPr>
              <w:t>支付</w:t>
            </w:r>
          </w:p>
          <w:p w:rsidR="002D3004" w:rsidRDefault="0093795E">
            <w:pPr>
              <w:overflowPunct w:val="0"/>
              <w:autoSpaceDE w:val="0"/>
              <w:autoSpaceDN w:val="0"/>
              <w:adjustRightInd w:val="0"/>
              <w:snapToGrid w:val="0"/>
              <w:spacing w:line="300" w:lineRule="exact"/>
              <w:jc w:val="center"/>
              <w:rPr>
                <w:rFonts w:ascii="Times New Roman" w:eastAsia="黑体"/>
                <w:sz w:val="21"/>
                <w:szCs w:val="21"/>
              </w:rPr>
            </w:pPr>
            <w:r>
              <w:rPr>
                <w:rFonts w:ascii="Times New Roman" w:eastAsia="黑体" w:hAnsi="黑体"/>
                <w:sz w:val="21"/>
                <w:szCs w:val="21"/>
              </w:rPr>
              <w:t>类别</w:t>
            </w:r>
          </w:p>
        </w:tc>
        <w:tc>
          <w:tcPr>
            <w:tcW w:w="905" w:type="pct"/>
            <w:noWrap/>
            <w:vAlign w:val="center"/>
          </w:tcPr>
          <w:p w:rsidR="002D3004" w:rsidRDefault="0093795E">
            <w:pPr>
              <w:overflowPunct w:val="0"/>
              <w:autoSpaceDE w:val="0"/>
              <w:autoSpaceDN w:val="0"/>
              <w:adjustRightInd w:val="0"/>
              <w:snapToGrid w:val="0"/>
              <w:spacing w:line="300" w:lineRule="exact"/>
              <w:jc w:val="center"/>
              <w:rPr>
                <w:rFonts w:ascii="Times New Roman" w:eastAsia="黑体"/>
                <w:sz w:val="21"/>
                <w:szCs w:val="21"/>
              </w:rPr>
            </w:pPr>
            <w:r>
              <w:rPr>
                <w:rFonts w:ascii="Times New Roman" w:eastAsia="黑体" w:hAnsi="黑体"/>
                <w:sz w:val="21"/>
                <w:szCs w:val="21"/>
              </w:rPr>
              <w:t>药品名称</w:t>
            </w:r>
          </w:p>
        </w:tc>
        <w:tc>
          <w:tcPr>
            <w:tcW w:w="876" w:type="pct"/>
            <w:noWrap/>
            <w:vAlign w:val="center"/>
          </w:tcPr>
          <w:p w:rsidR="002D3004" w:rsidRDefault="0093795E">
            <w:pPr>
              <w:overflowPunct w:val="0"/>
              <w:autoSpaceDE w:val="0"/>
              <w:autoSpaceDN w:val="0"/>
              <w:adjustRightInd w:val="0"/>
              <w:snapToGrid w:val="0"/>
              <w:spacing w:line="300" w:lineRule="exact"/>
              <w:jc w:val="center"/>
              <w:rPr>
                <w:rFonts w:ascii="Times New Roman" w:eastAsia="黑体" w:hAnsi="黑体"/>
                <w:sz w:val="21"/>
                <w:szCs w:val="21"/>
              </w:rPr>
            </w:pPr>
            <w:proofErr w:type="gramStart"/>
            <w:r>
              <w:rPr>
                <w:rFonts w:ascii="Times New Roman" w:eastAsia="黑体" w:hAnsi="黑体"/>
                <w:sz w:val="21"/>
                <w:szCs w:val="21"/>
              </w:rPr>
              <w:t>医</w:t>
            </w:r>
            <w:proofErr w:type="gramEnd"/>
            <w:r>
              <w:rPr>
                <w:rFonts w:ascii="Times New Roman" w:eastAsia="黑体" w:hAnsi="黑体"/>
                <w:sz w:val="21"/>
                <w:szCs w:val="21"/>
              </w:rPr>
              <w:t>保支付</w:t>
            </w:r>
          </w:p>
          <w:p w:rsidR="002D3004" w:rsidRDefault="0093795E">
            <w:pPr>
              <w:overflowPunct w:val="0"/>
              <w:autoSpaceDE w:val="0"/>
              <w:autoSpaceDN w:val="0"/>
              <w:adjustRightInd w:val="0"/>
              <w:snapToGrid w:val="0"/>
              <w:spacing w:line="300" w:lineRule="exact"/>
              <w:jc w:val="center"/>
              <w:rPr>
                <w:rFonts w:ascii="Times New Roman" w:eastAsia="宋体"/>
                <w:sz w:val="18"/>
                <w:szCs w:val="21"/>
              </w:rPr>
            </w:pPr>
            <w:r>
              <w:rPr>
                <w:rFonts w:ascii="Times New Roman" w:eastAsia="黑体" w:hAnsi="黑体"/>
                <w:sz w:val="21"/>
                <w:szCs w:val="21"/>
              </w:rPr>
              <w:t>标准</w:t>
            </w:r>
          </w:p>
        </w:tc>
        <w:tc>
          <w:tcPr>
            <w:tcW w:w="2050" w:type="pct"/>
            <w:noWrap/>
            <w:vAlign w:val="center"/>
          </w:tcPr>
          <w:p w:rsidR="002D3004" w:rsidRDefault="0093795E">
            <w:pPr>
              <w:overflowPunct w:val="0"/>
              <w:autoSpaceDE w:val="0"/>
              <w:autoSpaceDN w:val="0"/>
              <w:adjustRightInd w:val="0"/>
              <w:snapToGrid w:val="0"/>
              <w:spacing w:line="240" w:lineRule="exact"/>
              <w:jc w:val="center"/>
              <w:rPr>
                <w:rFonts w:ascii="Times New Roman" w:eastAsia="宋体"/>
                <w:sz w:val="18"/>
                <w:szCs w:val="21"/>
              </w:rPr>
            </w:pPr>
            <w:r>
              <w:rPr>
                <w:rFonts w:ascii="Times New Roman" w:eastAsia="黑体" w:hAnsi="黑体"/>
                <w:sz w:val="21"/>
                <w:szCs w:val="21"/>
              </w:rPr>
              <w:t>备</w:t>
            </w:r>
            <w:r>
              <w:rPr>
                <w:rFonts w:ascii="Times New Roman" w:eastAsia="黑体" w:hAnsi="黑体"/>
                <w:sz w:val="21"/>
                <w:szCs w:val="21"/>
              </w:rPr>
              <w:t xml:space="preserve">  </w:t>
            </w:r>
            <w:r>
              <w:rPr>
                <w:rFonts w:ascii="Times New Roman" w:eastAsia="黑体" w:hAnsi="黑体"/>
                <w:sz w:val="21"/>
                <w:szCs w:val="21"/>
              </w:rPr>
              <w:t>注</w:t>
            </w:r>
          </w:p>
        </w:tc>
        <w:tc>
          <w:tcPr>
            <w:tcW w:w="396" w:type="pct"/>
            <w:noWrap/>
            <w:vAlign w:val="center"/>
          </w:tcPr>
          <w:p w:rsidR="002D3004" w:rsidRDefault="0093795E">
            <w:pPr>
              <w:overflowPunct w:val="0"/>
              <w:autoSpaceDE w:val="0"/>
              <w:autoSpaceDN w:val="0"/>
              <w:adjustRightInd w:val="0"/>
              <w:snapToGrid w:val="0"/>
              <w:spacing w:line="300" w:lineRule="exact"/>
              <w:jc w:val="center"/>
              <w:rPr>
                <w:rFonts w:ascii="Times New Roman" w:eastAsia="黑体"/>
                <w:sz w:val="21"/>
                <w:szCs w:val="21"/>
              </w:rPr>
            </w:pPr>
            <w:r>
              <w:rPr>
                <w:rFonts w:ascii="Times New Roman" w:eastAsia="黑体" w:hAnsi="黑体"/>
                <w:sz w:val="21"/>
                <w:szCs w:val="21"/>
              </w:rPr>
              <w:t>个人自付</w:t>
            </w:r>
          </w:p>
          <w:p w:rsidR="002D3004" w:rsidRDefault="0093795E">
            <w:pPr>
              <w:overflowPunct w:val="0"/>
              <w:autoSpaceDE w:val="0"/>
              <w:autoSpaceDN w:val="0"/>
              <w:adjustRightInd w:val="0"/>
              <w:snapToGrid w:val="0"/>
              <w:spacing w:line="300" w:lineRule="exact"/>
              <w:jc w:val="center"/>
              <w:rPr>
                <w:rFonts w:ascii="Times New Roman" w:eastAsia="黑体"/>
                <w:sz w:val="21"/>
                <w:szCs w:val="21"/>
              </w:rPr>
            </w:pPr>
            <w:r>
              <w:rPr>
                <w:rFonts w:ascii="Times New Roman" w:eastAsia="黑体" w:hAnsi="黑体"/>
                <w:sz w:val="21"/>
                <w:szCs w:val="21"/>
              </w:rPr>
              <w:t>比例</w:t>
            </w:r>
          </w:p>
        </w:tc>
      </w:tr>
      <w:tr w:rsidR="002D3004">
        <w:trPr>
          <w:trHeight w:val="1592"/>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1</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hAnsi="宋体"/>
                <w:color w:val="000000"/>
                <w:sz w:val="21"/>
                <w:szCs w:val="21"/>
              </w:rPr>
              <w:t>二甲双</w:t>
            </w:r>
            <w:proofErr w:type="gramStart"/>
            <w:r>
              <w:rPr>
                <w:rFonts w:ascii="Times New Roman" w:eastAsia="宋体" w:hAnsi="宋体"/>
                <w:color w:val="000000"/>
                <w:sz w:val="21"/>
                <w:szCs w:val="21"/>
              </w:rPr>
              <w:t>胍</w:t>
            </w:r>
            <w:proofErr w:type="gramEnd"/>
            <w:r>
              <w:rPr>
                <w:rFonts w:ascii="Times New Roman" w:eastAsia="宋体" w:hAnsi="宋体"/>
                <w:color w:val="000000"/>
                <w:sz w:val="21"/>
                <w:szCs w:val="21"/>
              </w:rPr>
              <w:t>恩</w:t>
            </w:r>
            <w:proofErr w:type="gramStart"/>
            <w:r>
              <w:rPr>
                <w:rFonts w:ascii="Times New Roman" w:eastAsia="宋体" w:hAnsi="宋体"/>
                <w:color w:val="000000"/>
                <w:sz w:val="21"/>
                <w:szCs w:val="21"/>
              </w:rPr>
              <w:t>格列净片</w:t>
            </w:r>
            <w:proofErr w:type="gramEnd"/>
            <w:r>
              <w:rPr>
                <w:rFonts w:ascii="Times New Roman" w:eastAsia="宋体" w:hAnsi="宋体"/>
                <w:color w:val="000000"/>
                <w:sz w:val="21"/>
                <w:szCs w:val="21"/>
              </w:rPr>
              <w:t>（</w:t>
            </w:r>
            <w:r>
              <w:rPr>
                <w:rFonts w:ascii="Times New Roman" w:eastAsia="宋体" w:hAnsi="宋体"/>
                <w:color w:val="000000"/>
                <w:sz w:val="21"/>
                <w:szCs w:val="21"/>
              </w:rPr>
              <w:t>Ⅰ</w:t>
            </w:r>
            <w:r>
              <w:rPr>
                <w:rFonts w:ascii="Times New Roman" w:eastAsia="宋体" w:hAnsi="宋体"/>
                <w:color w:val="000000"/>
                <w:sz w:val="21"/>
                <w:szCs w:val="21"/>
              </w:rPr>
              <w:t>）</w:t>
            </w:r>
          </w:p>
        </w:tc>
        <w:tc>
          <w:tcPr>
            <w:tcW w:w="876"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1.21</w:t>
            </w:r>
            <w:r>
              <w:rPr>
                <w:rFonts w:ascii="Times New Roman" w:eastAsia="宋体"/>
                <w:color w:val="000000"/>
                <w:sz w:val="18"/>
                <w:szCs w:val="21"/>
              </w:rPr>
              <w:t>元（每片含盐酸二甲双</w:t>
            </w:r>
            <w:proofErr w:type="gramStart"/>
            <w:r>
              <w:rPr>
                <w:rFonts w:ascii="Times New Roman" w:eastAsia="宋体"/>
                <w:color w:val="000000"/>
                <w:sz w:val="18"/>
                <w:szCs w:val="21"/>
              </w:rPr>
              <w:t>胍</w:t>
            </w:r>
            <w:proofErr w:type="gramEnd"/>
            <w:r>
              <w:rPr>
                <w:rFonts w:ascii="Times New Roman" w:eastAsia="宋体"/>
                <w:color w:val="000000"/>
                <w:sz w:val="18"/>
                <w:szCs w:val="21"/>
              </w:rPr>
              <w:t>500mg</w:t>
            </w:r>
            <w:r>
              <w:rPr>
                <w:rFonts w:ascii="Times New Roman" w:eastAsia="宋体"/>
                <w:color w:val="000000"/>
                <w:sz w:val="18"/>
                <w:szCs w:val="21"/>
              </w:rPr>
              <w:t>与恩</w:t>
            </w:r>
            <w:proofErr w:type="gramStart"/>
            <w:r>
              <w:rPr>
                <w:rFonts w:ascii="Times New Roman" w:eastAsia="宋体"/>
                <w:color w:val="000000"/>
                <w:sz w:val="18"/>
                <w:szCs w:val="21"/>
              </w:rPr>
              <w:t>格列净</w:t>
            </w:r>
            <w:proofErr w:type="gramEnd"/>
            <w:r>
              <w:rPr>
                <w:rFonts w:ascii="Times New Roman" w:eastAsia="宋体"/>
                <w:color w:val="000000"/>
                <w:sz w:val="18"/>
                <w:szCs w:val="21"/>
              </w:rPr>
              <w:t>5mg</w:t>
            </w: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hAnsi="宋体"/>
                <w:color w:val="000000"/>
                <w:sz w:val="18"/>
                <w:szCs w:val="21"/>
              </w:rPr>
              <w:t>本品配合饮食控制和运动，适用于正在接受恩</w:t>
            </w:r>
            <w:proofErr w:type="gramStart"/>
            <w:r>
              <w:rPr>
                <w:rFonts w:ascii="Times New Roman" w:eastAsia="宋体" w:hAnsi="宋体"/>
                <w:color w:val="000000"/>
                <w:sz w:val="18"/>
                <w:szCs w:val="21"/>
              </w:rPr>
              <w:t>格列净和</w:t>
            </w:r>
            <w:proofErr w:type="gramEnd"/>
            <w:r>
              <w:rPr>
                <w:rFonts w:ascii="Times New Roman" w:eastAsia="宋体" w:hAnsi="宋体"/>
                <w:color w:val="000000"/>
                <w:sz w:val="18"/>
                <w:szCs w:val="21"/>
              </w:rPr>
              <w:t>盐酸二甲双</w:t>
            </w:r>
            <w:proofErr w:type="gramStart"/>
            <w:r>
              <w:rPr>
                <w:rFonts w:ascii="Times New Roman" w:eastAsia="宋体" w:hAnsi="宋体"/>
                <w:color w:val="000000"/>
                <w:sz w:val="18"/>
                <w:szCs w:val="21"/>
              </w:rPr>
              <w:t>胍</w:t>
            </w:r>
            <w:proofErr w:type="gramEnd"/>
            <w:r>
              <w:rPr>
                <w:rFonts w:ascii="Times New Roman" w:eastAsia="宋体" w:hAnsi="宋体"/>
                <w:color w:val="000000"/>
                <w:sz w:val="18"/>
                <w:szCs w:val="21"/>
              </w:rPr>
              <w:t>治疗的</w:t>
            </w:r>
            <w:r>
              <w:rPr>
                <w:rFonts w:ascii="Times New Roman" w:eastAsia="宋体"/>
                <w:color w:val="000000"/>
                <w:sz w:val="18"/>
                <w:szCs w:val="21"/>
              </w:rPr>
              <w:t>2</w:t>
            </w:r>
            <w:r>
              <w:rPr>
                <w:rFonts w:ascii="Times New Roman" w:eastAsia="宋体" w:hAnsi="宋体"/>
                <w:color w:val="000000"/>
                <w:sz w:val="18"/>
                <w:szCs w:val="21"/>
              </w:rPr>
              <w:t>型糖尿病成人患者，用于改善这些患者的血糖控制。</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30%</w:t>
            </w:r>
          </w:p>
        </w:tc>
      </w:tr>
      <w:tr w:rsidR="002D3004">
        <w:trPr>
          <w:trHeight w:val="2541"/>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2</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司美格鲁</w:t>
            </w:r>
            <w:proofErr w:type="gramStart"/>
            <w:r>
              <w:rPr>
                <w:rFonts w:ascii="Times New Roman" w:eastAsia="宋体" w:hAnsi="宋体"/>
                <w:color w:val="000000"/>
                <w:sz w:val="21"/>
                <w:szCs w:val="21"/>
              </w:rPr>
              <w:t>肽</w:t>
            </w:r>
            <w:proofErr w:type="gramEnd"/>
            <w:r>
              <w:rPr>
                <w:rFonts w:ascii="Times New Roman" w:eastAsia="宋体" w:hAnsi="宋体"/>
                <w:color w:val="000000"/>
                <w:sz w:val="21"/>
                <w:szCs w:val="21"/>
              </w:rPr>
              <w:t>注射液</w:t>
            </w:r>
          </w:p>
        </w:tc>
        <w:tc>
          <w:tcPr>
            <w:tcW w:w="876" w:type="pct"/>
            <w:noWrap/>
            <w:vAlign w:val="center"/>
          </w:tcPr>
          <w:p w:rsidR="002D3004" w:rsidRDefault="0093795E">
            <w:pPr>
              <w:widowControl/>
              <w:spacing w:line="240" w:lineRule="exact"/>
              <w:jc w:val="center"/>
              <w:textAlignment w:val="top"/>
              <w:rPr>
                <w:rFonts w:ascii="Times New Roman" w:eastAsia="宋体"/>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hAnsi="宋体"/>
                <w:color w:val="000000"/>
                <w:sz w:val="18"/>
                <w:szCs w:val="21"/>
              </w:rPr>
              <w:t>本品适用于成人</w:t>
            </w:r>
            <w:r>
              <w:rPr>
                <w:rFonts w:ascii="Times New Roman" w:eastAsia="宋体"/>
                <w:color w:val="000000"/>
                <w:sz w:val="18"/>
                <w:szCs w:val="21"/>
              </w:rPr>
              <w:t>2</w:t>
            </w:r>
            <w:r>
              <w:rPr>
                <w:rFonts w:ascii="Times New Roman" w:eastAsia="宋体" w:hAnsi="宋体"/>
                <w:color w:val="000000"/>
                <w:sz w:val="18"/>
                <w:szCs w:val="21"/>
              </w:rPr>
              <w:t>型糖尿病患者的血糖控制：在饮食控制和运动基础上，接受二甲双</w:t>
            </w:r>
            <w:proofErr w:type="gramStart"/>
            <w:r>
              <w:rPr>
                <w:rFonts w:ascii="Times New Roman" w:eastAsia="宋体" w:hAnsi="宋体"/>
                <w:color w:val="000000"/>
                <w:sz w:val="18"/>
                <w:szCs w:val="21"/>
              </w:rPr>
              <w:t>胍</w:t>
            </w:r>
            <w:proofErr w:type="gramEnd"/>
            <w:r>
              <w:rPr>
                <w:rFonts w:ascii="Times New Roman" w:eastAsia="宋体" w:hAnsi="宋体"/>
                <w:color w:val="000000"/>
                <w:sz w:val="18"/>
                <w:szCs w:val="21"/>
              </w:rPr>
              <w:t>和</w:t>
            </w:r>
            <w:r>
              <w:rPr>
                <w:rFonts w:ascii="Times New Roman" w:eastAsia="宋体"/>
                <w:color w:val="000000"/>
                <w:sz w:val="18"/>
                <w:szCs w:val="21"/>
              </w:rPr>
              <w:t>/</w:t>
            </w:r>
            <w:r>
              <w:rPr>
                <w:rFonts w:ascii="Times New Roman" w:eastAsia="宋体" w:hAnsi="宋体"/>
                <w:color w:val="000000"/>
                <w:sz w:val="18"/>
                <w:szCs w:val="21"/>
              </w:rPr>
              <w:t>或</w:t>
            </w:r>
            <w:proofErr w:type="gramStart"/>
            <w:r>
              <w:rPr>
                <w:rFonts w:ascii="Times New Roman" w:eastAsia="宋体" w:hAnsi="宋体"/>
                <w:color w:val="000000"/>
                <w:sz w:val="18"/>
                <w:szCs w:val="21"/>
              </w:rPr>
              <w:t>磺脲</w:t>
            </w:r>
            <w:proofErr w:type="gramEnd"/>
            <w:r>
              <w:rPr>
                <w:rFonts w:ascii="Times New Roman" w:eastAsia="宋体" w:hAnsi="宋体"/>
                <w:color w:val="000000"/>
                <w:sz w:val="18"/>
                <w:szCs w:val="21"/>
              </w:rPr>
              <w:t>类药物治疗血糖仍控制不佳的成人</w:t>
            </w:r>
            <w:r>
              <w:rPr>
                <w:rFonts w:ascii="Times New Roman" w:eastAsia="宋体"/>
                <w:color w:val="000000"/>
                <w:sz w:val="18"/>
                <w:szCs w:val="21"/>
              </w:rPr>
              <w:t>2</w:t>
            </w:r>
            <w:r>
              <w:rPr>
                <w:rFonts w:ascii="Times New Roman" w:eastAsia="宋体" w:hAnsi="宋体"/>
                <w:color w:val="000000"/>
                <w:sz w:val="18"/>
                <w:szCs w:val="21"/>
              </w:rPr>
              <w:t>型糖尿病患者。适用于降低伴有心血管疾病的</w:t>
            </w:r>
            <w:r>
              <w:rPr>
                <w:rFonts w:ascii="Times New Roman" w:eastAsia="宋体"/>
                <w:color w:val="000000"/>
                <w:sz w:val="18"/>
                <w:szCs w:val="21"/>
              </w:rPr>
              <w:t>2</w:t>
            </w:r>
            <w:r>
              <w:rPr>
                <w:rFonts w:ascii="Times New Roman" w:eastAsia="宋体" w:hAnsi="宋体"/>
                <w:color w:val="000000"/>
                <w:sz w:val="18"/>
                <w:szCs w:val="21"/>
              </w:rPr>
              <w:t>型糖尿病成人患者的主要心血管不良事件（心血管死亡、非致死性心肌梗死或非致死性卒中）风险。</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30%</w:t>
            </w:r>
          </w:p>
        </w:tc>
      </w:tr>
      <w:tr w:rsidR="002D3004">
        <w:trPr>
          <w:trHeight w:val="125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阿加糖酶</w:t>
            </w:r>
            <w:r>
              <w:rPr>
                <w:rFonts w:ascii="Times New Roman" w:eastAsia="宋体"/>
                <w:color w:val="000000"/>
                <w:sz w:val="21"/>
                <w:szCs w:val="21"/>
              </w:rPr>
              <w:t>α</w:t>
            </w:r>
            <w:r>
              <w:rPr>
                <w:rFonts w:ascii="Times New Roman" w:eastAsia="宋体" w:hAnsi="宋体"/>
                <w:color w:val="000000"/>
                <w:sz w:val="21"/>
                <w:szCs w:val="21"/>
              </w:rPr>
              <w:t>注射用浓溶液</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hAnsi="宋体"/>
                <w:color w:val="000000"/>
                <w:sz w:val="18"/>
                <w:szCs w:val="21"/>
              </w:rPr>
              <w:t>本品用于确诊为法布雷病（</w:t>
            </w:r>
            <w:r>
              <w:rPr>
                <w:rFonts w:ascii="Times New Roman" w:eastAsia="宋体"/>
                <w:color w:val="000000"/>
                <w:sz w:val="18"/>
                <w:szCs w:val="21"/>
              </w:rPr>
              <w:t>α-</w:t>
            </w:r>
            <w:r>
              <w:rPr>
                <w:rFonts w:ascii="Times New Roman" w:eastAsia="宋体" w:hAnsi="宋体"/>
                <w:color w:val="000000"/>
                <w:sz w:val="18"/>
                <w:szCs w:val="21"/>
              </w:rPr>
              <w:t>半乳糖苷酶</w:t>
            </w:r>
            <w:r>
              <w:rPr>
                <w:rFonts w:ascii="Times New Roman" w:eastAsia="宋体"/>
                <w:color w:val="000000"/>
                <w:sz w:val="18"/>
                <w:szCs w:val="21"/>
              </w:rPr>
              <w:t>A</w:t>
            </w:r>
            <w:r>
              <w:rPr>
                <w:rFonts w:ascii="Times New Roman" w:eastAsia="宋体" w:hAnsi="宋体"/>
                <w:color w:val="000000"/>
                <w:sz w:val="18"/>
                <w:szCs w:val="21"/>
              </w:rPr>
              <w:t>缺乏症）患者的长期酶替代治疗。本品适用于成人、儿童和青少年。尚未确定本品在</w:t>
            </w:r>
            <w:r>
              <w:rPr>
                <w:rFonts w:ascii="Times New Roman" w:eastAsia="宋体"/>
                <w:color w:val="000000"/>
                <w:sz w:val="18"/>
                <w:szCs w:val="21"/>
              </w:rPr>
              <w:t>0-6</w:t>
            </w:r>
            <w:r>
              <w:rPr>
                <w:rFonts w:ascii="Times New Roman" w:eastAsia="宋体" w:hAnsi="宋体"/>
                <w:color w:val="000000"/>
                <w:sz w:val="18"/>
                <w:szCs w:val="21"/>
              </w:rPr>
              <w:t>岁儿童中的安全性和有效性。</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30%</w:t>
            </w:r>
          </w:p>
        </w:tc>
      </w:tr>
      <w:tr w:rsidR="002D3004">
        <w:trPr>
          <w:trHeight w:val="1101"/>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人凝血因子</w:t>
            </w:r>
            <w:r>
              <w:rPr>
                <w:rFonts w:ascii="Times New Roman" w:eastAsia="宋体" w:hAnsi="宋体"/>
                <w:color w:val="000000"/>
                <w:sz w:val="21"/>
                <w:szCs w:val="21"/>
              </w:rPr>
              <w:t>Ⅸ</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hAnsi="宋体"/>
                <w:color w:val="000000"/>
                <w:sz w:val="18"/>
                <w:szCs w:val="21"/>
              </w:rPr>
              <w:t>用于凝血因子</w:t>
            </w:r>
            <w:r>
              <w:rPr>
                <w:rFonts w:ascii="Times New Roman" w:eastAsia="宋体" w:hAnsi="宋体"/>
                <w:color w:val="000000"/>
                <w:sz w:val="18"/>
                <w:szCs w:val="21"/>
              </w:rPr>
              <w:t>Ⅸ</w:t>
            </w:r>
            <w:r>
              <w:rPr>
                <w:rFonts w:ascii="Times New Roman" w:eastAsia="宋体" w:hAnsi="宋体"/>
                <w:color w:val="000000"/>
                <w:sz w:val="18"/>
                <w:szCs w:val="21"/>
              </w:rPr>
              <w:t>缺乏症（</w:t>
            </w:r>
            <w:r>
              <w:rPr>
                <w:rFonts w:ascii="Times New Roman" w:eastAsia="宋体"/>
                <w:color w:val="000000"/>
                <w:sz w:val="18"/>
                <w:szCs w:val="21"/>
              </w:rPr>
              <w:t>B</w:t>
            </w:r>
            <w:r>
              <w:rPr>
                <w:rFonts w:ascii="Times New Roman" w:eastAsia="宋体" w:hAnsi="宋体"/>
                <w:color w:val="000000"/>
                <w:sz w:val="18"/>
                <w:szCs w:val="21"/>
              </w:rPr>
              <w:t>型血友病）患者的出血治疗。</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30%</w:t>
            </w:r>
          </w:p>
        </w:tc>
      </w:tr>
      <w:tr w:rsidR="002D3004">
        <w:trPr>
          <w:trHeight w:val="297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海</w:t>
            </w:r>
            <w:proofErr w:type="gramStart"/>
            <w:r>
              <w:rPr>
                <w:rFonts w:ascii="Times New Roman" w:eastAsia="宋体" w:hAnsi="宋体"/>
                <w:color w:val="000000"/>
                <w:sz w:val="21"/>
                <w:szCs w:val="21"/>
              </w:rPr>
              <w:t>曲泊帕</w:t>
            </w:r>
            <w:proofErr w:type="gramEnd"/>
            <w:r>
              <w:rPr>
                <w:rFonts w:ascii="Times New Roman" w:eastAsia="宋体" w:hAnsi="宋体"/>
                <w:color w:val="000000"/>
                <w:sz w:val="21"/>
                <w:szCs w:val="21"/>
              </w:rPr>
              <w:t>乙醇胺片</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1.</w:t>
            </w:r>
            <w:r>
              <w:rPr>
                <w:rFonts w:ascii="Times New Roman" w:eastAsia="宋体" w:hint="eastAsia"/>
                <w:color w:val="000000"/>
                <w:sz w:val="18"/>
                <w:szCs w:val="21"/>
              </w:rPr>
              <w:t xml:space="preserve"> </w:t>
            </w:r>
            <w:r>
              <w:rPr>
                <w:rFonts w:ascii="Times New Roman" w:eastAsia="宋体" w:hAnsi="宋体"/>
                <w:color w:val="000000"/>
                <w:sz w:val="18"/>
                <w:szCs w:val="21"/>
              </w:rPr>
              <w:t>本品适用于既往对糖皮质激素、免疫球蛋白等治疗反应不佳的慢性原发免疫性血小板减少症</w:t>
            </w:r>
            <w:r>
              <w:rPr>
                <w:rFonts w:ascii="Times New Roman" w:eastAsia="宋体"/>
                <w:color w:val="000000"/>
                <w:sz w:val="18"/>
                <w:szCs w:val="21"/>
              </w:rPr>
              <w:t>（</w:t>
            </w:r>
            <w:r>
              <w:rPr>
                <w:rFonts w:ascii="Times New Roman" w:eastAsia="宋体"/>
                <w:color w:val="000000"/>
                <w:sz w:val="18"/>
                <w:szCs w:val="21"/>
              </w:rPr>
              <w:t>ITP</w:t>
            </w:r>
            <w:r>
              <w:rPr>
                <w:rFonts w:ascii="Times New Roman" w:eastAsia="宋体"/>
                <w:color w:val="000000"/>
                <w:sz w:val="18"/>
                <w:szCs w:val="21"/>
              </w:rPr>
              <w:t>）</w:t>
            </w:r>
            <w:r>
              <w:rPr>
                <w:rFonts w:ascii="Times New Roman" w:eastAsia="宋体" w:hAnsi="宋体"/>
                <w:color w:val="000000"/>
                <w:sz w:val="18"/>
                <w:szCs w:val="21"/>
              </w:rPr>
              <w:t>成人患者，使血小板计数升高并减少或防止出血。本品仅用于因血小板减少和临床条件导致出血风险增加的</w:t>
            </w:r>
            <w:r>
              <w:rPr>
                <w:rFonts w:ascii="Times New Roman" w:eastAsia="宋体"/>
                <w:color w:val="000000"/>
                <w:sz w:val="18"/>
                <w:szCs w:val="21"/>
              </w:rPr>
              <w:t>ITP</w:t>
            </w:r>
            <w:r>
              <w:rPr>
                <w:rFonts w:ascii="Times New Roman" w:eastAsia="宋体" w:hAnsi="宋体"/>
                <w:color w:val="000000"/>
                <w:sz w:val="18"/>
                <w:szCs w:val="21"/>
              </w:rPr>
              <w:t>患者。</w:t>
            </w:r>
            <w:r>
              <w:rPr>
                <w:rFonts w:ascii="Times New Roman" w:eastAsia="宋体"/>
                <w:color w:val="000000"/>
                <w:sz w:val="18"/>
                <w:szCs w:val="21"/>
              </w:rPr>
              <w:br/>
              <w:t>2.</w:t>
            </w:r>
            <w:r>
              <w:rPr>
                <w:rFonts w:ascii="Times New Roman" w:eastAsia="宋体" w:hint="eastAsia"/>
                <w:color w:val="000000"/>
                <w:sz w:val="18"/>
                <w:szCs w:val="21"/>
              </w:rPr>
              <w:t xml:space="preserve"> </w:t>
            </w:r>
            <w:r>
              <w:rPr>
                <w:rFonts w:ascii="Times New Roman" w:eastAsia="宋体" w:hAnsi="宋体"/>
                <w:color w:val="000000"/>
                <w:sz w:val="18"/>
                <w:szCs w:val="21"/>
              </w:rPr>
              <w:t>本品适用于对免疫抑制治疗（</w:t>
            </w:r>
            <w:r>
              <w:rPr>
                <w:rFonts w:ascii="Times New Roman" w:eastAsia="宋体"/>
                <w:color w:val="000000"/>
                <w:sz w:val="18"/>
                <w:szCs w:val="21"/>
              </w:rPr>
              <w:t>IST</w:t>
            </w:r>
            <w:r>
              <w:rPr>
                <w:rFonts w:ascii="Times New Roman" w:eastAsia="宋体" w:hAnsi="宋体"/>
                <w:color w:val="000000"/>
                <w:sz w:val="18"/>
                <w:szCs w:val="21"/>
              </w:rPr>
              <w:t>）疗效不佳的重型再生障碍性贫血（</w:t>
            </w:r>
            <w:r>
              <w:rPr>
                <w:rFonts w:ascii="Times New Roman" w:eastAsia="宋体"/>
                <w:color w:val="000000"/>
                <w:sz w:val="18"/>
                <w:szCs w:val="21"/>
              </w:rPr>
              <w:t>SAA</w:t>
            </w:r>
            <w:r>
              <w:rPr>
                <w:rFonts w:ascii="Times New Roman" w:eastAsia="宋体" w:hAnsi="宋体"/>
                <w:color w:val="000000"/>
                <w:sz w:val="18"/>
                <w:szCs w:val="21"/>
              </w:rPr>
              <w:t>）成人患者。基于一项</w:t>
            </w:r>
            <w:r>
              <w:rPr>
                <w:rFonts w:ascii="Times New Roman" w:eastAsia="宋体"/>
                <w:color w:val="000000"/>
                <w:sz w:val="18"/>
                <w:szCs w:val="21"/>
              </w:rPr>
              <w:t>II</w:t>
            </w:r>
            <w:r>
              <w:rPr>
                <w:rFonts w:ascii="Times New Roman" w:eastAsia="宋体" w:hAnsi="宋体"/>
                <w:color w:val="000000"/>
                <w:sz w:val="18"/>
                <w:szCs w:val="21"/>
              </w:rPr>
              <w:t>期单臂试验的结果附条件批准本适应症。该适应症的完全批准将取决于正在进行的确证性临床试验的结果。</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30%</w:t>
            </w:r>
          </w:p>
        </w:tc>
      </w:tr>
      <w:tr w:rsidR="002D3004">
        <w:trPr>
          <w:trHeight w:val="128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6</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醋酸艾替班</w:t>
            </w:r>
            <w:proofErr w:type="gramStart"/>
            <w:r>
              <w:rPr>
                <w:rFonts w:ascii="Times New Roman" w:eastAsia="宋体" w:hAnsi="宋体"/>
                <w:color w:val="000000"/>
                <w:sz w:val="21"/>
                <w:szCs w:val="21"/>
              </w:rPr>
              <w:t>特</w:t>
            </w:r>
            <w:proofErr w:type="gramEnd"/>
            <w:r>
              <w:rPr>
                <w:rFonts w:ascii="Times New Roman" w:eastAsia="宋体" w:hAnsi="宋体"/>
                <w:color w:val="000000"/>
                <w:sz w:val="21"/>
                <w:szCs w:val="21"/>
              </w:rPr>
              <w:t>注射液</w:t>
            </w:r>
          </w:p>
        </w:tc>
        <w:tc>
          <w:tcPr>
            <w:tcW w:w="876" w:type="pct"/>
            <w:noWrap/>
            <w:vAlign w:val="center"/>
          </w:tcPr>
          <w:p w:rsidR="002D3004" w:rsidRDefault="0093795E">
            <w:pPr>
              <w:widowControl/>
              <w:spacing w:line="240" w:lineRule="exact"/>
              <w:jc w:val="center"/>
              <w:textAlignment w:val="top"/>
              <w:rPr>
                <w:rFonts w:ascii="Times New Roman" w:eastAsia="宋体"/>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hAnsi="宋体"/>
                <w:color w:val="000000"/>
                <w:sz w:val="18"/>
                <w:szCs w:val="21"/>
              </w:rPr>
              <w:t>用于治疗成人、青少年和</w:t>
            </w:r>
            <w:r>
              <w:rPr>
                <w:rFonts w:ascii="Times New Roman" w:eastAsia="宋体" w:hint="eastAsia"/>
                <w:color w:val="000000"/>
                <w:sz w:val="18"/>
                <w:szCs w:val="18"/>
              </w:rPr>
              <w:t>≥</w:t>
            </w:r>
            <w:r>
              <w:rPr>
                <w:rFonts w:ascii="Times New Roman" w:eastAsia="宋体"/>
                <w:color w:val="000000"/>
                <w:sz w:val="18"/>
                <w:szCs w:val="21"/>
              </w:rPr>
              <w:t>2</w:t>
            </w:r>
            <w:r>
              <w:rPr>
                <w:rFonts w:ascii="Times New Roman" w:eastAsia="宋体" w:hAnsi="宋体"/>
                <w:color w:val="000000"/>
                <w:sz w:val="18"/>
                <w:szCs w:val="21"/>
              </w:rPr>
              <w:t>岁儿童的遗传性血管性水肿（</w:t>
            </w:r>
            <w:r>
              <w:rPr>
                <w:rFonts w:ascii="Times New Roman" w:eastAsia="宋体"/>
                <w:color w:val="000000"/>
                <w:sz w:val="18"/>
                <w:szCs w:val="21"/>
              </w:rPr>
              <w:t>HAE</w:t>
            </w:r>
            <w:r>
              <w:rPr>
                <w:rFonts w:ascii="Times New Roman" w:eastAsia="宋体" w:hAnsi="宋体"/>
                <w:color w:val="000000"/>
                <w:sz w:val="18"/>
                <w:szCs w:val="21"/>
              </w:rPr>
              <w:t>）急性发作。</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30%</w:t>
            </w:r>
          </w:p>
        </w:tc>
      </w:tr>
      <w:tr w:rsidR="002D3004">
        <w:trPr>
          <w:trHeight w:val="947"/>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lastRenderedPageBreak/>
              <w:t>7</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注射用盐酸兰地洛尔</w:t>
            </w:r>
          </w:p>
        </w:tc>
        <w:tc>
          <w:tcPr>
            <w:tcW w:w="876" w:type="pct"/>
            <w:noWrap/>
            <w:vAlign w:val="center"/>
          </w:tcPr>
          <w:p w:rsidR="002D3004" w:rsidRDefault="0093795E">
            <w:pPr>
              <w:widowControl/>
              <w:spacing w:line="240" w:lineRule="exact"/>
              <w:jc w:val="left"/>
              <w:textAlignment w:val="top"/>
              <w:rPr>
                <w:rFonts w:ascii="Times New Roman" w:eastAsia="宋体"/>
                <w:color w:val="000000"/>
                <w:sz w:val="18"/>
                <w:szCs w:val="21"/>
              </w:rPr>
            </w:pPr>
            <w:r>
              <w:rPr>
                <w:rFonts w:ascii="Times New Roman" w:eastAsia="宋体"/>
                <w:color w:val="000000"/>
                <w:sz w:val="18"/>
                <w:szCs w:val="21"/>
              </w:rPr>
              <w:t>168</w:t>
            </w:r>
            <w:r>
              <w:rPr>
                <w:rFonts w:ascii="Times New Roman" w:eastAsia="宋体"/>
                <w:color w:val="000000"/>
                <w:sz w:val="18"/>
                <w:szCs w:val="21"/>
              </w:rPr>
              <w:t>元（</w:t>
            </w:r>
            <w:r>
              <w:rPr>
                <w:rFonts w:ascii="Times New Roman" w:eastAsia="宋体"/>
                <w:color w:val="000000"/>
                <w:sz w:val="18"/>
                <w:szCs w:val="21"/>
              </w:rPr>
              <w:t>50mg/</w:t>
            </w:r>
            <w:r>
              <w:rPr>
                <w:rFonts w:ascii="Times New Roman" w:eastAsia="宋体"/>
                <w:color w:val="000000"/>
                <w:sz w:val="18"/>
                <w:szCs w:val="21"/>
              </w:rPr>
              <w:t>支）</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1.</w:t>
            </w:r>
            <w:r>
              <w:rPr>
                <w:rFonts w:ascii="Times New Roman" w:eastAsia="宋体" w:hint="eastAsia"/>
                <w:color w:val="000000"/>
                <w:sz w:val="18"/>
                <w:szCs w:val="21"/>
              </w:rPr>
              <w:t xml:space="preserve"> </w:t>
            </w:r>
            <w:r>
              <w:rPr>
                <w:rFonts w:ascii="Times New Roman" w:eastAsia="宋体" w:hAnsi="宋体"/>
                <w:color w:val="000000"/>
                <w:sz w:val="18"/>
                <w:szCs w:val="21"/>
              </w:rPr>
              <w:t>手术过程中发生的下列快速性心律失常的紧急治疗：心房</w:t>
            </w:r>
            <w:proofErr w:type="gramStart"/>
            <w:r>
              <w:rPr>
                <w:rFonts w:ascii="Times New Roman" w:eastAsia="宋体" w:hAnsi="宋体"/>
                <w:color w:val="000000"/>
                <w:sz w:val="18"/>
                <w:szCs w:val="21"/>
              </w:rPr>
              <w:t>纤</w:t>
            </w:r>
            <w:proofErr w:type="gramEnd"/>
            <w:r>
              <w:rPr>
                <w:rFonts w:ascii="Times New Roman" w:eastAsia="宋体" w:hAnsi="宋体"/>
                <w:color w:val="000000"/>
                <w:sz w:val="18"/>
                <w:szCs w:val="21"/>
              </w:rPr>
              <w:t>颤、心房扑动、窦性心动过速。</w:t>
            </w:r>
            <w:r>
              <w:rPr>
                <w:rFonts w:ascii="Times New Roman" w:eastAsia="宋体"/>
                <w:color w:val="000000"/>
                <w:sz w:val="18"/>
                <w:szCs w:val="21"/>
              </w:rPr>
              <w:t>2.</w:t>
            </w:r>
            <w:r>
              <w:rPr>
                <w:rFonts w:ascii="Times New Roman" w:eastAsia="宋体" w:hint="eastAsia"/>
                <w:color w:val="000000"/>
                <w:sz w:val="18"/>
                <w:szCs w:val="21"/>
              </w:rPr>
              <w:t xml:space="preserve"> </w:t>
            </w:r>
            <w:r>
              <w:rPr>
                <w:rFonts w:ascii="Times New Roman" w:eastAsia="宋体" w:hAnsi="宋体"/>
                <w:color w:val="000000"/>
                <w:sz w:val="18"/>
                <w:szCs w:val="21"/>
              </w:rPr>
              <w:t>手术后循环系统动态监护时发生的快速性心律失常的紧急治疗：心房</w:t>
            </w:r>
            <w:proofErr w:type="gramStart"/>
            <w:r>
              <w:rPr>
                <w:rFonts w:ascii="Times New Roman" w:eastAsia="宋体" w:hAnsi="宋体"/>
                <w:color w:val="000000"/>
                <w:sz w:val="18"/>
                <w:szCs w:val="21"/>
              </w:rPr>
              <w:t>纤</w:t>
            </w:r>
            <w:proofErr w:type="gramEnd"/>
            <w:r>
              <w:rPr>
                <w:rFonts w:ascii="Times New Roman" w:eastAsia="宋体" w:hAnsi="宋体"/>
                <w:color w:val="000000"/>
                <w:sz w:val="18"/>
                <w:szCs w:val="21"/>
              </w:rPr>
              <w:t>颤、心房扑动、窦性心动过速。</w:t>
            </w:r>
            <w:r>
              <w:rPr>
                <w:rFonts w:ascii="Times New Roman" w:eastAsia="宋体"/>
                <w:color w:val="000000"/>
                <w:sz w:val="18"/>
                <w:szCs w:val="21"/>
              </w:rPr>
              <w:t>3.</w:t>
            </w:r>
            <w:r>
              <w:rPr>
                <w:rFonts w:ascii="Times New Roman" w:eastAsia="宋体" w:hint="eastAsia"/>
                <w:color w:val="000000"/>
                <w:sz w:val="18"/>
                <w:szCs w:val="21"/>
              </w:rPr>
              <w:t xml:space="preserve"> </w:t>
            </w:r>
            <w:r>
              <w:rPr>
                <w:rFonts w:ascii="Times New Roman" w:eastAsia="宋体" w:hAnsi="宋体"/>
                <w:color w:val="000000"/>
                <w:sz w:val="18"/>
                <w:szCs w:val="21"/>
              </w:rPr>
              <w:t>心功能不全患者发生下列快速性心律失常的治疗：心房</w:t>
            </w:r>
            <w:proofErr w:type="gramStart"/>
            <w:r>
              <w:rPr>
                <w:rFonts w:ascii="Times New Roman" w:eastAsia="宋体" w:hAnsi="宋体"/>
                <w:color w:val="000000"/>
                <w:sz w:val="18"/>
                <w:szCs w:val="21"/>
              </w:rPr>
              <w:t>纤</w:t>
            </w:r>
            <w:proofErr w:type="gramEnd"/>
            <w:r>
              <w:rPr>
                <w:rFonts w:ascii="Times New Roman" w:eastAsia="宋体" w:hAnsi="宋体"/>
                <w:color w:val="000000"/>
                <w:sz w:val="18"/>
                <w:szCs w:val="21"/>
              </w:rPr>
              <w:t>颤、心房扑动。</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10%</w:t>
            </w:r>
          </w:p>
        </w:tc>
      </w:tr>
      <w:tr w:rsidR="002D3004">
        <w:trPr>
          <w:trHeight w:val="668"/>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8</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氨氯地平叶酸片（</w:t>
            </w:r>
            <w:r>
              <w:rPr>
                <w:rFonts w:ascii="Times New Roman" w:eastAsia="宋体"/>
                <w:color w:val="000000"/>
                <w:sz w:val="21"/>
                <w:szCs w:val="21"/>
              </w:rPr>
              <w:t>II</w:t>
            </w:r>
            <w:r>
              <w:rPr>
                <w:rFonts w:ascii="Times New Roman" w:eastAsia="宋体" w:hAnsi="宋体"/>
                <w:color w:val="000000"/>
                <w:sz w:val="21"/>
                <w:szCs w:val="21"/>
              </w:rPr>
              <w:t>）</w:t>
            </w:r>
          </w:p>
        </w:tc>
        <w:tc>
          <w:tcPr>
            <w:tcW w:w="876" w:type="pct"/>
            <w:noWrap/>
            <w:vAlign w:val="center"/>
          </w:tcPr>
          <w:p w:rsidR="002D3004" w:rsidRDefault="0093795E">
            <w:pPr>
              <w:widowControl/>
              <w:spacing w:line="240" w:lineRule="exact"/>
              <w:jc w:val="left"/>
              <w:textAlignment w:val="top"/>
              <w:rPr>
                <w:rFonts w:ascii="Times New Roman" w:eastAsia="宋体"/>
                <w:color w:val="000000"/>
                <w:sz w:val="18"/>
                <w:szCs w:val="21"/>
              </w:rPr>
            </w:pPr>
            <w:r>
              <w:rPr>
                <w:rFonts w:ascii="Times New Roman" w:eastAsia="宋体"/>
                <w:color w:val="000000"/>
                <w:sz w:val="18"/>
                <w:szCs w:val="21"/>
              </w:rPr>
              <w:t>1.58</w:t>
            </w:r>
            <w:r>
              <w:rPr>
                <w:rFonts w:ascii="Times New Roman" w:eastAsia="宋体"/>
                <w:color w:val="000000"/>
                <w:sz w:val="18"/>
                <w:szCs w:val="21"/>
              </w:rPr>
              <w:t>元（每片含苯磺酸氨氯地平</w:t>
            </w:r>
            <w:r>
              <w:rPr>
                <w:rFonts w:ascii="Times New Roman" w:eastAsia="宋体"/>
                <w:color w:val="000000"/>
                <w:sz w:val="18"/>
                <w:szCs w:val="21"/>
              </w:rPr>
              <w:t>5mg</w:t>
            </w:r>
            <w:r>
              <w:rPr>
                <w:rFonts w:ascii="Times New Roman" w:eastAsia="宋体" w:hint="eastAsia"/>
                <w:color w:val="000000"/>
                <w:sz w:val="18"/>
                <w:szCs w:val="21"/>
              </w:rPr>
              <w:t>（</w:t>
            </w:r>
            <w:r>
              <w:rPr>
                <w:rFonts w:ascii="Times New Roman" w:eastAsia="宋体"/>
                <w:color w:val="000000"/>
                <w:sz w:val="18"/>
                <w:szCs w:val="21"/>
              </w:rPr>
              <w:t>以氨氯地平计</w:t>
            </w:r>
            <w:r>
              <w:rPr>
                <w:rFonts w:ascii="Times New Roman" w:eastAsia="宋体" w:hint="eastAsia"/>
                <w:color w:val="000000"/>
                <w:sz w:val="18"/>
                <w:szCs w:val="21"/>
              </w:rPr>
              <w:t>）</w:t>
            </w:r>
            <w:r>
              <w:rPr>
                <w:rFonts w:ascii="Times New Roman" w:eastAsia="宋体"/>
                <w:color w:val="000000"/>
                <w:sz w:val="18"/>
                <w:szCs w:val="21"/>
              </w:rPr>
              <w:t>与叶酸</w:t>
            </w:r>
            <w:r>
              <w:rPr>
                <w:rFonts w:ascii="Times New Roman" w:eastAsia="宋体"/>
                <w:color w:val="000000"/>
                <w:sz w:val="18"/>
                <w:szCs w:val="21"/>
              </w:rPr>
              <w:br/>
              <w:t>0.8mg</w:t>
            </w: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hAnsi="宋体"/>
                <w:color w:val="000000"/>
                <w:sz w:val="18"/>
                <w:szCs w:val="21"/>
              </w:rPr>
              <w:t>用于治疗伴有血浆同型半胱氨酸水平升高的原发性高血压。氨氯地平降低血压，叶酸降低血同型半胱氨酸水平，升高血叶酸水平。</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10%</w:t>
            </w:r>
          </w:p>
        </w:tc>
      </w:tr>
      <w:tr w:rsidR="002D3004">
        <w:trPr>
          <w:trHeight w:val="63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9</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hAnsi="宋体"/>
                <w:color w:val="000000"/>
                <w:sz w:val="21"/>
                <w:szCs w:val="21"/>
              </w:rPr>
              <w:t>阿齐沙坦片</w:t>
            </w:r>
          </w:p>
        </w:tc>
        <w:tc>
          <w:tcPr>
            <w:tcW w:w="876" w:type="pct"/>
            <w:noWrap/>
            <w:vAlign w:val="center"/>
          </w:tcPr>
          <w:p w:rsidR="002D3004" w:rsidRDefault="0093795E">
            <w:pPr>
              <w:widowControl/>
              <w:spacing w:line="240" w:lineRule="exact"/>
              <w:jc w:val="center"/>
              <w:textAlignment w:val="top"/>
              <w:rPr>
                <w:rFonts w:ascii="Times New Roman" w:eastAsia="宋体"/>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hAnsi="宋体"/>
                <w:color w:val="000000"/>
                <w:sz w:val="18"/>
                <w:szCs w:val="21"/>
              </w:rPr>
              <w:t>高血压。</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10%</w:t>
            </w:r>
          </w:p>
        </w:tc>
      </w:tr>
      <w:tr w:rsidR="002D3004">
        <w:trPr>
          <w:trHeight w:val="157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10</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hAnsi="宋体"/>
                <w:color w:val="000000"/>
                <w:sz w:val="21"/>
                <w:szCs w:val="21"/>
              </w:rPr>
              <w:t>海博麦布片</w:t>
            </w:r>
          </w:p>
        </w:tc>
        <w:tc>
          <w:tcPr>
            <w:tcW w:w="876" w:type="pct"/>
            <w:noWrap/>
            <w:vAlign w:val="center"/>
          </w:tcPr>
          <w:p w:rsidR="002D3004" w:rsidRDefault="0093795E">
            <w:pPr>
              <w:widowControl/>
              <w:spacing w:line="240" w:lineRule="exact"/>
              <w:ind w:left="-57" w:right="-57"/>
              <w:jc w:val="left"/>
              <w:textAlignment w:val="top"/>
              <w:rPr>
                <w:rFonts w:ascii="Times New Roman" w:eastAsia="宋体"/>
                <w:color w:val="000000"/>
                <w:sz w:val="18"/>
                <w:szCs w:val="21"/>
              </w:rPr>
            </w:pPr>
            <w:r>
              <w:rPr>
                <w:rFonts w:ascii="Times New Roman" w:eastAsia="宋体"/>
                <w:color w:val="000000"/>
                <w:sz w:val="18"/>
                <w:szCs w:val="21"/>
              </w:rPr>
              <w:t>6.7</w:t>
            </w:r>
            <w:r>
              <w:rPr>
                <w:rFonts w:ascii="Times New Roman" w:eastAsia="宋体"/>
                <w:color w:val="000000"/>
                <w:sz w:val="18"/>
                <w:szCs w:val="21"/>
              </w:rPr>
              <w:t>元（</w:t>
            </w:r>
            <w:r>
              <w:rPr>
                <w:rFonts w:ascii="Times New Roman" w:eastAsia="宋体"/>
                <w:color w:val="000000"/>
                <w:sz w:val="18"/>
                <w:szCs w:val="21"/>
              </w:rPr>
              <w:t>10mg/</w:t>
            </w:r>
            <w:r>
              <w:rPr>
                <w:rFonts w:ascii="Times New Roman" w:eastAsia="宋体"/>
                <w:color w:val="000000"/>
                <w:sz w:val="18"/>
                <w:szCs w:val="21"/>
              </w:rPr>
              <w:t>片）；</w:t>
            </w:r>
            <w:r>
              <w:rPr>
                <w:rFonts w:ascii="Times New Roman" w:eastAsia="宋体"/>
                <w:color w:val="000000"/>
                <w:sz w:val="18"/>
                <w:szCs w:val="21"/>
              </w:rPr>
              <w:br/>
              <w:t>11.39</w:t>
            </w:r>
            <w:r>
              <w:rPr>
                <w:rFonts w:ascii="Times New Roman" w:eastAsia="宋体"/>
                <w:color w:val="000000"/>
                <w:sz w:val="18"/>
                <w:szCs w:val="21"/>
              </w:rPr>
              <w:t>元（</w:t>
            </w:r>
            <w:r>
              <w:rPr>
                <w:rFonts w:ascii="Times New Roman" w:eastAsia="宋体"/>
                <w:color w:val="000000"/>
                <w:sz w:val="18"/>
                <w:szCs w:val="21"/>
              </w:rPr>
              <w:t>20mg/</w:t>
            </w:r>
            <w:r>
              <w:rPr>
                <w:rFonts w:ascii="Times New Roman" w:eastAsia="宋体"/>
                <w:color w:val="000000"/>
                <w:sz w:val="18"/>
                <w:szCs w:val="21"/>
              </w:rPr>
              <w:t>片）</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hAnsi="宋体"/>
                <w:color w:val="000000"/>
                <w:sz w:val="18"/>
                <w:szCs w:val="21"/>
              </w:rPr>
              <w:t>本品作为饮食控制以外的辅助治疗，可单独或与</w:t>
            </w:r>
            <w:r>
              <w:rPr>
                <w:rFonts w:ascii="Times New Roman" w:eastAsia="宋体"/>
                <w:color w:val="000000"/>
                <w:sz w:val="18"/>
                <w:szCs w:val="21"/>
              </w:rPr>
              <w:t>HMG-CoA</w:t>
            </w:r>
            <w:r>
              <w:rPr>
                <w:rFonts w:ascii="Times New Roman" w:eastAsia="宋体" w:hAnsi="宋体"/>
                <w:color w:val="000000"/>
                <w:sz w:val="18"/>
                <w:szCs w:val="21"/>
              </w:rPr>
              <w:t>还原酶抑制剂（他</w:t>
            </w:r>
            <w:proofErr w:type="gramStart"/>
            <w:r>
              <w:rPr>
                <w:rFonts w:ascii="Times New Roman" w:eastAsia="宋体" w:hAnsi="宋体"/>
                <w:color w:val="000000"/>
                <w:sz w:val="18"/>
                <w:szCs w:val="21"/>
              </w:rPr>
              <w:t>汀</w:t>
            </w:r>
            <w:proofErr w:type="gramEnd"/>
            <w:r>
              <w:rPr>
                <w:rFonts w:ascii="Times New Roman" w:eastAsia="宋体" w:hAnsi="宋体"/>
                <w:color w:val="000000"/>
                <w:sz w:val="18"/>
                <w:szCs w:val="21"/>
              </w:rPr>
              <w:t>类）联合用于治疗原发性（杂合子家族性或非家族性）高胆固醇血症，可降低总胆固醇（</w:t>
            </w:r>
            <w:r>
              <w:rPr>
                <w:rFonts w:ascii="Times New Roman" w:eastAsia="宋体"/>
                <w:color w:val="000000"/>
                <w:sz w:val="18"/>
                <w:szCs w:val="21"/>
              </w:rPr>
              <w:t>TC</w:t>
            </w:r>
            <w:r>
              <w:rPr>
                <w:rFonts w:ascii="Times New Roman" w:eastAsia="宋体" w:hAnsi="宋体"/>
                <w:color w:val="000000"/>
                <w:sz w:val="18"/>
                <w:szCs w:val="21"/>
              </w:rPr>
              <w:t>）、低密度脂蛋白胆固醇（</w:t>
            </w:r>
            <w:r>
              <w:rPr>
                <w:rFonts w:ascii="Times New Roman" w:eastAsia="宋体"/>
                <w:color w:val="000000"/>
                <w:sz w:val="18"/>
                <w:szCs w:val="21"/>
              </w:rPr>
              <w:t>LDL-C</w:t>
            </w:r>
            <w:r>
              <w:rPr>
                <w:rFonts w:ascii="Times New Roman" w:eastAsia="宋体" w:hAnsi="宋体"/>
                <w:color w:val="000000"/>
                <w:sz w:val="18"/>
                <w:szCs w:val="21"/>
              </w:rPr>
              <w:t>）、载脂蛋白</w:t>
            </w:r>
            <w:r>
              <w:rPr>
                <w:rFonts w:ascii="Times New Roman" w:eastAsia="宋体"/>
                <w:color w:val="000000"/>
                <w:sz w:val="18"/>
                <w:szCs w:val="21"/>
              </w:rPr>
              <w:t>B</w:t>
            </w:r>
            <w:r>
              <w:rPr>
                <w:rFonts w:ascii="Times New Roman" w:eastAsia="宋体" w:hAnsi="宋体"/>
                <w:color w:val="000000"/>
                <w:sz w:val="18"/>
                <w:szCs w:val="21"/>
              </w:rPr>
              <w:t>（</w:t>
            </w:r>
            <w:r>
              <w:rPr>
                <w:rFonts w:ascii="Times New Roman" w:eastAsia="宋体"/>
                <w:color w:val="000000"/>
                <w:sz w:val="18"/>
                <w:szCs w:val="21"/>
              </w:rPr>
              <w:t>Apo B</w:t>
            </w:r>
            <w:r>
              <w:rPr>
                <w:rFonts w:ascii="Times New Roman" w:eastAsia="宋体" w:hAnsi="宋体"/>
                <w:color w:val="000000"/>
                <w:sz w:val="18"/>
                <w:szCs w:val="21"/>
              </w:rPr>
              <w:t>）水平。</w:t>
            </w:r>
          </w:p>
        </w:tc>
        <w:tc>
          <w:tcPr>
            <w:tcW w:w="396"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10%</w:t>
            </w:r>
          </w:p>
        </w:tc>
      </w:tr>
      <w:tr w:rsidR="002D3004">
        <w:trPr>
          <w:trHeight w:val="645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11</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依</w:t>
            </w:r>
            <w:proofErr w:type="gramStart"/>
            <w:r>
              <w:rPr>
                <w:rFonts w:ascii="Times New Roman" w:eastAsia="宋体" w:hAnsi="宋体"/>
                <w:color w:val="000000"/>
                <w:sz w:val="21"/>
                <w:szCs w:val="21"/>
              </w:rPr>
              <w:t>洛尤单</w:t>
            </w:r>
            <w:proofErr w:type="gramEnd"/>
            <w:r>
              <w:rPr>
                <w:rFonts w:ascii="Times New Roman" w:eastAsia="宋体" w:hAnsi="宋体"/>
                <w:color w:val="000000"/>
                <w:sz w:val="21"/>
                <w:szCs w:val="21"/>
              </w:rPr>
              <w:t>抗注射液</w:t>
            </w:r>
          </w:p>
        </w:tc>
        <w:tc>
          <w:tcPr>
            <w:tcW w:w="876" w:type="pct"/>
            <w:noWrap/>
            <w:vAlign w:val="center"/>
          </w:tcPr>
          <w:p w:rsidR="002D3004" w:rsidRDefault="0093795E">
            <w:pPr>
              <w:widowControl/>
              <w:spacing w:line="240" w:lineRule="exact"/>
              <w:jc w:val="center"/>
              <w:textAlignment w:val="top"/>
              <w:rPr>
                <w:rFonts w:ascii="Times New Roman" w:eastAsia="宋体"/>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1.</w:t>
            </w:r>
            <w:r>
              <w:rPr>
                <w:rFonts w:ascii="Times New Roman" w:eastAsia="宋体" w:hint="eastAsia"/>
                <w:color w:val="000000"/>
                <w:sz w:val="18"/>
                <w:szCs w:val="21"/>
              </w:rPr>
              <w:t xml:space="preserve"> </w:t>
            </w:r>
            <w:r>
              <w:rPr>
                <w:rFonts w:ascii="Times New Roman" w:eastAsia="宋体" w:hAnsi="宋体"/>
                <w:color w:val="000000"/>
                <w:sz w:val="18"/>
                <w:szCs w:val="21"/>
              </w:rPr>
              <w:t>降低心血管事件的风险：在已有动脉粥样硬化性心血管疾病的成人患者中，降低心肌梗死、卒中以及冠脉血运重建的风险。通过：与最大耐受剂量的他</w:t>
            </w:r>
            <w:proofErr w:type="gramStart"/>
            <w:r>
              <w:rPr>
                <w:rFonts w:ascii="Times New Roman" w:eastAsia="宋体" w:hAnsi="宋体"/>
                <w:color w:val="000000"/>
                <w:sz w:val="18"/>
                <w:szCs w:val="21"/>
              </w:rPr>
              <w:t>汀</w:t>
            </w:r>
            <w:proofErr w:type="gramEnd"/>
            <w:r>
              <w:rPr>
                <w:rFonts w:ascii="Times New Roman" w:eastAsia="宋体" w:hAnsi="宋体"/>
                <w:color w:val="000000"/>
                <w:sz w:val="18"/>
                <w:szCs w:val="21"/>
              </w:rPr>
              <w:t>类药物联合用药，伴随或不伴随其他降脂疗法，或者在他</w:t>
            </w:r>
            <w:proofErr w:type="gramStart"/>
            <w:r>
              <w:rPr>
                <w:rFonts w:ascii="Times New Roman" w:eastAsia="宋体" w:hAnsi="宋体"/>
                <w:color w:val="000000"/>
                <w:sz w:val="18"/>
                <w:szCs w:val="21"/>
              </w:rPr>
              <w:t>汀</w:t>
            </w:r>
            <w:proofErr w:type="gramEnd"/>
            <w:r>
              <w:rPr>
                <w:rFonts w:ascii="Times New Roman" w:eastAsia="宋体" w:hAnsi="宋体"/>
                <w:color w:val="000000"/>
                <w:sz w:val="18"/>
                <w:szCs w:val="21"/>
              </w:rPr>
              <w:t>类药物</w:t>
            </w:r>
            <w:proofErr w:type="gramStart"/>
            <w:r>
              <w:rPr>
                <w:rFonts w:ascii="Times New Roman" w:eastAsia="宋体" w:hAnsi="宋体"/>
                <w:color w:val="000000"/>
                <w:sz w:val="18"/>
                <w:szCs w:val="21"/>
              </w:rPr>
              <w:t>不</w:t>
            </w:r>
            <w:proofErr w:type="gramEnd"/>
            <w:r>
              <w:rPr>
                <w:rFonts w:ascii="Times New Roman" w:eastAsia="宋体" w:hAnsi="宋体"/>
                <w:color w:val="000000"/>
                <w:sz w:val="18"/>
                <w:szCs w:val="21"/>
              </w:rPr>
              <w:t>耐受或禁忌使用的患者中，单独用药或与其他降脂疗法联合用药。</w:t>
            </w:r>
            <w:r>
              <w:rPr>
                <w:rFonts w:ascii="Times New Roman" w:eastAsia="宋体"/>
                <w:color w:val="000000"/>
                <w:sz w:val="18"/>
                <w:szCs w:val="21"/>
              </w:rPr>
              <w:t>2.</w:t>
            </w:r>
            <w:r>
              <w:rPr>
                <w:rFonts w:ascii="Times New Roman" w:eastAsia="宋体" w:hint="eastAsia"/>
                <w:color w:val="000000"/>
                <w:sz w:val="18"/>
                <w:szCs w:val="21"/>
              </w:rPr>
              <w:t xml:space="preserve"> </w:t>
            </w:r>
            <w:r>
              <w:rPr>
                <w:rFonts w:ascii="Times New Roman" w:eastAsia="宋体" w:hAnsi="宋体"/>
                <w:color w:val="000000"/>
                <w:sz w:val="18"/>
                <w:szCs w:val="21"/>
              </w:rPr>
              <w:t>原发性高胆固醇血症（包括杂合子型家族性高胆固醇血症）和混合型血脂异常：可作为饮食的辅助疗法，用于成人原发性高胆固醇血症</w:t>
            </w:r>
            <w:r>
              <w:rPr>
                <w:rFonts w:ascii="Times New Roman" w:eastAsia="宋体"/>
                <w:color w:val="000000"/>
                <w:sz w:val="18"/>
                <w:szCs w:val="21"/>
              </w:rPr>
              <w:t>（</w:t>
            </w:r>
            <w:r>
              <w:rPr>
                <w:rFonts w:ascii="Times New Roman" w:eastAsia="宋体" w:hAnsi="宋体"/>
                <w:color w:val="000000"/>
                <w:sz w:val="18"/>
                <w:szCs w:val="21"/>
              </w:rPr>
              <w:t>杂合子家族性和非家族性</w:t>
            </w:r>
            <w:r>
              <w:rPr>
                <w:rFonts w:ascii="Times New Roman" w:eastAsia="宋体"/>
                <w:color w:val="000000"/>
                <w:sz w:val="18"/>
                <w:szCs w:val="21"/>
              </w:rPr>
              <w:t>）</w:t>
            </w:r>
            <w:r>
              <w:rPr>
                <w:rFonts w:ascii="Times New Roman" w:eastAsia="宋体" w:hAnsi="宋体"/>
                <w:color w:val="000000"/>
                <w:sz w:val="18"/>
                <w:szCs w:val="21"/>
              </w:rPr>
              <w:t>或混合型血脂异常患者的治疗，以降低低密度脂蛋白胆固醇</w:t>
            </w:r>
            <w:r>
              <w:rPr>
                <w:rFonts w:ascii="Times New Roman" w:eastAsia="宋体" w:hint="eastAsia"/>
                <w:color w:val="000000"/>
                <w:sz w:val="18"/>
                <w:szCs w:val="21"/>
              </w:rPr>
              <w:t>（</w:t>
            </w:r>
            <w:r>
              <w:rPr>
                <w:rFonts w:ascii="Times New Roman" w:eastAsia="宋体"/>
                <w:color w:val="000000"/>
                <w:sz w:val="18"/>
                <w:szCs w:val="21"/>
              </w:rPr>
              <w:t>LDL-C</w:t>
            </w:r>
            <w:r>
              <w:rPr>
                <w:rFonts w:ascii="Times New Roman" w:eastAsia="宋体" w:hint="eastAsia"/>
                <w:color w:val="000000"/>
                <w:sz w:val="18"/>
                <w:szCs w:val="21"/>
              </w:rPr>
              <w:t>）</w:t>
            </w:r>
            <w:r>
              <w:rPr>
                <w:rFonts w:ascii="Times New Roman" w:eastAsia="宋体" w:hAnsi="宋体"/>
                <w:color w:val="000000"/>
                <w:sz w:val="18"/>
                <w:szCs w:val="21"/>
              </w:rPr>
              <w:t>水平：在接受最大</w:t>
            </w:r>
            <w:r>
              <w:rPr>
                <w:rFonts w:ascii="Times New Roman" w:eastAsia="宋体" w:hAnsi="宋体"/>
                <w:color w:val="000000"/>
                <w:sz w:val="18"/>
                <w:szCs w:val="21"/>
              </w:rPr>
              <w:t>耐受剂量的他</w:t>
            </w:r>
            <w:proofErr w:type="gramStart"/>
            <w:r>
              <w:rPr>
                <w:rFonts w:ascii="Times New Roman" w:eastAsia="宋体" w:hAnsi="宋体"/>
                <w:color w:val="000000"/>
                <w:sz w:val="18"/>
                <w:szCs w:val="21"/>
              </w:rPr>
              <w:t>汀</w:t>
            </w:r>
            <w:proofErr w:type="gramEnd"/>
            <w:r>
              <w:rPr>
                <w:rFonts w:ascii="Times New Roman" w:eastAsia="宋体" w:hAnsi="宋体"/>
                <w:color w:val="000000"/>
                <w:sz w:val="18"/>
                <w:szCs w:val="21"/>
              </w:rPr>
              <w:t>类药物治疗仍无法达到</w:t>
            </w:r>
            <w:r>
              <w:rPr>
                <w:rFonts w:ascii="Times New Roman" w:eastAsia="宋体"/>
                <w:color w:val="000000"/>
                <w:sz w:val="18"/>
                <w:szCs w:val="21"/>
              </w:rPr>
              <w:t>LDL-C</w:t>
            </w:r>
            <w:r>
              <w:rPr>
                <w:rFonts w:ascii="Times New Roman" w:eastAsia="宋体" w:hAnsi="宋体"/>
                <w:color w:val="000000"/>
                <w:sz w:val="18"/>
                <w:szCs w:val="21"/>
              </w:rPr>
              <w:t>目标的患者中，与他</w:t>
            </w:r>
            <w:proofErr w:type="gramStart"/>
            <w:r>
              <w:rPr>
                <w:rFonts w:ascii="Times New Roman" w:eastAsia="宋体" w:hAnsi="宋体"/>
                <w:color w:val="000000"/>
                <w:sz w:val="18"/>
                <w:szCs w:val="21"/>
              </w:rPr>
              <w:t>汀</w:t>
            </w:r>
            <w:proofErr w:type="gramEnd"/>
            <w:r>
              <w:rPr>
                <w:rFonts w:ascii="Times New Roman" w:eastAsia="宋体" w:hAnsi="宋体"/>
                <w:color w:val="000000"/>
                <w:sz w:val="18"/>
                <w:szCs w:val="21"/>
              </w:rPr>
              <w:t>类药物、或者与他</w:t>
            </w:r>
            <w:proofErr w:type="gramStart"/>
            <w:r>
              <w:rPr>
                <w:rFonts w:ascii="Times New Roman" w:eastAsia="宋体" w:hAnsi="宋体"/>
                <w:color w:val="000000"/>
                <w:sz w:val="18"/>
                <w:szCs w:val="21"/>
              </w:rPr>
              <w:t>汀</w:t>
            </w:r>
            <w:proofErr w:type="gramEnd"/>
            <w:r>
              <w:rPr>
                <w:rFonts w:ascii="Times New Roman" w:eastAsia="宋体" w:hAnsi="宋体"/>
                <w:color w:val="000000"/>
                <w:sz w:val="18"/>
                <w:szCs w:val="21"/>
              </w:rPr>
              <w:t>类药物及其他降脂疗法联合用药，或者在他</w:t>
            </w:r>
            <w:proofErr w:type="gramStart"/>
            <w:r>
              <w:rPr>
                <w:rFonts w:ascii="Times New Roman" w:eastAsia="宋体" w:hAnsi="宋体"/>
                <w:color w:val="000000"/>
                <w:sz w:val="18"/>
                <w:szCs w:val="21"/>
              </w:rPr>
              <w:t>汀</w:t>
            </w:r>
            <w:proofErr w:type="gramEnd"/>
            <w:r>
              <w:rPr>
                <w:rFonts w:ascii="Times New Roman" w:eastAsia="宋体" w:hAnsi="宋体"/>
                <w:color w:val="000000"/>
                <w:sz w:val="18"/>
                <w:szCs w:val="21"/>
              </w:rPr>
              <w:t>类药物</w:t>
            </w:r>
            <w:proofErr w:type="gramStart"/>
            <w:r>
              <w:rPr>
                <w:rFonts w:ascii="Times New Roman" w:eastAsia="宋体" w:hAnsi="宋体"/>
                <w:color w:val="000000"/>
                <w:sz w:val="18"/>
                <w:szCs w:val="21"/>
              </w:rPr>
              <w:t>不</w:t>
            </w:r>
            <w:proofErr w:type="gramEnd"/>
            <w:r>
              <w:rPr>
                <w:rFonts w:ascii="Times New Roman" w:eastAsia="宋体" w:hAnsi="宋体"/>
                <w:color w:val="000000"/>
                <w:sz w:val="18"/>
                <w:szCs w:val="21"/>
              </w:rPr>
              <w:t>耐受或禁忌使用的患者中，单独用药或与其他降脂疗法联合用药。</w:t>
            </w:r>
            <w:r>
              <w:rPr>
                <w:rFonts w:ascii="Times New Roman" w:eastAsia="宋体"/>
                <w:color w:val="000000"/>
                <w:sz w:val="18"/>
                <w:szCs w:val="21"/>
              </w:rPr>
              <w:t>3.</w:t>
            </w:r>
            <w:r>
              <w:rPr>
                <w:rFonts w:ascii="Times New Roman" w:eastAsia="宋体" w:hint="eastAsia"/>
                <w:color w:val="000000"/>
                <w:sz w:val="18"/>
                <w:szCs w:val="21"/>
              </w:rPr>
              <w:t xml:space="preserve"> </w:t>
            </w:r>
            <w:r>
              <w:rPr>
                <w:rFonts w:ascii="Times New Roman" w:eastAsia="宋体" w:hAnsi="宋体"/>
                <w:color w:val="000000"/>
                <w:sz w:val="18"/>
                <w:szCs w:val="21"/>
              </w:rPr>
              <w:t>纯合子型家族性高胆固醇血症：用于成人或</w:t>
            </w:r>
            <w:r>
              <w:rPr>
                <w:rFonts w:ascii="Times New Roman" w:eastAsia="宋体"/>
                <w:color w:val="000000"/>
                <w:sz w:val="18"/>
                <w:szCs w:val="21"/>
              </w:rPr>
              <w:t>12</w:t>
            </w:r>
            <w:r>
              <w:rPr>
                <w:rFonts w:ascii="Times New Roman" w:eastAsia="宋体" w:hAnsi="宋体"/>
                <w:color w:val="000000"/>
                <w:sz w:val="18"/>
                <w:szCs w:val="21"/>
              </w:rPr>
              <w:t>岁以上青少年的纯合子型家族性高胆固醇血症。可与饮食疗法和其他降低密度脂蛋白胆固醇（</w:t>
            </w:r>
            <w:r>
              <w:rPr>
                <w:rFonts w:ascii="Times New Roman" w:eastAsia="宋体"/>
                <w:color w:val="000000"/>
                <w:sz w:val="18"/>
                <w:szCs w:val="21"/>
              </w:rPr>
              <w:t>LDL-C</w:t>
            </w:r>
            <w:r>
              <w:rPr>
                <w:rFonts w:ascii="Times New Roman" w:eastAsia="宋体" w:hAnsi="宋体"/>
                <w:color w:val="000000"/>
                <w:sz w:val="18"/>
                <w:szCs w:val="21"/>
              </w:rPr>
              <w:t>）治疗（例如他</w:t>
            </w:r>
            <w:proofErr w:type="gramStart"/>
            <w:r>
              <w:rPr>
                <w:rFonts w:ascii="Times New Roman" w:eastAsia="宋体" w:hAnsi="宋体"/>
                <w:color w:val="000000"/>
                <w:sz w:val="18"/>
                <w:szCs w:val="21"/>
              </w:rPr>
              <w:t>汀</w:t>
            </w:r>
            <w:proofErr w:type="gramEnd"/>
            <w:r>
              <w:rPr>
                <w:rFonts w:ascii="Times New Roman" w:eastAsia="宋体" w:hAnsi="宋体"/>
                <w:color w:val="000000"/>
                <w:sz w:val="18"/>
                <w:szCs w:val="21"/>
              </w:rPr>
              <w:t>类药物、</w:t>
            </w:r>
            <w:proofErr w:type="gramStart"/>
            <w:r>
              <w:rPr>
                <w:rFonts w:ascii="Times New Roman" w:eastAsia="宋体" w:hAnsi="宋体"/>
                <w:color w:val="000000"/>
                <w:sz w:val="18"/>
                <w:szCs w:val="21"/>
              </w:rPr>
              <w:t>依折麦布</w:t>
            </w:r>
            <w:proofErr w:type="gramEnd"/>
            <w:r>
              <w:rPr>
                <w:rFonts w:ascii="Times New Roman" w:eastAsia="宋体" w:hAnsi="宋体"/>
                <w:color w:val="000000"/>
                <w:sz w:val="18"/>
                <w:szCs w:val="21"/>
              </w:rPr>
              <w:t>、</w:t>
            </w:r>
            <w:r>
              <w:rPr>
                <w:rFonts w:ascii="Times New Roman" w:eastAsia="宋体"/>
                <w:color w:val="000000"/>
                <w:sz w:val="18"/>
                <w:szCs w:val="21"/>
              </w:rPr>
              <w:t>LDL</w:t>
            </w:r>
            <w:r>
              <w:rPr>
                <w:rFonts w:ascii="Times New Roman" w:eastAsia="宋体" w:hAnsi="宋体"/>
                <w:color w:val="000000"/>
                <w:sz w:val="18"/>
                <w:szCs w:val="21"/>
              </w:rPr>
              <w:t>分离术）合用，用于患有纯合子型家族性高胆固醇血症（</w:t>
            </w:r>
            <w:proofErr w:type="spellStart"/>
            <w:r>
              <w:rPr>
                <w:rFonts w:ascii="Times New Roman" w:eastAsia="宋体"/>
                <w:color w:val="000000"/>
                <w:sz w:val="18"/>
                <w:szCs w:val="21"/>
              </w:rPr>
              <w:t>HoFH</w:t>
            </w:r>
            <w:proofErr w:type="spellEnd"/>
            <w:r>
              <w:rPr>
                <w:rFonts w:ascii="Times New Roman" w:eastAsia="宋体" w:hAnsi="宋体"/>
                <w:color w:val="000000"/>
                <w:sz w:val="18"/>
                <w:szCs w:val="21"/>
              </w:rPr>
              <w:t>）且需要进一步降低</w:t>
            </w:r>
            <w:r>
              <w:rPr>
                <w:rFonts w:ascii="Times New Roman" w:eastAsia="宋体"/>
                <w:color w:val="000000"/>
                <w:sz w:val="18"/>
                <w:szCs w:val="21"/>
              </w:rPr>
              <w:t>LDL- C</w:t>
            </w:r>
            <w:r>
              <w:rPr>
                <w:rFonts w:ascii="Times New Roman" w:eastAsia="宋体" w:hAnsi="宋体"/>
                <w:color w:val="000000"/>
                <w:sz w:val="18"/>
                <w:szCs w:val="21"/>
              </w:rPr>
              <w:t>的患者。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4337"/>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lastRenderedPageBreak/>
              <w:t>12</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阿利西尤单抗注射液</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1.</w:t>
            </w:r>
            <w:r>
              <w:rPr>
                <w:rFonts w:ascii="Times New Roman" w:eastAsia="宋体" w:hint="eastAsia"/>
                <w:color w:val="000000"/>
                <w:sz w:val="18"/>
                <w:szCs w:val="21"/>
              </w:rPr>
              <w:t xml:space="preserve"> </w:t>
            </w:r>
            <w:r>
              <w:rPr>
                <w:rFonts w:ascii="Times New Roman" w:eastAsia="宋体"/>
                <w:color w:val="000000"/>
                <w:sz w:val="18"/>
                <w:szCs w:val="21"/>
              </w:rPr>
              <w:t>心血管事件预防：在确诊为动脉粥样硬化性心血管疾病的成人患者中，降低心肌梗死、卒中、需要住院的不稳定性心绞痛的风险。通</w:t>
            </w:r>
            <w:r>
              <w:rPr>
                <w:rFonts w:ascii="Times New Roman" w:eastAsia="宋体"/>
                <w:color w:val="000000"/>
                <w:sz w:val="18"/>
                <w:szCs w:val="21"/>
              </w:rPr>
              <w:t xml:space="preserve"> </w:t>
            </w:r>
            <w:r>
              <w:rPr>
                <w:rFonts w:ascii="Times New Roman" w:eastAsia="宋体"/>
                <w:color w:val="000000"/>
                <w:sz w:val="18"/>
                <w:szCs w:val="21"/>
              </w:rPr>
              <w:t>过：与最大耐受剂量的他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类药物联合用药，伴随或不伴随其他降脂疗法，或者在他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w:t>
            </w:r>
            <w:proofErr w:type="gramStart"/>
            <w:r>
              <w:rPr>
                <w:rFonts w:ascii="Times New Roman" w:eastAsia="宋体"/>
                <w:color w:val="000000"/>
                <w:sz w:val="18"/>
                <w:szCs w:val="21"/>
              </w:rPr>
              <w:t>不</w:t>
            </w:r>
            <w:proofErr w:type="gramEnd"/>
            <w:r>
              <w:rPr>
                <w:rFonts w:ascii="Times New Roman" w:eastAsia="宋体"/>
                <w:color w:val="000000"/>
                <w:sz w:val="18"/>
                <w:szCs w:val="21"/>
              </w:rPr>
              <w:t>耐受或禁忌使用的患者中，单独用药或与其他降脂疗法联合用药。</w:t>
            </w:r>
            <w:r>
              <w:rPr>
                <w:rFonts w:ascii="Times New Roman" w:eastAsia="宋体"/>
                <w:color w:val="000000"/>
                <w:sz w:val="18"/>
                <w:szCs w:val="21"/>
              </w:rPr>
              <w:t>2.</w:t>
            </w:r>
            <w:r>
              <w:rPr>
                <w:rFonts w:ascii="Times New Roman" w:eastAsia="宋体" w:hint="eastAsia"/>
                <w:color w:val="000000"/>
                <w:sz w:val="18"/>
                <w:szCs w:val="21"/>
              </w:rPr>
              <w:t xml:space="preserve"> </w:t>
            </w:r>
            <w:r>
              <w:rPr>
                <w:rFonts w:ascii="Times New Roman" w:eastAsia="宋体"/>
                <w:color w:val="000000"/>
                <w:sz w:val="18"/>
                <w:szCs w:val="21"/>
              </w:rPr>
              <w:t>原发性高胆固醇血症（包括杂合子型家族性和非家族性）和混合型血脂异常：可作为饮食的辅助疗法，用于成人原发性高胆固醇血症（杂合子型家族性和非家族性）或混合型血脂异常患者的治疗，以降低低密度脂蛋白胆固醇（</w:t>
            </w:r>
            <w:r>
              <w:rPr>
                <w:rFonts w:ascii="Times New Roman" w:eastAsia="宋体"/>
                <w:color w:val="000000"/>
                <w:sz w:val="18"/>
                <w:szCs w:val="21"/>
              </w:rPr>
              <w:t>LDL-C</w:t>
            </w:r>
            <w:r>
              <w:rPr>
                <w:rFonts w:ascii="Times New Roman" w:eastAsia="宋体"/>
                <w:color w:val="000000"/>
                <w:sz w:val="18"/>
                <w:szCs w:val="21"/>
              </w:rPr>
              <w:t>）水平。在接受最大耐受剂量的他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类药物治疗仍无法达到</w:t>
            </w:r>
            <w:r>
              <w:rPr>
                <w:rFonts w:ascii="Times New Roman" w:eastAsia="宋体"/>
                <w:color w:val="000000"/>
                <w:sz w:val="18"/>
                <w:szCs w:val="21"/>
              </w:rPr>
              <w:t>LDL-C</w:t>
            </w:r>
            <w:r>
              <w:rPr>
                <w:rFonts w:ascii="Times New Roman" w:eastAsia="宋体"/>
                <w:color w:val="000000"/>
                <w:sz w:val="18"/>
                <w:szCs w:val="21"/>
              </w:rPr>
              <w:t>目标的患者中，与他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类药物、或者与他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类药物及其他降脂疗法联合用药，或者在他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w:t>
            </w:r>
            <w:proofErr w:type="gramStart"/>
            <w:r>
              <w:rPr>
                <w:rFonts w:ascii="Times New Roman" w:eastAsia="宋体"/>
                <w:color w:val="000000"/>
                <w:sz w:val="18"/>
                <w:szCs w:val="21"/>
              </w:rPr>
              <w:t>不</w:t>
            </w:r>
            <w:proofErr w:type="gramEnd"/>
            <w:r>
              <w:rPr>
                <w:rFonts w:ascii="Times New Roman" w:eastAsia="宋体"/>
                <w:color w:val="000000"/>
                <w:sz w:val="18"/>
                <w:szCs w:val="21"/>
              </w:rPr>
              <w:t>耐受或禁忌使用的患者中，单独用药或与其他降脂疗法联合用药。</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45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13</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hAnsi="宋体"/>
                <w:color w:val="000000"/>
                <w:sz w:val="21"/>
                <w:szCs w:val="21"/>
              </w:rPr>
              <w:t>克</w:t>
            </w:r>
            <w:proofErr w:type="gramStart"/>
            <w:r>
              <w:rPr>
                <w:rFonts w:ascii="Times New Roman" w:eastAsia="宋体" w:hAnsi="宋体"/>
                <w:color w:val="000000"/>
                <w:sz w:val="21"/>
                <w:szCs w:val="21"/>
              </w:rPr>
              <w:t>立硼罗软膏</w:t>
            </w:r>
            <w:proofErr w:type="gramEnd"/>
          </w:p>
        </w:tc>
        <w:tc>
          <w:tcPr>
            <w:tcW w:w="876" w:type="pct"/>
            <w:noWrap/>
            <w:vAlign w:val="center"/>
          </w:tcPr>
          <w:p w:rsidR="002D3004" w:rsidRDefault="0093795E">
            <w:pPr>
              <w:widowControl/>
              <w:spacing w:line="240" w:lineRule="exact"/>
              <w:jc w:val="center"/>
              <w:textAlignment w:val="center"/>
              <w:rPr>
                <w:rFonts w:ascii="Times New Roman" w:eastAsia="宋体"/>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适用于</w:t>
            </w:r>
            <w:r>
              <w:rPr>
                <w:rFonts w:ascii="Times New Roman" w:eastAsia="宋体"/>
                <w:color w:val="000000"/>
                <w:sz w:val="18"/>
                <w:szCs w:val="21"/>
              </w:rPr>
              <w:t>2</w:t>
            </w:r>
            <w:r>
              <w:rPr>
                <w:rFonts w:ascii="Times New Roman" w:eastAsia="宋体"/>
                <w:color w:val="000000"/>
                <w:sz w:val="18"/>
                <w:szCs w:val="21"/>
              </w:rPr>
              <w:t>岁及以上轻度至中度特应性皮炎患者的局部外用治疗。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41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14</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240" w:lineRule="exact"/>
              <w:textAlignment w:val="center"/>
              <w:rPr>
                <w:rFonts w:ascii="Times New Roman" w:eastAsia="宋体"/>
                <w:color w:val="000000"/>
                <w:sz w:val="21"/>
                <w:szCs w:val="21"/>
              </w:rPr>
            </w:pPr>
            <w:r>
              <w:rPr>
                <w:rFonts w:ascii="Times New Roman" w:eastAsia="宋体" w:hAnsi="宋体"/>
                <w:color w:val="000000"/>
                <w:sz w:val="21"/>
                <w:szCs w:val="21"/>
              </w:rPr>
              <w:t>克霉</w:t>
            </w:r>
            <w:proofErr w:type="gramStart"/>
            <w:r>
              <w:rPr>
                <w:rFonts w:ascii="Times New Roman" w:eastAsia="宋体" w:hAnsi="宋体"/>
                <w:color w:val="000000"/>
                <w:sz w:val="21"/>
                <w:szCs w:val="21"/>
              </w:rPr>
              <w:t>唑</w:t>
            </w:r>
            <w:proofErr w:type="gramEnd"/>
            <w:r>
              <w:rPr>
                <w:rFonts w:ascii="Times New Roman" w:eastAsia="宋体" w:hAnsi="宋体"/>
                <w:color w:val="000000"/>
                <w:sz w:val="21"/>
                <w:szCs w:val="21"/>
              </w:rPr>
              <w:t>阴道膨胀</w:t>
            </w:r>
            <w:proofErr w:type="gramStart"/>
            <w:r>
              <w:rPr>
                <w:rFonts w:ascii="Times New Roman" w:eastAsia="宋体" w:hAnsi="宋体"/>
                <w:color w:val="000000"/>
                <w:sz w:val="21"/>
                <w:szCs w:val="21"/>
              </w:rPr>
              <w:t>栓</w:t>
            </w:r>
            <w:proofErr w:type="gramEnd"/>
          </w:p>
        </w:tc>
        <w:tc>
          <w:tcPr>
            <w:tcW w:w="876" w:type="pct"/>
            <w:noWrap/>
            <w:vAlign w:val="center"/>
          </w:tcPr>
          <w:p w:rsidR="002D3004" w:rsidRDefault="0093795E">
            <w:pPr>
              <w:widowControl/>
              <w:spacing w:line="240" w:lineRule="exact"/>
              <w:ind w:left="-57" w:right="-57"/>
              <w:jc w:val="center"/>
              <w:textAlignment w:val="center"/>
              <w:rPr>
                <w:rFonts w:ascii="Times New Roman" w:eastAsia="宋体"/>
                <w:color w:val="000000"/>
                <w:sz w:val="18"/>
                <w:szCs w:val="21"/>
              </w:rPr>
            </w:pPr>
            <w:r>
              <w:rPr>
                <w:rFonts w:ascii="Times New Roman" w:eastAsia="宋体"/>
                <w:color w:val="000000"/>
                <w:sz w:val="18"/>
                <w:szCs w:val="21"/>
              </w:rPr>
              <w:t>7.98</w:t>
            </w:r>
            <w:r>
              <w:rPr>
                <w:rFonts w:ascii="Times New Roman" w:eastAsia="宋体"/>
                <w:color w:val="000000"/>
                <w:sz w:val="18"/>
                <w:szCs w:val="21"/>
              </w:rPr>
              <w:t>元（</w:t>
            </w:r>
            <w:r>
              <w:rPr>
                <w:rFonts w:ascii="Times New Roman" w:eastAsia="宋体"/>
                <w:color w:val="000000"/>
                <w:sz w:val="18"/>
                <w:szCs w:val="21"/>
              </w:rPr>
              <w:t>0.15g/</w:t>
            </w:r>
            <w:r>
              <w:rPr>
                <w:rFonts w:ascii="Times New Roman" w:eastAsia="宋体"/>
                <w:color w:val="000000"/>
                <w:sz w:val="18"/>
                <w:szCs w:val="21"/>
              </w:rPr>
              <w:t>粒）</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用于念珠菌性外阴阴道病。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22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15</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苹果酸</w:t>
            </w:r>
            <w:proofErr w:type="gramStart"/>
            <w:r>
              <w:rPr>
                <w:rFonts w:ascii="Times New Roman" w:eastAsia="宋体" w:hAnsi="宋体"/>
                <w:color w:val="000000"/>
                <w:sz w:val="21"/>
                <w:szCs w:val="21"/>
              </w:rPr>
              <w:t>奈诺沙</w:t>
            </w:r>
            <w:proofErr w:type="gramEnd"/>
            <w:r>
              <w:rPr>
                <w:rFonts w:ascii="Times New Roman" w:eastAsia="宋体" w:hAnsi="宋体"/>
                <w:color w:val="000000"/>
                <w:sz w:val="21"/>
                <w:szCs w:val="21"/>
              </w:rPr>
              <w:t>星氯化钠注射液</w:t>
            </w:r>
          </w:p>
        </w:tc>
        <w:tc>
          <w:tcPr>
            <w:tcW w:w="876" w:type="pct"/>
            <w:noWrap/>
            <w:vAlign w:val="center"/>
          </w:tcPr>
          <w:p w:rsidR="002D3004" w:rsidRDefault="0093795E">
            <w:pPr>
              <w:widowControl/>
              <w:spacing w:line="240" w:lineRule="exact"/>
              <w:textAlignment w:val="center"/>
              <w:rPr>
                <w:rFonts w:ascii="Times New Roman" w:eastAsia="宋体"/>
                <w:bCs/>
                <w:color w:val="000000"/>
                <w:sz w:val="18"/>
                <w:szCs w:val="21"/>
              </w:rPr>
            </w:pPr>
            <w:r>
              <w:rPr>
                <w:rFonts w:ascii="Times New Roman" w:eastAsia="宋体"/>
                <w:color w:val="000000"/>
                <w:sz w:val="18"/>
                <w:szCs w:val="21"/>
              </w:rPr>
              <w:t>84.8</w:t>
            </w:r>
            <w:r>
              <w:rPr>
                <w:rFonts w:ascii="Times New Roman" w:eastAsia="宋体"/>
                <w:color w:val="000000"/>
                <w:sz w:val="18"/>
                <w:szCs w:val="21"/>
              </w:rPr>
              <w:t>元（</w:t>
            </w:r>
            <w:r>
              <w:rPr>
                <w:rFonts w:ascii="Times New Roman" w:eastAsia="宋体"/>
                <w:color w:val="000000"/>
                <w:sz w:val="18"/>
                <w:szCs w:val="21"/>
              </w:rPr>
              <w:t>250ml:</w:t>
            </w:r>
            <w:r>
              <w:rPr>
                <w:rFonts w:ascii="Times New Roman" w:eastAsia="宋体"/>
                <w:color w:val="000000"/>
                <w:sz w:val="18"/>
                <w:szCs w:val="21"/>
              </w:rPr>
              <w:t>苹果酸</w:t>
            </w:r>
            <w:proofErr w:type="gramStart"/>
            <w:r>
              <w:rPr>
                <w:rFonts w:ascii="Times New Roman" w:eastAsia="宋体"/>
                <w:color w:val="000000"/>
                <w:sz w:val="18"/>
                <w:szCs w:val="21"/>
              </w:rPr>
              <w:t>奈诺沙</w:t>
            </w:r>
            <w:proofErr w:type="gramEnd"/>
            <w:r>
              <w:rPr>
                <w:rFonts w:ascii="Times New Roman" w:eastAsia="宋体"/>
                <w:color w:val="000000"/>
                <w:sz w:val="18"/>
                <w:szCs w:val="21"/>
              </w:rPr>
              <w:t>星</w:t>
            </w:r>
            <w:r>
              <w:rPr>
                <w:rFonts w:ascii="Times New Roman" w:eastAsia="宋体"/>
                <w:color w:val="000000"/>
                <w:sz w:val="18"/>
                <w:szCs w:val="21"/>
              </w:rPr>
              <w:t>0.5g</w:t>
            </w:r>
            <w:r>
              <w:rPr>
                <w:rFonts w:ascii="Times New Roman" w:eastAsia="宋体"/>
                <w:color w:val="000000"/>
                <w:sz w:val="18"/>
                <w:szCs w:val="21"/>
              </w:rPr>
              <w:t>和氯化钠</w:t>
            </w:r>
            <w:r>
              <w:rPr>
                <w:rFonts w:ascii="Times New Roman" w:eastAsia="宋体"/>
                <w:color w:val="000000"/>
                <w:sz w:val="18"/>
                <w:szCs w:val="21"/>
              </w:rPr>
              <w:t>2.25g/</w:t>
            </w:r>
            <w:r>
              <w:rPr>
                <w:rFonts w:ascii="Times New Roman" w:eastAsia="宋体"/>
                <w:color w:val="000000"/>
                <w:sz w:val="18"/>
                <w:szCs w:val="21"/>
              </w:rPr>
              <w:t>瓶）</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为减少耐药菌的产生，保证</w:t>
            </w:r>
            <w:proofErr w:type="gramStart"/>
            <w:r>
              <w:rPr>
                <w:rFonts w:ascii="Times New Roman" w:eastAsia="宋体"/>
                <w:color w:val="000000"/>
                <w:sz w:val="18"/>
                <w:szCs w:val="21"/>
              </w:rPr>
              <w:t>奈诺沙</w:t>
            </w:r>
            <w:proofErr w:type="gramEnd"/>
            <w:r>
              <w:rPr>
                <w:rFonts w:ascii="Times New Roman" w:eastAsia="宋体"/>
                <w:color w:val="000000"/>
                <w:sz w:val="18"/>
                <w:szCs w:val="21"/>
              </w:rPr>
              <w:t>星及其他抗菌药物的有效性，本品只用于治疗已证明或高度怀疑由敏感细菌引起的感染。在选择或修改抗菌药物治疗方案时，应考虑细菌培养和药敏试验的结果。如果没有这些试验的数据做参考，则应根据当地流行病学和病原菌敏感性进行经验性治疗。</w:t>
            </w:r>
            <w:r>
              <w:rPr>
                <w:rFonts w:ascii="Times New Roman" w:eastAsia="宋体"/>
                <w:color w:val="000000"/>
                <w:sz w:val="18"/>
                <w:szCs w:val="21"/>
              </w:rPr>
              <w:br/>
            </w:r>
            <w:r>
              <w:rPr>
                <w:rFonts w:ascii="Times New Roman" w:eastAsia="宋体"/>
                <w:color w:val="000000"/>
                <w:sz w:val="18"/>
                <w:szCs w:val="21"/>
              </w:rPr>
              <w:t>在治疗前应进行细菌培养和药敏试验以分离并鉴定感染病原菌，确定其对本品的敏感性。在获得以上检验结果之前可以先使用本品进行治疗，得到检验结果之后再选择适当的治疗方法。</w:t>
            </w:r>
            <w:r>
              <w:rPr>
                <w:rFonts w:ascii="Times New Roman" w:eastAsia="宋体"/>
                <w:color w:val="000000"/>
                <w:sz w:val="18"/>
                <w:szCs w:val="21"/>
              </w:rPr>
              <w:br/>
            </w:r>
            <w:r>
              <w:rPr>
                <w:rFonts w:ascii="Times New Roman" w:eastAsia="宋体"/>
                <w:color w:val="000000"/>
                <w:sz w:val="18"/>
                <w:szCs w:val="21"/>
              </w:rPr>
              <w:t>在此类中的其他药物相同，使用本品进行治疗时，在治疗期间应定期进行细菌培养和药敏试验以掌握病原菌</w:t>
            </w:r>
            <w:r>
              <w:rPr>
                <w:rFonts w:ascii="Times New Roman" w:eastAsia="宋体"/>
                <w:color w:val="000000"/>
                <w:sz w:val="18"/>
                <w:szCs w:val="21"/>
              </w:rPr>
              <w:t>是否对抗菌药物持续敏感，并在细菌出现耐药性后能够及时发现。</w:t>
            </w:r>
            <w:r>
              <w:rPr>
                <w:rFonts w:ascii="Times New Roman" w:eastAsia="宋体"/>
                <w:color w:val="000000"/>
                <w:sz w:val="18"/>
                <w:szCs w:val="21"/>
              </w:rPr>
              <w:br/>
            </w:r>
            <w:r>
              <w:rPr>
                <w:rFonts w:ascii="Times New Roman" w:eastAsia="宋体"/>
                <w:color w:val="000000"/>
                <w:sz w:val="18"/>
                <w:szCs w:val="21"/>
              </w:rPr>
              <w:t>本品可用于治疗对</w:t>
            </w:r>
            <w:proofErr w:type="gramStart"/>
            <w:r>
              <w:rPr>
                <w:rFonts w:ascii="Times New Roman" w:eastAsia="宋体"/>
                <w:color w:val="000000"/>
                <w:sz w:val="18"/>
                <w:szCs w:val="21"/>
              </w:rPr>
              <w:t>奈诺沙</w:t>
            </w:r>
            <w:proofErr w:type="gramEnd"/>
            <w:r>
              <w:rPr>
                <w:rFonts w:ascii="Times New Roman" w:eastAsia="宋体"/>
                <w:color w:val="000000"/>
                <w:sz w:val="18"/>
                <w:szCs w:val="21"/>
              </w:rPr>
              <w:t>星呈现敏感的肺炎链球菌、金黄色葡萄球菌、流感嗜血杆菌、副流感嗜血杆菌、卡他莫拉菌、肺炎克雷伯菌、铜绿假单胞</w:t>
            </w:r>
            <w:proofErr w:type="gramStart"/>
            <w:r>
              <w:rPr>
                <w:rFonts w:ascii="Times New Roman" w:eastAsia="宋体"/>
                <w:color w:val="000000"/>
                <w:sz w:val="18"/>
                <w:szCs w:val="21"/>
              </w:rPr>
              <w:t>菌以及</w:t>
            </w:r>
            <w:proofErr w:type="gramEnd"/>
            <w:r>
              <w:rPr>
                <w:rFonts w:ascii="Times New Roman" w:eastAsia="宋体"/>
                <w:color w:val="000000"/>
                <w:sz w:val="18"/>
                <w:szCs w:val="21"/>
              </w:rPr>
              <w:t>肺炎支原体、肺炎衣原体和</w:t>
            </w:r>
            <w:proofErr w:type="gramStart"/>
            <w:r>
              <w:rPr>
                <w:rFonts w:ascii="Times New Roman" w:eastAsia="宋体"/>
                <w:color w:val="000000"/>
                <w:sz w:val="18"/>
                <w:szCs w:val="21"/>
              </w:rPr>
              <w:t>嗜肺</w:t>
            </w:r>
            <w:proofErr w:type="gramEnd"/>
            <w:r>
              <w:rPr>
                <w:rFonts w:ascii="Times New Roman" w:eastAsia="宋体"/>
                <w:color w:val="000000"/>
                <w:sz w:val="18"/>
                <w:szCs w:val="21"/>
              </w:rPr>
              <w:t>军团</w:t>
            </w:r>
            <w:proofErr w:type="gramStart"/>
            <w:r>
              <w:rPr>
                <w:rFonts w:ascii="Times New Roman" w:eastAsia="宋体"/>
                <w:color w:val="000000"/>
                <w:sz w:val="18"/>
                <w:szCs w:val="21"/>
              </w:rPr>
              <w:t>菌</w:t>
            </w:r>
            <w:proofErr w:type="gramEnd"/>
            <w:r>
              <w:rPr>
                <w:rFonts w:ascii="Times New Roman" w:eastAsia="宋体"/>
                <w:color w:val="000000"/>
                <w:sz w:val="18"/>
                <w:szCs w:val="21"/>
              </w:rPr>
              <w:t>所致的成人</w:t>
            </w:r>
            <w:r>
              <w:rPr>
                <w:rFonts w:ascii="Times New Roman" w:eastAsia="宋体"/>
                <w:color w:val="000000"/>
                <w:sz w:val="18"/>
                <w:szCs w:val="21"/>
              </w:rPr>
              <w:t xml:space="preserve"> </w:t>
            </w:r>
            <w:r>
              <w:rPr>
                <w:rFonts w:ascii="Times New Roman" w:eastAsia="宋体"/>
                <w:color w:val="000000"/>
                <w:sz w:val="18"/>
                <w:szCs w:val="21"/>
              </w:rPr>
              <w:t>（</w:t>
            </w:r>
            <w:r>
              <w:rPr>
                <w:rFonts w:ascii="Times New Roman" w:eastAsia="宋体"/>
                <w:color w:val="000000"/>
                <w:sz w:val="18"/>
                <w:szCs w:val="21"/>
              </w:rPr>
              <w:t>≥18</w:t>
            </w:r>
            <w:r>
              <w:rPr>
                <w:rFonts w:ascii="Times New Roman" w:eastAsia="宋体"/>
                <w:color w:val="000000"/>
                <w:sz w:val="18"/>
                <w:szCs w:val="21"/>
              </w:rPr>
              <w:t>岁）社区获得性肺炎。</w:t>
            </w:r>
            <w:r>
              <w:rPr>
                <w:rFonts w:ascii="Times New Roman" w:eastAsia="宋体"/>
                <w:color w:val="000000"/>
                <w:sz w:val="18"/>
                <w:szCs w:val="21"/>
              </w:rPr>
              <w:br/>
            </w:r>
            <w:r>
              <w:rPr>
                <w:rFonts w:ascii="Times New Roman" w:eastAsia="宋体"/>
                <w:color w:val="000000"/>
                <w:sz w:val="18"/>
                <w:szCs w:val="21"/>
              </w:rPr>
              <w:t>在使用本品时可依据患者病情严重程度及耐受性选用注射剂或口服制剂</w:t>
            </w:r>
            <w:r>
              <w:rPr>
                <w:rFonts w:ascii="Times New Roman" w:eastAsia="宋体"/>
                <w:color w:val="000000"/>
                <w:sz w:val="18"/>
                <w:szCs w:val="21"/>
              </w:rPr>
              <w:t>,</w:t>
            </w:r>
            <w:r>
              <w:rPr>
                <w:rFonts w:ascii="Times New Roman" w:eastAsia="宋体"/>
                <w:color w:val="000000"/>
                <w:sz w:val="18"/>
                <w:szCs w:val="21"/>
              </w:rPr>
              <w:t>也可选用治疗初期予以注射剂静脉输注</w:t>
            </w:r>
            <w:r>
              <w:rPr>
                <w:rFonts w:ascii="Times New Roman" w:eastAsia="宋体"/>
                <w:color w:val="000000"/>
                <w:sz w:val="18"/>
                <w:szCs w:val="21"/>
              </w:rPr>
              <w:t>,</w:t>
            </w:r>
            <w:r>
              <w:rPr>
                <w:rFonts w:ascii="Times New Roman" w:eastAsia="宋体"/>
                <w:color w:val="000000"/>
                <w:sz w:val="18"/>
                <w:szCs w:val="21"/>
              </w:rPr>
              <w:t>病情趋缓解后继以口服给药的序贯疗法。</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35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lastRenderedPageBreak/>
              <w:t>16</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color w:val="000000"/>
                <w:sz w:val="21"/>
                <w:szCs w:val="21"/>
              </w:rPr>
            </w:pPr>
            <w:r>
              <w:rPr>
                <w:rFonts w:ascii="Times New Roman" w:eastAsia="宋体" w:hAnsi="宋体"/>
                <w:color w:val="000000"/>
                <w:sz w:val="21"/>
                <w:szCs w:val="21"/>
              </w:rPr>
              <w:t>注射用磷酸左奥</w:t>
            </w:r>
            <w:proofErr w:type="gramStart"/>
            <w:r>
              <w:rPr>
                <w:rFonts w:ascii="Times New Roman" w:eastAsia="宋体" w:hAnsi="宋体"/>
                <w:color w:val="000000"/>
                <w:sz w:val="21"/>
                <w:szCs w:val="21"/>
              </w:rPr>
              <w:t>硝唑酯二钠</w:t>
            </w:r>
            <w:proofErr w:type="gramEnd"/>
          </w:p>
        </w:tc>
        <w:tc>
          <w:tcPr>
            <w:tcW w:w="876" w:type="pct"/>
            <w:noWrap/>
            <w:vAlign w:val="center"/>
          </w:tcPr>
          <w:p w:rsidR="002D3004" w:rsidRDefault="0093795E">
            <w:pPr>
              <w:widowControl/>
              <w:spacing w:line="240" w:lineRule="exact"/>
              <w:jc w:val="left"/>
              <w:textAlignment w:val="center"/>
              <w:rPr>
                <w:rFonts w:ascii="Times New Roman" w:eastAsia="宋体"/>
                <w:bCs/>
                <w:color w:val="000000"/>
                <w:sz w:val="18"/>
                <w:szCs w:val="21"/>
              </w:rPr>
            </w:pPr>
            <w:r>
              <w:rPr>
                <w:rFonts w:ascii="Times New Roman" w:eastAsia="宋体"/>
                <w:color w:val="000000"/>
                <w:sz w:val="18"/>
                <w:szCs w:val="21"/>
              </w:rPr>
              <w:t>25.18</w:t>
            </w:r>
            <w:r>
              <w:rPr>
                <w:rFonts w:ascii="Times New Roman" w:eastAsia="宋体"/>
                <w:color w:val="000000"/>
                <w:sz w:val="18"/>
                <w:szCs w:val="21"/>
              </w:rPr>
              <w:t>元（</w:t>
            </w:r>
            <w:r>
              <w:rPr>
                <w:rFonts w:ascii="Times New Roman" w:eastAsia="宋体"/>
                <w:color w:val="000000"/>
                <w:sz w:val="18"/>
                <w:szCs w:val="21"/>
              </w:rPr>
              <w:t>0.125g/</w:t>
            </w:r>
            <w:r>
              <w:rPr>
                <w:rFonts w:ascii="Times New Roman" w:eastAsia="宋体"/>
                <w:color w:val="000000"/>
                <w:sz w:val="18"/>
                <w:szCs w:val="21"/>
              </w:rPr>
              <w:t>支）</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为减少耐药菌的产生，保证磷酸左奥</w:t>
            </w:r>
            <w:proofErr w:type="gramStart"/>
            <w:r>
              <w:rPr>
                <w:rFonts w:ascii="Times New Roman" w:eastAsia="宋体"/>
                <w:color w:val="000000"/>
                <w:sz w:val="18"/>
                <w:szCs w:val="21"/>
              </w:rPr>
              <w:t>硝唑酯二钠</w:t>
            </w:r>
            <w:proofErr w:type="gramEnd"/>
            <w:r>
              <w:rPr>
                <w:rFonts w:ascii="Times New Roman" w:eastAsia="宋体"/>
                <w:color w:val="000000"/>
                <w:sz w:val="18"/>
                <w:szCs w:val="21"/>
              </w:rPr>
              <w:t>、左奥硝唑、奥硝唑及其他抗菌药物的有效性，磷酸左奥</w:t>
            </w:r>
            <w:proofErr w:type="gramStart"/>
            <w:r>
              <w:rPr>
                <w:rFonts w:ascii="Times New Roman" w:eastAsia="宋体"/>
                <w:color w:val="000000"/>
                <w:sz w:val="18"/>
                <w:szCs w:val="21"/>
              </w:rPr>
              <w:t>硝唑酯二钠</w:t>
            </w:r>
            <w:proofErr w:type="gramEnd"/>
            <w:r>
              <w:rPr>
                <w:rFonts w:ascii="Times New Roman" w:eastAsia="宋体"/>
                <w:color w:val="000000"/>
                <w:sz w:val="18"/>
                <w:szCs w:val="21"/>
              </w:rPr>
              <w:t>只用于治疗或预防已证明或高度怀疑由敏感细菌引起的感染。在选择或修改抗菌药物治疗方案时，应考虑细菌培养和药敏试验结果。如果没有这些试验的数据做参考，则应当根据当地流行病学和病原菌敏感性进行经验性治疗。在治疗前应进行细菌培养和药敏试验以分离并鉴定感染病原菌，确定其对该抗菌药物的敏感性，在获得以上药敏结果之前可以先使用该抗菌药物进行治疗，得到药敏结果后再选择进行针对病原菌的治疗。</w:t>
            </w:r>
            <w:r>
              <w:rPr>
                <w:rFonts w:ascii="Times New Roman" w:eastAsia="宋体"/>
                <w:color w:val="000000"/>
                <w:sz w:val="18"/>
                <w:szCs w:val="21"/>
              </w:rPr>
              <w:t xml:space="preserve"> </w:t>
            </w:r>
            <w:r>
              <w:rPr>
                <w:rFonts w:ascii="Times New Roman" w:eastAsia="宋体"/>
                <w:color w:val="000000"/>
                <w:sz w:val="18"/>
                <w:szCs w:val="21"/>
              </w:rPr>
              <w:t>在治疗期间应定期进行细菌培养和药</w:t>
            </w:r>
            <w:r>
              <w:rPr>
                <w:rFonts w:ascii="Times New Roman" w:eastAsia="宋体"/>
                <w:color w:val="000000"/>
                <w:sz w:val="18"/>
                <w:szCs w:val="21"/>
              </w:rPr>
              <w:t>敏试验以掌握病原菌是否对抗菌药物持续敏感，并在细菌出现耐药性后能够及时发现。</w:t>
            </w:r>
            <w:r>
              <w:rPr>
                <w:rFonts w:ascii="Times New Roman" w:eastAsia="宋体"/>
                <w:color w:val="000000"/>
                <w:sz w:val="18"/>
                <w:szCs w:val="21"/>
              </w:rPr>
              <w:br/>
            </w:r>
            <w:r>
              <w:rPr>
                <w:rFonts w:ascii="Times New Roman" w:eastAsia="宋体"/>
                <w:color w:val="000000"/>
                <w:sz w:val="18"/>
                <w:szCs w:val="21"/>
              </w:rPr>
              <w:t>本品仅适用于不宜口服给药的患者。本品适应症为：</w:t>
            </w:r>
            <w:r>
              <w:rPr>
                <w:rFonts w:ascii="Times New Roman" w:eastAsia="宋体"/>
                <w:color w:val="000000"/>
                <w:sz w:val="18"/>
                <w:szCs w:val="21"/>
              </w:rPr>
              <w:br/>
              <w:t>1.</w:t>
            </w:r>
            <w:r>
              <w:rPr>
                <w:rFonts w:ascii="Times New Roman" w:eastAsia="宋体" w:hint="eastAsia"/>
                <w:color w:val="000000"/>
                <w:sz w:val="18"/>
                <w:szCs w:val="21"/>
              </w:rPr>
              <w:t xml:space="preserve"> </w:t>
            </w:r>
            <w:r>
              <w:rPr>
                <w:rFonts w:ascii="Times New Roman" w:eastAsia="宋体"/>
                <w:color w:val="000000"/>
                <w:sz w:val="18"/>
                <w:szCs w:val="21"/>
              </w:rPr>
              <w:t>本品适用于治疗肠道和肝脏严重的阿米巴病。</w:t>
            </w:r>
            <w:r>
              <w:rPr>
                <w:rFonts w:ascii="Times New Roman" w:eastAsia="宋体"/>
                <w:color w:val="000000"/>
                <w:sz w:val="18"/>
                <w:szCs w:val="21"/>
              </w:rPr>
              <w:t>2.</w:t>
            </w:r>
            <w:r>
              <w:rPr>
                <w:rFonts w:ascii="Times New Roman" w:eastAsia="宋体" w:hint="eastAsia"/>
                <w:color w:val="000000"/>
                <w:sz w:val="18"/>
                <w:szCs w:val="21"/>
              </w:rPr>
              <w:t xml:space="preserve"> </w:t>
            </w:r>
            <w:r>
              <w:rPr>
                <w:rFonts w:ascii="Times New Roman" w:eastAsia="宋体"/>
                <w:color w:val="000000"/>
                <w:sz w:val="18"/>
                <w:szCs w:val="21"/>
              </w:rPr>
              <w:t>本品适用于治疗奥硝唑敏感厌氧菌引起的手术后感染。</w:t>
            </w:r>
            <w:r>
              <w:rPr>
                <w:rFonts w:ascii="Times New Roman" w:eastAsia="宋体"/>
                <w:color w:val="000000"/>
                <w:sz w:val="18"/>
                <w:szCs w:val="21"/>
              </w:rPr>
              <w:t>3.</w:t>
            </w:r>
            <w:r>
              <w:rPr>
                <w:rFonts w:ascii="Times New Roman" w:eastAsia="宋体" w:hint="eastAsia"/>
                <w:color w:val="000000"/>
                <w:sz w:val="18"/>
                <w:szCs w:val="21"/>
              </w:rPr>
              <w:t xml:space="preserve"> </w:t>
            </w:r>
            <w:r>
              <w:rPr>
                <w:rFonts w:ascii="Times New Roman" w:eastAsia="宋体"/>
                <w:color w:val="000000"/>
                <w:sz w:val="18"/>
                <w:szCs w:val="21"/>
              </w:rPr>
              <w:t>本品适用于预防外科手术导致的敏感厌氧菌感染。</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446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17</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hAnsi="宋体"/>
                <w:color w:val="000000"/>
                <w:sz w:val="21"/>
                <w:szCs w:val="21"/>
              </w:rPr>
              <w:t>康替</w:t>
            </w:r>
            <w:proofErr w:type="gramStart"/>
            <w:r>
              <w:rPr>
                <w:rFonts w:ascii="Times New Roman" w:eastAsia="宋体" w:hAnsi="宋体"/>
                <w:color w:val="000000"/>
                <w:sz w:val="21"/>
                <w:szCs w:val="21"/>
              </w:rPr>
              <w:t>唑</w:t>
            </w:r>
            <w:proofErr w:type="gramEnd"/>
            <w:r>
              <w:rPr>
                <w:rFonts w:ascii="Times New Roman" w:eastAsia="宋体" w:hAnsi="宋体"/>
                <w:color w:val="000000"/>
                <w:sz w:val="21"/>
                <w:szCs w:val="21"/>
              </w:rPr>
              <w:t>胺片</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本品适用于治疗由对本品敏感的金黄色葡萄球菌（甲氧西林敏感和耐药的菌株）、化脓性链球菌或无乳链球菌引起的复杂性皮肤和软组织感染。</w:t>
            </w:r>
            <w:r>
              <w:rPr>
                <w:rFonts w:ascii="Times New Roman" w:eastAsia="宋体"/>
                <w:color w:val="000000"/>
                <w:sz w:val="18"/>
                <w:szCs w:val="21"/>
              </w:rPr>
              <w:br/>
            </w:r>
            <w:r>
              <w:rPr>
                <w:rFonts w:ascii="Times New Roman" w:eastAsia="宋体"/>
                <w:color w:val="000000"/>
                <w:sz w:val="18"/>
                <w:szCs w:val="21"/>
              </w:rPr>
              <w:t>为减少细菌耐药的发生，确保康替</w:t>
            </w:r>
            <w:proofErr w:type="gramStart"/>
            <w:r>
              <w:rPr>
                <w:rFonts w:ascii="Times New Roman" w:eastAsia="宋体"/>
                <w:color w:val="000000"/>
                <w:sz w:val="18"/>
                <w:szCs w:val="21"/>
              </w:rPr>
              <w:t>唑胺及其</w:t>
            </w:r>
            <w:proofErr w:type="gramEnd"/>
            <w:r>
              <w:rPr>
                <w:rFonts w:ascii="Times New Roman" w:eastAsia="宋体"/>
                <w:color w:val="000000"/>
                <w:sz w:val="18"/>
                <w:szCs w:val="21"/>
              </w:rPr>
              <w:t>他抗菌药物的疗效，本品应仅用于治疗已确诊或高度怀疑由敏感菌引起的感染。本品不适用于治疗革兰阴性</w:t>
            </w:r>
            <w:proofErr w:type="gramStart"/>
            <w:r>
              <w:rPr>
                <w:rFonts w:ascii="Times New Roman" w:eastAsia="宋体"/>
                <w:color w:val="000000"/>
                <w:sz w:val="18"/>
                <w:szCs w:val="21"/>
              </w:rPr>
              <w:t>菌</w:t>
            </w:r>
            <w:proofErr w:type="gramEnd"/>
            <w:r>
              <w:rPr>
                <w:rFonts w:ascii="Times New Roman" w:eastAsia="宋体"/>
                <w:color w:val="000000"/>
                <w:sz w:val="18"/>
                <w:szCs w:val="21"/>
              </w:rPr>
              <w:t>感染。如确诊或怀疑合并有革兰阴性</w:t>
            </w:r>
            <w:proofErr w:type="gramStart"/>
            <w:r>
              <w:rPr>
                <w:rFonts w:ascii="Times New Roman" w:eastAsia="宋体"/>
                <w:color w:val="000000"/>
                <w:sz w:val="18"/>
                <w:szCs w:val="21"/>
              </w:rPr>
              <w:t>菌</w:t>
            </w:r>
            <w:proofErr w:type="gramEnd"/>
            <w:r>
              <w:rPr>
                <w:rFonts w:ascii="Times New Roman" w:eastAsia="宋体"/>
                <w:color w:val="000000"/>
                <w:sz w:val="18"/>
                <w:szCs w:val="21"/>
              </w:rPr>
              <w:t>感染，建议联合应用抗革兰阴性</w:t>
            </w:r>
            <w:proofErr w:type="gramStart"/>
            <w:r>
              <w:rPr>
                <w:rFonts w:ascii="Times New Roman" w:eastAsia="宋体"/>
                <w:color w:val="000000"/>
                <w:sz w:val="18"/>
                <w:szCs w:val="21"/>
              </w:rPr>
              <w:t>菌</w:t>
            </w:r>
            <w:proofErr w:type="gramEnd"/>
            <w:r>
              <w:rPr>
                <w:rFonts w:ascii="Times New Roman" w:eastAsia="宋体"/>
                <w:color w:val="000000"/>
                <w:sz w:val="18"/>
                <w:szCs w:val="21"/>
              </w:rPr>
              <w:t>药物进行治疗。</w:t>
            </w:r>
            <w:r>
              <w:rPr>
                <w:rFonts w:ascii="Times New Roman" w:eastAsia="宋体"/>
                <w:color w:val="000000"/>
                <w:sz w:val="18"/>
                <w:szCs w:val="21"/>
              </w:rPr>
              <w:br/>
            </w:r>
            <w:r>
              <w:rPr>
                <w:rFonts w:ascii="Times New Roman" w:eastAsia="宋体"/>
                <w:color w:val="000000"/>
                <w:sz w:val="18"/>
                <w:szCs w:val="21"/>
              </w:rPr>
              <w:t>在选择或调整抗菌药物治疗方案时，应考虑进行细菌培养和药敏试验以分离并鉴定感染病原菌，确定其对本品的敏感性。如果没有这些试验的药</w:t>
            </w:r>
            <w:proofErr w:type="gramStart"/>
            <w:r>
              <w:rPr>
                <w:rFonts w:ascii="Times New Roman" w:eastAsia="宋体"/>
                <w:color w:val="000000"/>
                <w:sz w:val="18"/>
                <w:szCs w:val="21"/>
              </w:rPr>
              <w:t>敏数据</w:t>
            </w:r>
            <w:proofErr w:type="gramEnd"/>
            <w:r>
              <w:rPr>
                <w:rFonts w:ascii="Times New Roman" w:eastAsia="宋体"/>
                <w:color w:val="000000"/>
                <w:sz w:val="18"/>
                <w:szCs w:val="21"/>
              </w:rPr>
              <w:t>做参考，则应根据当地细菌耐药性和抗菌药物敏感性等流行病学情况进行经验性治疗。在获得以上药敏结果之前可以先使用本品进行治疗，获得药敏结果后再选择进行针对性的病原治疗。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119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18</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290" w:lineRule="exact"/>
              <w:textAlignment w:val="center"/>
              <w:rPr>
                <w:rFonts w:ascii="Times New Roman" w:eastAsia="宋体"/>
                <w:color w:val="000000"/>
                <w:sz w:val="21"/>
                <w:szCs w:val="21"/>
              </w:rPr>
            </w:pPr>
            <w:r>
              <w:rPr>
                <w:rFonts w:ascii="Times New Roman" w:eastAsia="宋体" w:hAnsi="宋体"/>
                <w:color w:val="000000"/>
                <w:sz w:val="21"/>
                <w:szCs w:val="21"/>
              </w:rPr>
              <w:t>注射用两性霉素</w:t>
            </w:r>
            <w:r>
              <w:rPr>
                <w:rFonts w:ascii="Times New Roman" w:eastAsia="宋体"/>
                <w:color w:val="000000"/>
                <w:sz w:val="21"/>
                <w:szCs w:val="21"/>
              </w:rPr>
              <w:t>B</w:t>
            </w:r>
            <w:r>
              <w:rPr>
                <w:rFonts w:ascii="Times New Roman" w:eastAsia="宋体" w:hAnsi="宋体"/>
                <w:color w:val="000000"/>
                <w:sz w:val="21"/>
                <w:szCs w:val="21"/>
              </w:rPr>
              <w:t>胆固醇硫酸</w:t>
            </w:r>
            <w:proofErr w:type="gramStart"/>
            <w:r>
              <w:rPr>
                <w:rFonts w:ascii="Times New Roman" w:eastAsia="宋体" w:hAnsi="宋体"/>
                <w:color w:val="000000"/>
                <w:sz w:val="21"/>
                <w:szCs w:val="21"/>
              </w:rPr>
              <w:t>酯</w:t>
            </w:r>
            <w:proofErr w:type="gramEnd"/>
            <w:r>
              <w:rPr>
                <w:rFonts w:ascii="Times New Roman" w:eastAsia="宋体" w:hAnsi="宋体"/>
                <w:color w:val="000000"/>
                <w:sz w:val="21"/>
                <w:szCs w:val="21"/>
              </w:rPr>
              <w:t>复合物</w:t>
            </w:r>
          </w:p>
        </w:tc>
        <w:tc>
          <w:tcPr>
            <w:tcW w:w="876" w:type="pct"/>
            <w:noWrap/>
            <w:vAlign w:val="center"/>
          </w:tcPr>
          <w:p w:rsidR="002D3004" w:rsidRDefault="0093795E">
            <w:pPr>
              <w:widowControl/>
              <w:spacing w:line="240" w:lineRule="exact"/>
              <w:ind w:left="-57" w:right="-57"/>
              <w:jc w:val="center"/>
              <w:textAlignment w:val="center"/>
              <w:rPr>
                <w:rFonts w:ascii="Times New Roman" w:eastAsia="宋体"/>
                <w:bCs/>
                <w:color w:val="000000"/>
                <w:sz w:val="18"/>
                <w:szCs w:val="21"/>
              </w:rPr>
            </w:pPr>
            <w:r>
              <w:rPr>
                <w:rFonts w:ascii="Times New Roman" w:eastAsia="宋体"/>
                <w:color w:val="000000"/>
                <w:sz w:val="18"/>
                <w:szCs w:val="21"/>
              </w:rPr>
              <w:t>396</w:t>
            </w:r>
            <w:r>
              <w:rPr>
                <w:rFonts w:ascii="Times New Roman" w:eastAsia="宋体"/>
                <w:color w:val="000000"/>
                <w:sz w:val="18"/>
                <w:szCs w:val="21"/>
              </w:rPr>
              <w:t>元（</w:t>
            </w:r>
            <w:r>
              <w:rPr>
                <w:rFonts w:ascii="Times New Roman" w:eastAsia="宋体"/>
                <w:color w:val="000000"/>
                <w:sz w:val="18"/>
                <w:szCs w:val="21"/>
              </w:rPr>
              <w:t>50mg/</w:t>
            </w:r>
            <w:r>
              <w:rPr>
                <w:rFonts w:ascii="Times New Roman" w:eastAsia="宋体"/>
                <w:color w:val="000000"/>
                <w:sz w:val="18"/>
                <w:szCs w:val="21"/>
              </w:rPr>
              <w:t>支）</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本品适用于患有深部真菌感染的患者；因肾损伤或药物毒性而不能使用有效剂量的两性霉素</w:t>
            </w:r>
            <w:r>
              <w:rPr>
                <w:rFonts w:ascii="Times New Roman" w:eastAsia="宋体"/>
                <w:color w:val="000000"/>
                <w:sz w:val="18"/>
                <w:szCs w:val="21"/>
              </w:rPr>
              <w:t>B</w:t>
            </w:r>
            <w:r>
              <w:rPr>
                <w:rFonts w:ascii="Times New Roman" w:eastAsia="宋体"/>
                <w:color w:val="000000"/>
                <w:sz w:val="18"/>
                <w:szCs w:val="21"/>
              </w:rPr>
              <w:t>的患者，或已经接受过两性霉素</w:t>
            </w:r>
            <w:r>
              <w:rPr>
                <w:rFonts w:ascii="Times New Roman" w:eastAsia="宋体"/>
                <w:color w:val="000000"/>
                <w:sz w:val="18"/>
                <w:szCs w:val="21"/>
              </w:rPr>
              <w:t>B</w:t>
            </w:r>
            <w:r>
              <w:rPr>
                <w:rFonts w:ascii="Times New Roman" w:eastAsia="宋体"/>
                <w:color w:val="000000"/>
                <w:sz w:val="18"/>
                <w:szCs w:val="21"/>
              </w:rPr>
              <w:t>治疗无效的患者均可使用。</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670"/>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19</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290" w:lineRule="exact"/>
              <w:textAlignment w:val="center"/>
              <w:rPr>
                <w:rFonts w:ascii="Times New Roman" w:eastAsia="宋体"/>
                <w:color w:val="000000"/>
                <w:sz w:val="21"/>
                <w:szCs w:val="21"/>
              </w:rPr>
            </w:pPr>
            <w:r>
              <w:rPr>
                <w:rFonts w:ascii="Times New Roman" w:eastAsia="宋体" w:hAnsi="宋体"/>
                <w:color w:val="000000"/>
                <w:sz w:val="21"/>
                <w:szCs w:val="21"/>
              </w:rPr>
              <w:t>艾米</w:t>
            </w:r>
            <w:proofErr w:type="gramStart"/>
            <w:r>
              <w:rPr>
                <w:rFonts w:ascii="Times New Roman" w:eastAsia="宋体" w:hAnsi="宋体"/>
                <w:color w:val="000000"/>
                <w:sz w:val="21"/>
                <w:szCs w:val="21"/>
              </w:rPr>
              <w:t>替诺福韦片</w:t>
            </w:r>
            <w:proofErr w:type="gramEnd"/>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本品适用于慢性乙型肝炎成人患者的治疗。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22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lastRenderedPageBreak/>
              <w:t>20</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290" w:lineRule="exact"/>
              <w:textAlignment w:val="center"/>
              <w:rPr>
                <w:rFonts w:ascii="Times New Roman" w:eastAsia="宋体"/>
                <w:color w:val="000000"/>
                <w:sz w:val="21"/>
                <w:szCs w:val="21"/>
              </w:rPr>
            </w:pPr>
            <w:r>
              <w:rPr>
                <w:rFonts w:ascii="Times New Roman" w:eastAsia="宋体" w:hAnsi="宋体"/>
                <w:color w:val="000000"/>
                <w:sz w:val="21"/>
                <w:szCs w:val="21"/>
              </w:rPr>
              <w:t>恩</w:t>
            </w:r>
            <w:proofErr w:type="gramStart"/>
            <w:r>
              <w:rPr>
                <w:rFonts w:ascii="Times New Roman" w:eastAsia="宋体" w:hAnsi="宋体"/>
                <w:color w:val="000000"/>
                <w:sz w:val="21"/>
                <w:szCs w:val="21"/>
              </w:rPr>
              <w:t>替卡韦</w:t>
            </w:r>
            <w:proofErr w:type="gramEnd"/>
            <w:r>
              <w:rPr>
                <w:rFonts w:ascii="Times New Roman" w:eastAsia="宋体" w:hAnsi="宋体"/>
                <w:color w:val="000000"/>
                <w:sz w:val="21"/>
                <w:szCs w:val="21"/>
              </w:rPr>
              <w:t>口服溶液</w:t>
            </w:r>
          </w:p>
        </w:tc>
        <w:tc>
          <w:tcPr>
            <w:tcW w:w="876" w:type="pct"/>
            <w:noWrap/>
            <w:vAlign w:val="center"/>
          </w:tcPr>
          <w:p w:rsidR="002D3004" w:rsidRDefault="0093795E">
            <w:pPr>
              <w:widowControl/>
              <w:spacing w:line="240" w:lineRule="exact"/>
              <w:jc w:val="left"/>
              <w:textAlignment w:val="top"/>
              <w:rPr>
                <w:rFonts w:ascii="Times New Roman" w:eastAsia="宋体"/>
                <w:bCs/>
                <w:color w:val="000000"/>
                <w:sz w:val="18"/>
                <w:szCs w:val="21"/>
              </w:rPr>
            </w:pPr>
            <w:r>
              <w:rPr>
                <w:rFonts w:ascii="Times New Roman" w:eastAsia="宋体"/>
                <w:color w:val="000000"/>
                <w:sz w:val="18"/>
                <w:szCs w:val="21"/>
              </w:rPr>
              <w:t>43.3</w:t>
            </w:r>
            <w:r>
              <w:rPr>
                <w:rFonts w:ascii="Times New Roman" w:eastAsia="宋体"/>
                <w:color w:val="000000"/>
                <w:sz w:val="18"/>
                <w:szCs w:val="21"/>
              </w:rPr>
              <w:t>元（</w:t>
            </w:r>
            <w:r>
              <w:rPr>
                <w:rFonts w:ascii="Times New Roman" w:eastAsia="宋体"/>
                <w:color w:val="000000"/>
                <w:sz w:val="18"/>
                <w:szCs w:val="21"/>
              </w:rPr>
              <w:t>0.005%</w:t>
            </w:r>
            <w:r>
              <w:rPr>
                <w:rFonts w:ascii="Times New Roman" w:eastAsia="宋体"/>
                <w:color w:val="000000"/>
                <w:sz w:val="18"/>
                <w:szCs w:val="21"/>
              </w:rPr>
              <w:t>（</w:t>
            </w:r>
            <w:r>
              <w:rPr>
                <w:rFonts w:ascii="Times New Roman" w:eastAsia="宋体"/>
                <w:color w:val="000000"/>
                <w:sz w:val="18"/>
                <w:szCs w:val="21"/>
              </w:rPr>
              <w:t>210ml:10.5mg</w:t>
            </w:r>
            <w:r>
              <w:rPr>
                <w:rFonts w:ascii="Times New Roman" w:eastAsia="宋体"/>
                <w:color w:val="000000"/>
                <w:sz w:val="18"/>
                <w:szCs w:val="21"/>
              </w:rPr>
              <w:t>）</w:t>
            </w:r>
            <w:r>
              <w:rPr>
                <w:rFonts w:ascii="Times New Roman" w:eastAsia="宋体"/>
                <w:color w:val="000000"/>
                <w:sz w:val="18"/>
                <w:szCs w:val="21"/>
              </w:rPr>
              <w:t>/</w:t>
            </w:r>
            <w:r>
              <w:rPr>
                <w:rFonts w:ascii="Times New Roman" w:eastAsia="宋体"/>
                <w:color w:val="000000"/>
                <w:sz w:val="18"/>
                <w:szCs w:val="21"/>
              </w:rPr>
              <w:t>瓶）</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恩</w:t>
            </w:r>
            <w:proofErr w:type="gramStart"/>
            <w:r>
              <w:rPr>
                <w:rFonts w:ascii="Times New Roman" w:eastAsia="宋体"/>
                <w:color w:val="000000"/>
                <w:sz w:val="18"/>
                <w:szCs w:val="21"/>
              </w:rPr>
              <w:t>替卡韦</w:t>
            </w:r>
            <w:proofErr w:type="gramEnd"/>
            <w:r>
              <w:rPr>
                <w:rFonts w:ascii="Times New Roman" w:eastAsia="宋体"/>
                <w:color w:val="000000"/>
                <w:sz w:val="18"/>
                <w:szCs w:val="21"/>
              </w:rPr>
              <w:t>适用于病毒复制活跃，血清丙氨酸氨基转移酶（</w:t>
            </w:r>
            <w:r>
              <w:rPr>
                <w:rFonts w:ascii="Times New Roman" w:eastAsia="宋体"/>
                <w:color w:val="000000"/>
                <w:sz w:val="18"/>
                <w:szCs w:val="21"/>
              </w:rPr>
              <w:t>ALT</w:t>
            </w:r>
            <w:r>
              <w:rPr>
                <w:rFonts w:ascii="Times New Roman" w:eastAsia="宋体"/>
                <w:color w:val="000000"/>
                <w:sz w:val="18"/>
                <w:szCs w:val="21"/>
              </w:rPr>
              <w:t>）持续升高或肝脏组织学显示有活动性病变的慢性成人乙型肝炎的治疗（包括代偿及失代偿期肝病患者）。也适用于治疗</w:t>
            </w:r>
            <w:r>
              <w:rPr>
                <w:rFonts w:ascii="Times New Roman" w:eastAsia="宋体"/>
                <w:color w:val="000000"/>
                <w:sz w:val="18"/>
                <w:szCs w:val="21"/>
              </w:rPr>
              <w:t>2</w:t>
            </w:r>
            <w:r>
              <w:rPr>
                <w:rFonts w:ascii="Times New Roman" w:eastAsia="宋体"/>
                <w:color w:val="000000"/>
                <w:sz w:val="18"/>
                <w:szCs w:val="21"/>
              </w:rPr>
              <w:t>岁至</w:t>
            </w:r>
            <w:r>
              <w:rPr>
                <w:rFonts w:ascii="Times New Roman" w:eastAsia="宋体"/>
                <w:color w:val="000000"/>
                <w:sz w:val="18"/>
                <w:szCs w:val="21"/>
              </w:rPr>
              <w:t>&lt;18</w:t>
            </w:r>
            <w:r>
              <w:rPr>
                <w:rFonts w:ascii="Times New Roman" w:eastAsia="宋体"/>
                <w:color w:val="000000"/>
                <w:sz w:val="18"/>
                <w:szCs w:val="21"/>
              </w:rPr>
              <w:t>岁慢性</w:t>
            </w:r>
            <w:r>
              <w:rPr>
                <w:rFonts w:ascii="Times New Roman" w:eastAsia="宋体"/>
                <w:color w:val="000000"/>
                <w:sz w:val="18"/>
                <w:szCs w:val="21"/>
              </w:rPr>
              <w:t>HBV</w:t>
            </w:r>
            <w:r>
              <w:rPr>
                <w:rFonts w:ascii="Times New Roman" w:eastAsia="宋体"/>
                <w:color w:val="000000"/>
                <w:sz w:val="18"/>
                <w:szCs w:val="21"/>
              </w:rPr>
              <w:t>感染代偿性肝病的核苷初治儿童患者，有病毒复制活跃和血清</w:t>
            </w:r>
            <w:r>
              <w:rPr>
                <w:rFonts w:ascii="Times New Roman" w:eastAsia="宋体"/>
                <w:color w:val="000000"/>
                <w:sz w:val="18"/>
                <w:szCs w:val="21"/>
              </w:rPr>
              <w:t>ALT</w:t>
            </w:r>
            <w:r>
              <w:rPr>
                <w:rFonts w:ascii="Times New Roman" w:eastAsia="宋体"/>
                <w:color w:val="000000"/>
                <w:sz w:val="18"/>
                <w:szCs w:val="21"/>
              </w:rPr>
              <w:t>水平持续升高的证据或中度至重度炎症和</w:t>
            </w:r>
            <w:r>
              <w:rPr>
                <w:rFonts w:ascii="Times New Roman" w:eastAsia="宋体"/>
                <w:color w:val="000000"/>
                <w:sz w:val="18"/>
                <w:szCs w:val="21"/>
              </w:rPr>
              <w:t>/</w:t>
            </w:r>
            <w:r>
              <w:rPr>
                <w:rFonts w:ascii="Times New Roman" w:eastAsia="宋体"/>
                <w:color w:val="000000"/>
                <w:sz w:val="18"/>
                <w:szCs w:val="21"/>
              </w:rPr>
              <w:t>或纤维化的组织学证据。</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22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21</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290" w:lineRule="exact"/>
              <w:jc w:val="center"/>
              <w:textAlignment w:val="center"/>
              <w:rPr>
                <w:rFonts w:ascii="Times New Roman" w:eastAsia="宋体"/>
                <w:bCs/>
                <w:color w:val="000000"/>
                <w:sz w:val="21"/>
                <w:szCs w:val="21"/>
              </w:rPr>
            </w:pPr>
            <w:proofErr w:type="gramStart"/>
            <w:r>
              <w:rPr>
                <w:rFonts w:ascii="Times New Roman" w:eastAsia="宋体"/>
                <w:color w:val="000000"/>
                <w:sz w:val="21"/>
                <w:szCs w:val="21"/>
              </w:rPr>
              <w:t>索磷维伏片</w:t>
            </w:r>
            <w:proofErr w:type="gramEnd"/>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本品适用于治疗既往接受过含直接抗病毒药物（</w:t>
            </w:r>
            <w:r>
              <w:rPr>
                <w:rFonts w:ascii="Times New Roman" w:eastAsia="宋体"/>
                <w:color w:val="000000"/>
                <w:sz w:val="18"/>
                <w:szCs w:val="21"/>
              </w:rPr>
              <w:t>DAA</w:t>
            </w:r>
            <w:r>
              <w:rPr>
                <w:rFonts w:ascii="Times New Roman" w:eastAsia="宋体"/>
                <w:color w:val="000000"/>
                <w:sz w:val="18"/>
                <w:szCs w:val="21"/>
              </w:rPr>
              <w:t>）方案、无肝硬化或伴代偿性肝硬化（</w:t>
            </w:r>
            <w:r>
              <w:rPr>
                <w:rFonts w:ascii="Times New Roman" w:eastAsia="宋体"/>
                <w:color w:val="000000"/>
                <w:sz w:val="18"/>
                <w:szCs w:val="21"/>
              </w:rPr>
              <w:t>Child-Pugh A</w:t>
            </w:r>
            <w:r>
              <w:rPr>
                <w:rFonts w:ascii="Times New Roman" w:eastAsia="宋体"/>
                <w:color w:val="000000"/>
                <w:sz w:val="18"/>
                <w:szCs w:val="21"/>
              </w:rPr>
              <w:t>）的成人慢性丙型肝炎病毒（</w:t>
            </w:r>
            <w:r>
              <w:rPr>
                <w:rFonts w:ascii="Times New Roman" w:eastAsia="宋体"/>
                <w:color w:val="000000"/>
                <w:sz w:val="18"/>
                <w:szCs w:val="21"/>
              </w:rPr>
              <w:t>HCV</w:t>
            </w:r>
            <w:r>
              <w:rPr>
                <w:rFonts w:ascii="Times New Roman" w:eastAsia="宋体"/>
                <w:color w:val="000000"/>
                <w:sz w:val="18"/>
                <w:szCs w:val="21"/>
              </w:rPr>
              <w:t>）感染。</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90"/>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22</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290" w:lineRule="exact"/>
              <w:jc w:val="center"/>
              <w:textAlignment w:val="center"/>
              <w:rPr>
                <w:rFonts w:ascii="Times New Roman" w:eastAsia="宋体"/>
                <w:bCs/>
                <w:color w:val="000000"/>
                <w:sz w:val="21"/>
                <w:szCs w:val="21"/>
              </w:rPr>
            </w:pPr>
            <w:proofErr w:type="gramStart"/>
            <w:r>
              <w:rPr>
                <w:rFonts w:ascii="Times New Roman" w:eastAsia="宋体"/>
                <w:color w:val="0D0D0D"/>
                <w:sz w:val="21"/>
                <w:szCs w:val="21"/>
              </w:rPr>
              <w:t>达诺瑞韦钠片</w:t>
            </w:r>
            <w:proofErr w:type="gramEnd"/>
          </w:p>
        </w:tc>
        <w:tc>
          <w:tcPr>
            <w:tcW w:w="876" w:type="pct"/>
            <w:noWrap/>
            <w:vAlign w:val="center"/>
          </w:tcPr>
          <w:p w:rsidR="002D3004" w:rsidRDefault="0093795E">
            <w:pPr>
              <w:widowControl/>
              <w:spacing w:line="240" w:lineRule="exact"/>
              <w:textAlignment w:val="top"/>
              <w:rPr>
                <w:rFonts w:ascii="Times New Roman" w:eastAsia="宋体"/>
                <w:bCs/>
                <w:color w:val="000000"/>
                <w:sz w:val="18"/>
                <w:szCs w:val="21"/>
              </w:rPr>
            </w:pPr>
            <w:r>
              <w:rPr>
                <w:rFonts w:ascii="Times New Roman" w:eastAsia="宋体"/>
                <w:color w:val="000000"/>
                <w:sz w:val="18"/>
                <w:szCs w:val="21"/>
              </w:rPr>
              <w:t>8.3</w:t>
            </w:r>
            <w:r>
              <w:rPr>
                <w:rFonts w:ascii="Times New Roman" w:eastAsia="宋体"/>
                <w:color w:val="000000"/>
                <w:sz w:val="18"/>
                <w:szCs w:val="21"/>
              </w:rPr>
              <w:t>元（</w:t>
            </w:r>
            <w:r>
              <w:rPr>
                <w:rFonts w:ascii="Times New Roman" w:eastAsia="宋体"/>
                <w:color w:val="000000"/>
                <w:sz w:val="18"/>
                <w:szCs w:val="21"/>
              </w:rPr>
              <w:t>100mg/</w:t>
            </w:r>
            <w:r>
              <w:rPr>
                <w:rFonts w:ascii="Times New Roman" w:eastAsia="宋体"/>
                <w:color w:val="000000"/>
                <w:sz w:val="18"/>
                <w:szCs w:val="21"/>
              </w:rPr>
              <w:t>片）（协议有效期内，谈判企业负责向购买</w:t>
            </w:r>
            <w:proofErr w:type="gramStart"/>
            <w:r>
              <w:rPr>
                <w:rFonts w:ascii="Times New Roman" w:eastAsia="宋体"/>
                <w:color w:val="000000"/>
                <w:sz w:val="18"/>
                <w:szCs w:val="21"/>
              </w:rPr>
              <w:t>达诺瑞韦钠片的</w:t>
            </w:r>
            <w:proofErr w:type="gramEnd"/>
            <w:r>
              <w:rPr>
                <w:rFonts w:ascii="Times New Roman" w:eastAsia="宋体"/>
                <w:color w:val="000000"/>
                <w:sz w:val="18"/>
                <w:szCs w:val="21"/>
              </w:rPr>
              <w:t>患者免费提供同疗程和相应剂量的利托那韦和利巴韦林，详见说明书）</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与盐酸拉维达韦片等联合用于治疗初治的非肝硬化的基因</w:t>
            </w:r>
            <w:r>
              <w:rPr>
                <w:rFonts w:ascii="Times New Roman" w:eastAsia="宋体"/>
                <w:color w:val="000000"/>
                <w:sz w:val="18"/>
                <w:szCs w:val="21"/>
              </w:rPr>
              <w:t>1b</w:t>
            </w:r>
            <w:r>
              <w:rPr>
                <w:rFonts w:ascii="Times New Roman" w:eastAsia="宋体"/>
                <w:color w:val="000000"/>
                <w:sz w:val="18"/>
                <w:szCs w:val="21"/>
              </w:rPr>
              <w:t>型慢性丙型肝炎成人患者（用法用量详见盐酸拉维达韦片说明书）。</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128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23</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290" w:lineRule="exact"/>
              <w:textAlignment w:val="center"/>
              <w:rPr>
                <w:rFonts w:ascii="Times New Roman" w:eastAsia="宋体"/>
                <w:bCs/>
                <w:color w:val="000000"/>
                <w:sz w:val="21"/>
                <w:szCs w:val="21"/>
              </w:rPr>
            </w:pPr>
            <w:r>
              <w:rPr>
                <w:rFonts w:ascii="Times New Roman" w:eastAsia="宋体"/>
                <w:color w:val="000000"/>
                <w:sz w:val="21"/>
                <w:szCs w:val="21"/>
              </w:rPr>
              <w:t>盐酸拉维达韦片</w:t>
            </w:r>
          </w:p>
        </w:tc>
        <w:tc>
          <w:tcPr>
            <w:tcW w:w="876" w:type="pct"/>
            <w:noWrap/>
            <w:vAlign w:val="center"/>
          </w:tcPr>
          <w:p w:rsidR="002D3004" w:rsidRDefault="0093795E">
            <w:pPr>
              <w:widowControl/>
              <w:spacing w:line="240" w:lineRule="exact"/>
              <w:ind w:left="-57" w:right="-57"/>
              <w:textAlignment w:val="top"/>
              <w:rPr>
                <w:rFonts w:ascii="Times New Roman" w:eastAsia="宋体"/>
                <w:bCs/>
                <w:color w:val="000000"/>
                <w:sz w:val="18"/>
                <w:szCs w:val="21"/>
              </w:rPr>
            </w:pPr>
            <w:r>
              <w:rPr>
                <w:rFonts w:ascii="Times New Roman" w:eastAsia="宋体"/>
                <w:color w:val="000000"/>
                <w:sz w:val="18"/>
                <w:szCs w:val="21"/>
              </w:rPr>
              <w:t>51.12</w:t>
            </w:r>
            <w:r>
              <w:rPr>
                <w:rFonts w:ascii="Times New Roman" w:eastAsia="宋体"/>
                <w:color w:val="000000"/>
                <w:sz w:val="18"/>
                <w:szCs w:val="21"/>
              </w:rPr>
              <w:t>元（</w:t>
            </w:r>
            <w:r>
              <w:rPr>
                <w:rFonts w:ascii="Times New Roman" w:eastAsia="宋体"/>
                <w:color w:val="000000"/>
                <w:sz w:val="18"/>
                <w:szCs w:val="21"/>
              </w:rPr>
              <w:t>0.2g/</w:t>
            </w:r>
            <w:r>
              <w:rPr>
                <w:rFonts w:ascii="Times New Roman" w:eastAsia="宋体"/>
                <w:color w:val="000000"/>
                <w:sz w:val="18"/>
                <w:szCs w:val="21"/>
              </w:rPr>
              <w:t>片）（协议有效期内，谈判企业负责向购买盐酸拉维达韦片的患者免费提供同疗程和相应剂量的利托那韦和利巴韦林，详见说明书）</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盐酸拉维达韦</w:t>
            </w:r>
            <w:proofErr w:type="gramStart"/>
            <w:r>
              <w:rPr>
                <w:rFonts w:ascii="Times New Roman" w:eastAsia="宋体"/>
                <w:color w:val="000000"/>
                <w:sz w:val="18"/>
                <w:szCs w:val="21"/>
              </w:rPr>
              <w:t>片联合</w:t>
            </w:r>
            <w:proofErr w:type="gramEnd"/>
            <w:r>
              <w:rPr>
                <w:rFonts w:ascii="Times New Roman" w:eastAsia="宋体"/>
                <w:color w:val="000000"/>
                <w:sz w:val="18"/>
                <w:szCs w:val="21"/>
              </w:rPr>
              <w:t>利托那韦强化的</w:t>
            </w:r>
            <w:proofErr w:type="gramStart"/>
            <w:r>
              <w:rPr>
                <w:rFonts w:ascii="Times New Roman" w:eastAsia="宋体"/>
                <w:color w:val="000000"/>
                <w:sz w:val="18"/>
                <w:szCs w:val="21"/>
              </w:rPr>
              <w:t>达诺瑞韦钠片和</w:t>
            </w:r>
            <w:proofErr w:type="gramEnd"/>
            <w:r>
              <w:rPr>
                <w:rFonts w:ascii="Times New Roman" w:eastAsia="宋体"/>
                <w:color w:val="000000"/>
                <w:sz w:val="18"/>
                <w:szCs w:val="21"/>
              </w:rPr>
              <w:t>利巴韦林，用于治疗初治的基因</w:t>
            </w:r>
            <w:proofErr w:type="spellStart"/>
            <w:r>
              <w:rPr>
                <w:rFonts w:ascii="Times New Roman" w:eastAsia="宋体"/>
                <w:color w:val="000000"/>
                <w:sz w:val="18"/>
                <w:szCs w:val="21"/>
              </w:rPr>
              <w:t>lb</w:t>
            </w:r>
            <w:proofErr w:type="spellEnd"/>
            <w:r>
              <w:rPr>
                <w:rFonts w:ascii="Times New Roman" w:eastAsia="宋体"/>
                <w:color w:val="000000"/>
                <w:sz w:val="18"/>
                <w:szCs w:val="21"/>
              </w:rPr>
              <w:t>型慢性丙型肝炎病毒感染的非肝硬化成人患者。盐酸拉维达韦</w:t>
            </w:r>
            <w:proofErr w:type="gramStart"/>
            <w:r>
              <w:rPr>
                <w:rFonts w:ascii="Times New Roman" w:eastAsia="宋体"/>
                <w:color w:val="000000"/>
                <w:sz w:val="18"/>
                <w:szCs w:val="21"/>
              </w:rPr>
              <w:t>片不得</w:t>
            </w:r>
            <w:proofErr w:type="gramEnd"/>
            <w:r>
              <w:rPr>
                <w:rFonts w:ascii="Times New Roman" w:eastAsia="宋体"/>
                <w:color w:val="000000"/>
                <w:sz w:val="18"/>
                <w:szCs w:val="21"/>
              </w:rPr>
              <w:t>作为单药治疗。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22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24</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磷酸依</w:t>
            </w:r>
            <w:proofErr w:type="gramStart"/>
            <w:r>
              <w:rPr>
                <w:rFonts w:ascii="Times New Roman" w:eastAsia="宋体"/>
                <w:color w:val="000000"/>
                <w:sz w:val="21"/>
                <w:szCs w:val="21"/>
              </w:rPr>
              <w:t>米他韦胶囊</w:t>
            </w:r>
            <w:proofErr w:type="gramEnd"/>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磷酸依</w:t>
            </w:r>
            <w:proofErr w:type="gramStart"/>
            <w:r>
              <w:rPr>
                <w:rFonts w:ascii="Times New Roman" w:eastAsia="宋体"/>
                <w:color w:val="000000"/>
                <w:sz w:val="18"/>
                <w:szCs w:val="21"/>
              </w:rPr>
              <w:t>米他韦胶囊</w:t>
            </w:r>
            <w:proofErr w:type="gramEnd"/>
            <w:r>
              <w:rPr>
                <w:rFonts w:ascii="Times New Roman" w:eastAsia="宋体"/>
                <w:color w:val="000000"/>
                <w:sz w:val="18"/>
                <w:szCs w:val="21"/>
              </w:rPr>
              <w:t>需</w:t>
            </w:r>
            <w:proofErr w:type="gramStart"/>
            <w:r>
              <w:rPr>
                <w:rFonts w:ascii="Times New Roman" w:eastAsia="宋体"/>
                <w:color w:val="000000"/>
                <w:sz w:val="18"/>
                <w:szCs w:val="21"/>
              </w:rPr>
              <w:t>与索磷布</w:t>
            </w:r>
            <w:proofErr w:type="gramEnd"/>
            <w:r>
              <w:rPr>
                <w:rFonts w:ascii="Times New Roman" w:eastAsia="宋体"/>
                <w:color w:val="000000"/>
                <w:sz w:val="18"/>
                <w:szCs w:val="21"/>
              </w:rPr>
              <w:t>韦片联合，用于治疗成人基因</w:t>
            </w:r>
            <w:r>
              <w:rPr>
                <w:rFonts w:ascii="Times New Roman" w:eastAsia="宋体"/>
                <w:color w:val="000000"/>
                <w:sz w:val="18"/>
                <w:szCs w:val="21"/>
              </w:rPr>
              <w:t>1</w:t>
            </w:r>
            <w:r>
              <w:rPr>
                <w:rFonts w:ascii="Times New Roman" w:eastAsia="宋体"/>
                <w:color w:val="000000"/>
                <w:sz w:val="18"/>
                <w:szCs w:val="21"/>
              </w:rPr>
              <w:t>型非肝硬化慢性丙型肝炎。磷酸依</w:t>
            </w:r>
            <w:proofErr w:type="gramStart"/>
            <w:r>
              <w:rPr>
                <w:rFonts w:ascii="Times New Roman" w:eastAsia="宋体"/>
                <w:color w:val="000000"/>
                <w:sz w:val="18"/>
                <w:szCs w:val="21"/>
              </w:rPr>
              <w:t>米他韦胶囊</w:t>
            </w:r>
            <w:proofErr w:type="gramEnd"/>
            <w:r>
              <w:rPr>
                <w:rFonts w:ascii="Times New Roman" w:eastAsia="宋体"/>
                <w:color w:val="000000"/>
                <w:sz w:val="18"/>
                <w:szCs w:val="21"/>
              </w:rPr>
              <w:t>不得作为单药治疗。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876"/>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25</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比克</w:t>
            </w:r>
            <w:proofErr w:type="gramStart"/>
            <w:r>
              <w:rPr>
                <w:rFonts w:ascii="Times New Roman" w:eastAsia="宋体"/>
                <w:color w:val="000000"/>
                <w:sz w:val="21"/>
                <w:szCs w:val="21"/>
              </w:rPr>
              <w:t>恩丙诺片</w:t>
            </w:r>
            <w:proofErr w:type="gramEnd"/>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本品适用于作为完整方案治疗人类免疫缺陷病毒</w:t>
            </w:r>
            <w:r>
              <w:rPr>
                <w:rFonts w:ascii="Times New Roman" w:eastAsia="宋体"/>
                <w:color w:val="000000"/>
                <w:sz w:val="18"/>
                <w:szCs w:val="21"/>
              </w:rPr>
              <w:t>1</w:t>
            </w:r>
            <w:r>
              <w:rPr>
                <w:rFonts w:ascii="Times New Roman" w:eastAsia="宋体"/>
                <w:color w:val="000000"/>
                <w:sz w:val="18"/>
                <w:szCs w:val="21"/>
              </w:rPr>
              <w:t>型（</w:t>
            </w:r>
            <w:r>
              <w:rPr>
                <w:rFonts w:ascii="Times New Roman" w:eastAsia="宋体"/>
                <w:color w:val="000000"/>
                <w:sz w:val="18"/>
                <w:szCs w:val="21"/>
              </w:rPr>
              <w:t>HIV-1</w:t>
            </w:r>
            <w:r>
              <w:rPr>
                <w:rFonts w:ascii="Times New Roman" w:eastAsia="宋体"/>
                <w:color w:val="000000"/>
                <w:sz w:val="18"/>
                <w:szCs w:val="21"/>
              </w:rPr>
              <w:t>）感染的成人，且患者目前和既往无对整合酶抑制剂类药物、</w:t>
            </w:r>
            <w:proofErr w:type="gramStart"/>
            <w:r>
              <w:rPr>
                <w:rFonts w:ascii="Times New Roman" w:eastAsia="宋体"/>
                <w:color w:val="000000"/>
                <w:sz w:val="18"/>
                <w:szCs w:val="21"/>
              </w:rPr>
              <w:t>恩曲他滨或替诺福韦产生</w:t>
            </w:r>
            <w:proofErr w:type="gramEnd"/>
            <w:r>
              <w:rPr>
                <w:rFonts w:ascii="Times New Roman" w:eastAsia="宋体"/>
                <w:color w:val="000000"/>
                <w:sz w:val="18"/>
                <w:szCs w:val="21"/>
              </w:rPr>
              <w:t>病毒耐药性的证据。</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821"/>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26</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D0D0D"/>
                <w:sz w:val="21"/>
                <w:szCs w:val="21"/>
              </w:rPr>
              <w:t>艾诺韦林片</w:t>
            </w:r>
          </w:p>
        </w:tc>
        <w:tc>
          <w:tcPr>
            <w:tcW w:w="876" w:type="pct"/>
            <w:noWrap/>
            <w:vAlign w:val="center"/>
          </w:tcPr>
          <w:p w:rsidR="002D3004" w:rsidRDefault="0093795E">
            <w:pPr>
              <w:widowControl/>
              <w:spacing w:line="240" w:lineRule="exact"/>
              <w:jc w:val="left"/>
              <w:textAlignment w:val="top"/>
              <w:rPr>
                <w:rFonts w:ascii="Times New Roman" w:eastAsia="宋体"/>
                <w:bCs/>
                <w:color w:val="000000"/>
                <w:sz w:val="18"/>
                <w:szCs w:val="21"/>
              </w:rPr>
            </w:pPr>
            <w:r>
              <w:rPr>
                <w:rFonts w:ascii="Times New Roman" w:eastAsia="宋体"/>
                <w:color w:val="000000"/>
                <w:sz w:val="18"/>
                <w:szCs w:val="21"/>
              </w:rPr>
              <w:t>8.58</w:t>
            </w:r>
            <w:r>
              <w:rPr>
                <w:rFonts w:ascii="Times New Roman" w:eastAsia="宋体"/>
                <w:color w:val="000000"/>
                <w:sz w:val="18"/>
                <w:szCs w:val="21"/>
              </w:rPr>
              <w:t>元（</w:t>
            </w:r>
            <w:r>
              <w:rPr>
                <w:rFonts w:ascii="Times New Roman" w:eastAsia="宋体"/>
                <w:color w:val="000000"/>
                <w:sz w:val="18"/>
                <w:szCs w:val="21"/>
              </w:rPr>
              <w:t>75mg/</w:t>
            </w:r>
            <w:r>
              <w:rPr>
                <w:rFonts w:ascii="Times New Roman" w:eastAsia="宋体"/>
                <w:color w:val="000000"/>
                <w:sz w:val="18"/>
                <w:szCs w:val="21"/>
              </w:rPr>
              <w:t>片）</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本品适用于与核苷类抗逆转录病毒药物联合使用，治疗成人</w:t>
            </w:r>
            <w:r>
              <w:rPr>
                <w:rFonts w:ascii="Times New Roman" w:eastAsia="宋体"/>
                <w:color w:val="000000"/>
                <w:sz w:val="18"/>
                <w:szCs w:val="21"/>
              </w:rPr>
              <w:t>HIV-1</w:t>
            </w:r>
            <w:r>
              <w:rPr>
                <w:rFonts w:ascii="Times New Roman" w:eastAsia="宋体"/>
                <w:color w:val="000000"/>
                <w:sz w:val="18"/>
                <w:szCs w:val="21"/>
              </w:rPr>
              <w:t>感染初治患者。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63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27</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proofErr w:type="gramStart"/>
            <w:r>
              <w:rPr>
                <w:rFonts w:ascii="Times New Roman" w:eastAsia="宋体"/>
                <w:color w:val="0D0D0D"/>
                <w:sz w:val="21"/>
                <w:szCs w:val="21"/>
              </w:rPr>
              <w:t>拉米夫定多替拉韦</w:t>
            </w:r>
            <w:proofErr w:type="gramEnd"/>
            <w:r>
              <w:rPr>
                <w:rFonts w:ascii="Times New Roman" w:eastAsia="宋体"/>
                <w:color w:val="0D0D0D"/>
                <w:sz w:val="21"/>
                <w:szCs w:val="21"/>
              </w:rPr>
              <w:t>片</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作为完整治疗方案用于无抗逆转录病毒治疗史，且对本品任</w:t>
            </w:r>
            <w:proofErr w:type="gramStart"/>
            <w:r>
              <w:rPr>
                <w:rFonts w:ascii="Times New Roman" w:eastAsia="宋体"/>
                <w:color w:val="000000"/>
                <w:sz w:val="18"/>
                <w:szCs w:val="21"/>
              </w:rPr>
              <w:t>一</w:t>
            </w:r>
            <w:proofErr w:type="gramEnd"/>
            <w:r>
              <w:rPr>
                <w:rFonts w:ascii="Times New Roman" w:eastAsia="宋体"/>
                <w:color w:val="000000"/>
                <w:sz w:val="18"/>
                <w:szCs w:val="21"/>
              </w:rPr>
              <w:t>成分无已知耐药相关突变的</w:t>
            </w:r>
            <w:r>
              <w:rPr>
                <w:rFonts w:ascii="Times New Roman" w:eastAsia="宋体"/>
                <w:color w:val="000000"/>
                <w:sz w:val="18"/>
                <w:szCs w:val="21"/>
              </w:rPr>
              <w:t>1</w:t>
            </w:r>
            <w:proofErr w:type="gramStart"/>
            <w:r>
              <w:rPr>
                <w:rFonts w:ascii="Times New Roman" w:eastAsia="宋体"/>
                <w:color w:val="000000"/>
                <w:sz w:val="18"/>
                <w:szCs w:val="21"/>
              </w:rPr>
              <w:t>型人类</w:t>
            </w:r>
            <w:proofErr w:type="gramEnd"/>
            <w:r>
              <w:rPr>
                <w:rFonts w:ascii="Times New Roman" w:eastAsia="宋体"/>
                <w:color w:val="000000"/>
                <w:sz w:val="18"/>
                <w:szCs w:val="21"/>
              </w:rPr>
              <w:t>免疫缺陷病毒（</w:t>
            </w:r>
            <w:r>
              <w:rPr>
                <w:rFonts w:ascii="Times New Roman" w:eastAsia="宋体"/>
                <w:color w:val="000000"/>
                <w:sz w:val="18"/>
                <w:szCs w:val="21"/>
              </w:rPr>
              <w:t>HIV-1</w:t>
            </w:r>
            <w:r>
              <w:rPr>
                <w:rFonts w:ascii="Times New Roman" w:eastAsia="宋体"/>
                <w:color w:val="000000"/>
                <w:sz w:val="18"/>
                <w:szCs w:val="21"/>
              </w:rPr>
              <w:t>）感染成人患者。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881"/>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28</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玛巴洛沙韦片</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sz w:val="18"/>
                <w:szCs w:val="21"/>
              </w:rPr>
            </w:pPr>
            <w:r>
              <w:rPr>
                <w:rFonts w:ascii="Times New Roman" w:eastAsia="宋体"/>
                <w:color w:val="000000"/>
                <w:sz w:val="18"/>
                <w:szCs w:val="21"/>
              </w:rPr>
              <w:t>本品适用于</w:t>
            </w:r>
            <w:r>
              <w:rPr>
                <w:rFonts w:ascii="Times New Roman" w:eastAsia="宋体"/>
                <w:color w:val="000000"/>
                <w:sz w:val="18"/>
                <w:szCs w:val="21"/>
              </w:rPr>
              <w:t>12</w:t>
            </w:r>
            <w:r>
              <w:rPr>
                <w:rFonts w:ascii="Times New Roman" w:eastAsia="宋体"/>
                <w:color w:val="000000"/>
                <w:sz w:val="18"/>
                <w:szCs w:val="21"/>
              </w:rPr>
              <w:t>周岁及以上单纯性甲型和乙型流感患者，包括既往健康的患者以及存在流感并发症高风险的患者。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990"/>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lastRenderedPageBreak/>
              <w:t>29</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proofErr w:type="gramStart"/>
            <w:r>
              <w:rPr>
                <w:rFonts w:ascii="Times New Roman" w:eastAsia="宋体"/>
                <w:color w:val="000000"/>
                <w:sz w:val="21"/>
                <w:szCs w:val="21"/>
              </w:rPr>
              <w:t>奥妥珠单</w:t>
            </w:r>
            <w:proofErr w:type="gramEnd"/>
            <w:r>
              <w:rPr>
                <w:rFonts w:ascii="Times New Roman" w:eastAsia="宋体"/>
                <w:color w:val="000000"/>
                <w:sz w:val="21"/>
                <w:szCs w:val="21"/>
              </w:rPr>
              <w:t>抗注射液</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本品与化疗联合，用于初治的</w:t>
            </w:r>
            <w:r>
              <w:rPr>
                <w:rFonts w:ascii="Times New Roman" w:eastAsia="宋体"/>
                <w:color w:val="000000"/>
                <w:sz w:val="18"/>
                <w:szCs w:val="21"/>
              </w:rPr>
              <w:t>II</w:t>
            </w:r>
            <w:r>
              <w:rPr>
                <w:rFonts w:ascii="Times New Roman" w:eastAsia="宋体"/>
                <w:color w:val="000000"/>
                <w:sz w:val="18"/>
                <w:szCs w:val="21"/>
              </w:rPr>
              <w:t>期伴有巨大肿块、</w:t>
            </w:r>
            <w:r>
              <w:rPr>
                <w:rFonts w:ascii="Times New Roman" w:eastAsia="宋体"/>
                <w:color w:val="000000"/>
                <w:sz w:val="18"/>
                <w:szCs w:val="21"/>
              </w:rPr>
              <w:t>III</w:t>
            </w:r>
            <w:r>
              <w:rPr>
                <w:rFonts w:ascii="Times New Roman" w:eastAsia="宋体"/>
                <w:color w:val="000000"/>
                <w:sz w:val="18"/>
                <w:szCs w:val="21"/>
              </w:rPr>
              <w:t>期或</w:t>
            </w:r>
            <w:r>
              <w:rPr>
                <w:rFonts w:ascii="Times New Roman" w:eastAsia="宋体"/>
                <w:color w:val="000000"/>
                <w:sz w:val="18"/>
                <w:szCs w:val="21"/>
              </w:rPr>
              <w:t>IV</w:t>
            </w:r>
            <w:r>
              <w:rPr>
                <w:rFonts w:ascii="Times New Roman" w:eastAsia="宋体"/>
                <w:color w:val="000000"/>
                <w:sz w:val="18"/>
                <w:szCs w:val="21"/>
              </w:rPr>
              <w:t>期滤泡性淋巴瘤成人患者，达到至少部分缓解的患者随后用</w:t>
            </w:r>
            <w:proofErr w:type="gramStart"/>
            <w:r>
              <w:rPr>
                <w:rFonts w:ascii="Times New Roman" w:eastAsia="宋体"/>
                <w:color w:val="000000"/>
                <w:sz w:val="18"/>
                <w:szCs w:val="21"/>
              </w:rPr>
              <w:t>奥妥珠单抗维持</w:t>
            </w:r>
            <w:proofErr w:type="gramEnd"/>
            <w:r>
              <w:rPr>
                <w:rFonts w:ascii="Times New Roman" w:eastAsia="宋体"/>
                <w:color w:val="000000"/>
                <w:sz w:val="18"/>
                <w:szCs w:val="21"/>
              </w:rPr>
              <w:t>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89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30</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D0D0D"/>
                <w:sz w:val="21"/>
                <w:szCs w:val="21"/>
              </w:rPr>
              <w:t>达</w:t>
            </w:r>
            <w:proofErr w:type="gramStart"/>
            <w:r>
              <w:rPr>
                <w:rFonts w:ascii="Times New Roman" w:eastAsia="宋体"/>
                <w:color w:val="0D0D0D"/>
                <w:sz w:val="21"/>
                <w:szCs w:val="21"/>
              </w:rPr>
              <w:t>雷妥尤单</w:t>
            </w:r>
            <w:proofErr w:type="gramEnd"/>
            <w:r>
              <w:rPr>
                <w:rFonts w:ascii="Times New Roman" w:eastAsia="宋体"/>
                <w:color w:val="0D0D0D"/>
                <w:sz w:val="21"/>
                <w:szCs w:val="21"/>
              </w:rPr>
              <w:t>抗注射液</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w:t>
            </w:r>
            <w:r>
              <w:rPr>
                <w:rFonts w:ascii="Times New Roman" w:eastAsia="宋体"/>
                <w:color w:val="000000"/>
                <w:sz w:val="18"/>
                <w:szCs w:val="21"/>
              </w:rPr>
              <w:t>1.</w:t>
            </w:r>
            <w:r>
              <w:rPr>
                <w:rFonts w:ascii="Times New Roman" w:eastAsia="宋体" w:hint="eastAsia"/>
                <w:color w:val="000000"/>
                <w:sz w:val="18"/>
                <w:szCs w:val="21"/>
              </w:rPr>
              <w:t xml:space="preserve"> </w:t>
            </w:r>
            <w:r>
              <w:rPr>
                <w:rFonts w:ascii="Times New Roman" w:eastAsia="宋体"/>
                <w:color w:val="000000"/>
                <w:sz w:val="18"/>
                <w:szCs w:val="21"/>
              </w:rPr>
              <w:t>与来</w:t>
            </w:r>
            <w:proofErr w:type="gramStart"/>
            <w:r>
              <w:rPr>
                <w:rFonts w:ascii="Times New Roman" w:eastAsia="宋体"/>
                <w:color w:val="000000"/>
                <w:sz w:val="18"/>
                <w:szCs w:val="21"/>
              </w:rPr>
              <w:t>那度胺</w:t>
            </w:r>
            <w:proofErr w:type="gramEnd"/>
            <w:r>
              <w:rPr>
                <w:rFonts w:ascii="Times New Roman" w:eastAsia="宋体"/>
                <w:color w:val="000000"/>
                <w:sz w:val="18"/>
                <w:szCs w:val="21"/>
              </w:rPr>
              <w:t>和地塞米松联合用药或与</w:t>
            </w:r>
            <w:proofErr w:type="gramStart"/>
            <w:r>
              <w:rPr>
                <w:rFonts w:ascii="Times New Roman" w:eastAsia="宋体"/>
                <w:color w:val="000000"/>
                <w:sz w:val="18"/>
                <w:szCs w:val="21"/>
              </w:rPr>
              <w:t>硼替佐米</w:t>
            </w:r>
            <w:proofErr w:type="gramEnd"/>
            <w:r>
              <w:rPr>
                <w:rFonts w:ascii="Times New Roman" w:eastAsia="宋体"/>
                <w:color w:val="000000"/>
                <w:sz w:val="18"/>
                <w:szCs w:val="21"/>
              </w:rPr>
              <w:t>和地塞米松联合用药治疗既往至少接受过一线治疗的多发性骨髓瘤成年患者。</w:t>
            </w:r>
            <w:r>
              <w:rPr>
                <w:rFonts w:ascii="Times New Roman" w:eastAsia="宋体"/>
                <w:color w:val="000000"/>
                <w:sz w:val="18"/>
                <w:szCs w:val="21"/>
              </w:rPr>
              <w:t>2.</w:t>
            </w:r>
            <w:r>
              <w:rPr>
                <w:rFonts w:ascii="Times New Roman" w:eastAsia="宋体" w:hint="eastAsia"/>
                <w:color w:val="000000"/>
                <w:sz w:val="18"/>
                <w:szCs w:val="21"/>
              </w:rPr>
              <w:t xml:space="preserve"> </w:t>
            </w:r>
            <w:r>
              <w:rPr>
                <w:rFonts w:ascii="Times New Roman" w:eastAsia="宋体"/>
                <w:color w:val="000000"/>
                <w:sz w:val="18"/>
                <w:szCs w:val="21"/>
              </w:rPr>
              <w:t>单药治疗复发和难治性多发性骨髓瘤成年患者，患者既往接受过包括蛋白酶体抑制剂和免疫调节剂的治疗且最后一次治疗时出现疾病进展。</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672"/>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31</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甲苯磺酸多纳非尼片</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本品用于</w:t>
            </w:r>
            <w:proofErr w:type="gramStart"/>
            <w:r>
              <w:rPr>
                <w:rFonts w:ascii="Times New Roman" w:eastAsia="宋体"/>
                <w:color w:val="000000"/>
                <w:sz w:val="18"/>
                <w:szCs w:val="21"/>
              </w:rPr>
              <w:t>既往未</w:t>
            </w:r>
            <w:proofErr w:type="gramEnd"/>
            <w:r>
              <w:rPr>
                <w:rFonts w:ascii="Times New Roman" w:eastAsia="宋体"/>
                <w:color w:val="000000"/>
                <w:sz w:val="18"/>
                <w:szCs w:val="21"/>
              </w:rPr>
              <w:t>接受过全身系统性治疗的不可切除肝细胞癌患者。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1184"/>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32</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盐酸</w:t>
            </w:r>
            <w:proofErr w:type="gramStart"/>
            <w:r>
              <w:rPr>
                <w:rFonts w:ascii="Times New Roman" w:eastAsia="宋体"/>
                <w:color w:val="000000"/>
                <w:sz w:val="21"/>
                <w:szCs w:val="21"/>
              </w:rPr>
              <w:t>恩沙替尼</w:t>
            </w:r>
            <w:proofErr w:type="gramEnd"/>
            <w:r>
              <w:rPr>
                <w:rFonts w:ascii="Times New Roman" w:eastAsia="宋体"/>
                <w:color w:val="000000"/>
                <w:sz w:val="21"/>
                <w:szCs w:val="21"/>
              </w:rPr>
              <w:t>胶囊</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适用于此前接受过克</w:t>
            </w:r>
            <w:proofErr w:type="gramStart"/>
            <w:r>
              <w:rPr>
                <w:rFonts w:ascii="Times New Roman" w:eastAsia="宋体"/>
                <w:color w:val="000000"/>
                <w:sz w:val="18"/>
                <w:szCs w:val="21"/>
              </w:rPr>
              <w:t>唑替尼治疗</w:t>
            </w:r>
            <w:proofErr w:type="gramEnd"/>
            <w:r>
              <w:rPr>
                <w:rFonts w:ascii="Times New Roman" w:eastAsia="宋体"/>
                <w:color w:val="000000"/>
                <w:sz w:val="18"/>
                <w:szCs w:val="21"/>
              </w:rPr>
              <w:t>后进展的或者对克</w:t>
            </w:r>
            <w:proofErr w:type="gramStart"/>
            <w:r>
              <w:rPr>
                <w:rFonts w:ascii="Times New Roman" w:eastAsia="宋体"/>
                <w:color w:val="000000"/>
                <w:sz w:val="18"/>
                <w:szCs w:val="21"/>
              </w:rPr>
              <w:t>唑</w:t>
            </w:r>
            <w:proofErr w:type="gramEnd"/>
            <w:r>
              <w:rPr>
                <w:rFonts w:ascii="Times New Roman" w:eastAsia="宋体"/>
                <w:color w:val="000000"/>
                <w:sz w:val="18"/>
                <w:szCs w:val="21"/>
              </w:rPr>
              <w:t>替尼</w:t>
            </w:r>
            <w:proofErr w:type="gramStart"/>
            <w:r>
              <w:rPr>
                <w:rFonts w:ascii="Times New Roman" w:eastAsia="宋体"/>
                <w:color w:val="000000"/>
                <w:sz w:val="18"/>
                <w:szCs w:val="21"/>
              </w:rPr>
              <w:t>不</w:t>
            </w:r>
            <w:proofErr w:type="gramEnd"/>
            <w:r>
              <w:rPr>
                <w:rFonts w:ascii="Times New Roman" w:eastAsia="宋体"/>
                <w:color w:val="000000"/>
                <w:sz w:val="18"/>
                <w:szCs w:val="21"/>
              </w:rPr>
              <w:t>耐受的间变性淋巴瘤激酶（</w:t>
            </w:r>
            <w:r>
              <w:rPr>
                <w:rFonts w:ascii="Times New Roman" w:eastAsia="宋体"/>
                <w:color w:val="000000"/>
                <w:sz w:val="18"/>
                <w:szCs w:val="21"/>
              </w:rPr>
              <w:t>ALK</w:t>
            </w:r>
            <w:r>
              <w:rPr>
                <w:rFonts w:ascii="Times New Roman" w:eastAsia="宋体"/>
                <w:color w:val="000000"/>
                <w:sz w:val="18"/>
                <w:szCs w:val="21"/>
              </w:rPr>
              <w:t>）阳性的局部晚期或转移性非小细胞肺癌（</w:t>
            </w:r>
            <w:r>
              <w:rPr>
                <w:rFonts w:ascii="Times New Roman" w:eastAsia="宋体"/>
                <w:color w:val="000000"/>
                <w:sz w:val="18"/>
                <w:szCs w:val="21"/>
              </w:rPr>
              <w:t>NSCLC</w:t>
            </w:r>
            <w:r>
              <w:rPr>
                <w:rFonts w:ascii="Times New Roman" w:eastAsia="宋体"/>
                <w:color w:val="000000"/>
                <w:sz w:val="18"/>
                <w:szCs w:val="21"/>
              </w:rPr>
              <w:t>）患者的治疗。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304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33</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甲磺酸</w:t>
            </w:r>
            <w:proofErr w:type="gramStart"/>
            <w:r>
              <w:rPr>
                <w:rFonts w:ascii="Times New Roman" w:eastAsia="宋体"/>
                <w:color w:val="000000"/>
                <w:sz w:val="21"/>
                <w:szCs w:val="21"/>
              </w:rPr>
              <w:t>伏美替尼片</w:t>
            </w:r>
            <w:proofErr w:type="gramEnd"/>
          </w:p>
        </w:tc>
        <w:tc>
          <w:tcPr>
            <w:tcW w:w="876" w:type="pct"/>
            <w:noWrap/>
            <w:vAlign w:val="center"/>
          </w:tcPr>
          <w:p w:rsidR="002D3004" w:rsidRDefault="0093795E">
            <w:pPr>
              <w:widowControl/>
              <w:spacing w:line="240" w:lineRule="exact"/>
              <w:jc w:val="center"/>
              <w:textAlignment w:val="center"/>
              <w:rPr>
                <w:rFonts w:ascii="Times New Roman" w:eastAsia="宋体"/>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本品用于既往经表皮生长因子受体（</w:t>
            </w:r>
            <w:r>
              <w:rPr>
                <w:rFonts w:ascii="Times New Roman" w:eastAsia="宋体"/>
                <w:color w:val="000000"/>
                <w:sz w:val="18"/>
                <w:szCs w:val="21"/>
              </w:rPr>
              <w:t>EGFR</w:t>
            </w:r>
            <w:r>
              <w:rPr>
                <w:rFonts w:ascii="Times New Roman" w:eastAsia="宋体"/>
                <w:color w:val="000000"/>
                <w:sz w:val="18"/>
                <w:szCs w:val="21"/>
              </w:rPr>
              <w:t>）酪氨酸激酶抑制剂（</w:t>
            </w:r>
            <w:r>
              <w:rPr>
                <w:rFonts w:ascii="Times New Roman" w:eastAsia="宋体"/>
                <w:color w:val="000000"/>
                <w:sz w:val="18"/>
                <w:szCs w:val="21"/>
              </w:rPr>
              <w:t>TKI</w:t>
            </w:r>
            <w:r>
              <w:rPr>
                <w:rFonts w:ascii="Times New Roman" w:eastAsia="宋体"/>
                <w:color w:val="000000"/>
                <w:sz w:val="18"/>
                <w:szCs w:val="21"/>
              </w:rPr>
              <w:t>）治疗时或治疗后出现疾病进展，并且经检测确认存在</w:t>
            </w:r>
            <w:r>
              <w:rPr>
                <w:rFonts w:ascii="Times New Roman" w:eastAsia="宋体"/>
                <w:color w:val="000000"/>
                <w:sz w:val="18"/>
                <w:szCs w:val="21"/>
              </w:rPr>
              <w:t xml:space="preserve">EGFR </w:t>
            </w:r>
            <w:r>
              <w:rPr>
                <w:rFonts w:ascii="Times New Roman" w:eastAsia="宋体"/>
                <w:color w:val="000000"/>
                <w:sz w:val="18"/>
                <w:szCs w:val="21"/>
              </w:rPr>
              <w:t>T790M</w:t>
            </w:r>
            <w:r>
              <w:rPr>
                <w:rFonts w:ascii="Times New Roman" w:eastAsia="宋体"/>
                <w:color w:val="000000"/>
                <w:sz w:val="18"/>
                <w:szCs w:val="21"/>
              </w:rPr>
              <w:t>突变阳性的局部晚期或转移性非小细胞性肺癌（</w:t>
            </w:r>
            <w:r>
              <w:rPr>
                <w:rFonts w:ascii="Times New Roman" w:eastAsia="宋体"/>
                <w:color w:val="000000"/>
                <w:sz w:val="18"/>
                <w:szCs w:val="21"/>
              </w:rPr>
              <w:t>NSCLC</w:t>
            </w:r>
            <w:r>
              <w:rPr>
                <w:rFonts w:ascii="Times New Roman" w:eastAsia="宋体"/>
                <w:color w:val="000000"/>
                <w:sz w:val="18"/>
                <w:szCs w:val="21"/>
              </w:rPr>
              <w:t>）成人患者的治疗。该适应症是基于一项包括</w:t>
            </w:r>
            <w:r>
              <w:rPr>
                <w:rFonts w:ascii="Times New Roman" w:eastAsia="宋体"/>
                <w:color w:val="000000"/>
                <w:sz w:val="18"/>
                <w:szCs w:val="21"/>
              </w:rPr>
              <w:t>220</w:t>
            </w:r>
            <w:proofErr w:type="gramStart"/>
            <w:r>
              <w:rPr>
                <w:rFonts w:ascii="Times New Roman" w:eastAsia="宋体"/>
                <w:color w:val="000000"/>
                <w:sz w:val="18"/>
                <w:szCs w:val="21"/>
              </w:rPr>
              <w:t>例不可</w:t>
            </w:r>
            <w:proofErr w:type="gramEnd"/>
            <w:r>
              <w:rPr>
                <w:rFonts w:ascii="Times New Roman" w:eastAsia="宋体"/>
                <w:color w:val="000000"/>
                <w:sz w:val="18"/>
                <w:szCs w:val="21"/>
              </w:rPr>
              <w:t>手术切除的局部晚期或转移性、经第一</w:t>
            </w:r>
            <w:r>
              <w:rPr>
                <w:rFonts w:ascii="Times New Roman" w:eastAsia="宋体"/>
                <w:color w:val="000000"/>
                <w:sz w:val="18"/>
                <w:szCs w:val="21"/>
              </w:rPr>
              <w:t>/</w:t>
            </w:r>
            <w:r>
              <w:rPr>
                <w:rFonts w:ascii="Times New Roman" w:eastAsia="宋体"/>
                <w:color w:val="000000"/>
                <w:sz w:val="18"/>
                <w:szCs w:val="21"/>
              </w:rPr>
              <w:t>第二代</w:t>
            </w:r>
            <w:r>
              <w:rPr>
                <w:rFonts w:ascii="Times New Roman" w:eastAsia="宋体"/>
                <w:color w:val="000000"/>
                <w:sz w:val="18"/>
                <w:szCs w:val="21"/>
              </w:rPr>
              <w:t>EGFR TKI</w:t>
            </w:r>
            <w:r>
              <w:rPr>
                <w:rFonts w:ascii="Times New Roman" w:eastAsia="宋体"/>
                <w:color w:val="000000"/>
                <w:sz w:val="18"/>
                <w:szCs w:val="21"/>
              </w:rPr>
              <w:t>治疗进展并伴有</w:t>
            </w:r>
            <w:r>
              <w:rPr>
                <w:rFonts w:ascii="Times New Roman" w:eastAsia="宋体"/>
                <w:color w:val="000000"/>
                <w:sz w:val="18"/>
                <w:szCs w:val="21"/>
              </w:rPr>
              <w:t>EGFR T790M</w:t>
            </w:r>
            <w:r>
              <w:rPr>
                <w:rFonts w:ascii="Times New Roman" w:eastAsia="宋体"/>
                <w:color w:val="000000"/>
                <w:sz w:val="18"/>
                <w:szCs w:val="21"/>
              </w:rPr>
              <w:t>突变阳性、或原发性</w:t>
            </w:r>
            <w:r>
              <w:rPr>
                <w:rFonts w:ascii="Times New Roman" w:eastAsia="宋体"/>
                <w:color w:val="000000"/>
                <w:sz w:val="18"/>
                <w:szCs w:val="21"/>
              </w:rPr>
              <w:t>EGFR T790M</w:t>
            </w:r>
            <w:r>
              <w:rPr>
                <w:rFonts w:ascii="Times New Roman" w:eastAsia="宋体"/>
                <w:color w:val="000000"/>
                <w:sz w:val="18"/>
                <w:szCs w:val="21"/>
              </w:rPr>
              <w:t>突变阳性</w:t>
            </w:r>
            <w:r>
              <w:rPr>
                <w:rFonts w:ascii="Times New Roman" w:eastAsia="宋体"/>
                <w:color w:val="000000"/>
                <w:sz w:val="18"/>
                <w:szCs w:val="21"/>
              </w:rPr>
              <w:t>NSCLC</w:t>
            </w:r>
            <w:r>
              <w:rPr>
                <w:rFonts w:ascii="Times New Roman" w:eastAsia="宋体"/>
                <w:color w:val="000000"/>
                <w:sz w:val="18"/>
                <w:szCs w:val="21"/>
              </w:rPr>
              <w:t>患者的</w:t>
            </w:r>
            <w:proofErr w:type="spellStart"/>
            <w:r>
              <w:rPr>
                <w:rFonts w:ascii="Times New Roman" w:eastAsia="宋体"/>
                <w:color w:val="000000"/>
                <w:sz w:val="18"/>
                <w:szCs w:val="21"/>
              </w:rPr>
              <w:t>IIb</w:t>
            </w:r>
            <w:proofErr w:type="spellEnd"/>
            <w:r>
              <w:rPr>
                <w:rFonts w:ascii="Times New Roman" w:eastAsia="宋体"/>
                <w:color w:val="000000"/>
                <w:sz w:val="18"/>
                <w:szCs w:val="21"/>
              </w:rPr>
              <w:t>期临床试验的结果给予的附条件批准。该适应症的完全批准将取决于正在进行的确证性随机对照试验证实本品的临床获益。</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1677"/>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34</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proofErr w:type="gramStart"/>
            <w:r>
              <w:rPr>
                <w:rFonts w:ascii="Times New Roman" w:eastAsia="宋体"/>
                <w:color w:val="000000"/>
                <w:sz w:val="21"/>
                <w:szCs w:val="21"/>
              </w:rPr>
              <w:t>达可替尼片</w:t>
            </w:r>
            <w:proofErr w:type="gramEnd"/>
          </w:p>
        </w:tc>
        <w:tc>
          <w:tcPr>
            <w:tcW w:w="876" w:type="pct"/>
            <w:noWrap/>
            <w:vAlign w:val="center"/>
          </w:tcPr>
          <w:p w:rsidR="002D3004" w:rsidRDefault="0093795E">
            <w:pPr>
              <w:widowControl/>
              <w:spacing w:line="240" w:lineRule="exact"/>
              <w:jc w:val="center"/>
              <w:textAlignment w:val="center"/>
              <w:rPr>
                <w:rFonts w:ascii="Times New Roman" w:eastAsia="宋体"/>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单药用于表皮生长因子受体（</w:t>
            </w:r>
            <w:r>
              <w:rPr>
                <w:rFonts w:ascii="Times New Roman" w:eastAsia="宋体"/>
                <w:color w:val="000000"/>
                <w:sz w:val="18"/>
                <w:szCs w:val="21"/>
              </w:rPr>
              <w:t>EGFR</w:t>
            </w:r>
            <w:r>
              <w:rPr>
                <w:rFonts w:ascii="Times New Roman" w:eastAsia="宋体"/>
                <w:color w:val="000000"/>
                <w:sz w:val="18"/>
                <w:szCs w:val="21"/>
              </w:rPr>
              <w:t>）</w:t>
            </w:r>
            <w:r>
              <w:rPr>
                <w:rFonts w:ascii="Times New Roman" w:eastAsia="宋体"/>
                <w:color w:val="000000"/>
                <w:sz w:val="18"/>
                <w:szCs w:val="21"/>
              </w:rPr>
              <w:t>19</w:t>
            </w:r>
            <w:r>
              <w:rPr>
                <w:rFonts w:ascii="Times New Roman" w:eastAsia="宋体"/>
                <w:color w:val="000000"/>
                <w:sz w:val="18"/>
                <w:szCs w:val="21"/>
              </w:rPr>
              <w:t>号外显子缺失突变或</w:t>
            </w:r>
            <w:r>
              <w:rPr>
                <w:rFonts w:ascii="Times New Roman" w:eastAsia="宋体"/>
                <w:color w:val="000000"/>
                <w:sz w:val="18"/>
                <w:szCs w:val="21"/>
              </w:rPr>
              <w:t>21</w:t>
            </w:r>
            <w:r>
              <w:rPr>
                <w:rFonts w:ascii="Times New Roman" w:eastAsia="宋体"/>
                <w:color w:val="000000"/>
                <w:sz w:val="18"/>
                <w:szCs w:val="21"/>
              </w:rPr>
              <w:t>号外显子</w:t>
            </w:r>
            <w:r>
              <w:rPr>
                <w:rFonts w:ascii="Times New Roman" w:eastAsia="宋体"/>
                <w:color w:val="000000"/>
                <w:sz w:val="18"/>
                <w:szCs w:val="21"/>
              </w:rPr>
              <w:t>L858R</w:t>
            </w:r>
            <w:r>
              <w:rPr>
                <w:rFonts w:ascii="Times New Roman" w:eastAsia="宋体"/>
                <w:color w:val="000000"/>
                <w:sz w:val="18"/>
                <w:szCs w:val="21"/>
              </w:rPr>
              <w:t>置换突变的局部晚期或转移性非小细胞肺癌（</w:t>
            </w:r>
            <w:r>
              <w:rPr>
                <w:rFonts w:ascii="Times New Roman" w:eastAsia="宋体"/>
                <w:color w:val="000000"/>
                <w:sz w:val="18"/>
                <w:szCs w:val="21"/>
              </w:rPr>
              <w:t>NSCLC</w:t>
            </w:r>
            <w:r>
              <w:rPr>
                <w:rFonts w:ascii="Times New Roman" w:eastAsia="宋体"/>
                <w:color w:val="000000"/>
                <w:sz w:val="18"/>
                <w:szCs w:val="21"/>
              </w:rPr>
              <w:t>）患者的一线治疗。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2318"/>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35</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奥</w:t>
            </w:r>
            <w:proofErr w:type="gramStart"/>
            <w:r>
              <w:rPr>
                <w:rFonts w:ascii="Times New Roman" w:eastAsia="宋体"/>
                <w:color w:val="000000"/>
                <w:sz w:val="21"/>
                <w:szCs w:val="21"/>
              </w:rPr>
              <w:t>布替尼片</w:t>
            </w:r>
            <w:proofErr w:type="gramEnd"/>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本品适用于治疗：</w:t>
            </w:r>
            <w:r>
              <w:rPr>
                <w:rFonts w:ascii="Times New Roman" w:eastAsia="宋体"/>
                <w:color w:val="000000"/>
                <w:sz w:val="18"/>
                <w:szCs w:val="21"/>
              </w:rPr>
              <w:t>1.</w:t>
            </w:r>
            <w:r>
              <w:rPr>
                <w:rFonts w:ascii="Times New Roman" w:eastAsia="宋体"/>
                <w:color w:val="000000"/>
                <w:sz w:val="18"/>
                <w:szCs w:val="21"/>
              </w:rPr>
              <w:t>既往至少接受过一种治疗的成人套细胞淋巴瘤（</w:t>
            </w:r>
            <w:r>
              <w:rPr>
                <w:rFonts w:ascii="Times New Roman" w:eastAsia="宋体"/>
                <w:color w:val="000000"/>
                <w:sz w:val="18"/>
                <w:szCs w:val="21"/>
              </w:rPr>
              <w:t>MCL</w:t>
            </w:r>
            <w:r>
              <w:rPr>
                <w:rFonts w:ascii="Times New Roman" w:eastAsia="宋体"/>
                <w:color w:val="000000"/>
                <w:sz w:val="18"/>
                <w:szCs w:val="21"/>
              </w:rPr>
              <w:t>）患者。</w:t>
            </w:r>
            <w:r>
              <w:rPr>
                <w:rFonts w:ascii="Times New Roman" w:eastAsia="宋体"/>
                <w:color w:val="000000"/>
                <w:sz w:val="18"/>
                <w:szCs w:val="21"/>
              </w:rPr>
              <w:t>2.</w:t>
            </w:r>
            <w:r>
              <w:rPr>
                <w:rFonts w:ascii="Times New Roman" w:eastAsia="宋体"/>
                <w:color w:val="000000"/>
                <w:sz w:val="18"/>
                <w:szCs w:val="21"/>
              </w:rPr>
              <w:t>既往至少接受过一种治疗的成人慢性淋巴细胞白血病（</w:t>
            </w:r>
            <w:r>
              <w:rPr>
                <w:rFonts w:ascii="Times New Roman" w:eastAsia="宋体"/>
                <w:color w:val="000000"/>
                <w:sz w:val="18"/>
                <w:szCs w:val="21"/>
              </w:rPr>
              <w:t>CLL</w:t>
            </w:r>
            <w:r>
              <w:rPr>
                <w:rFonts w:ascii="Times New Roman" w:eastAsia="宋体"/>
                <w:color w:val="000000"/>
                <w:sz w:val="18"/>
                <w:szCs w:val="21"/>
              </w:rPr>
              <w:t>）</w:t>
            </w:r>
            <w:r>
              <w:rPr>
                <w:rFonts w:ascii="Times New Roman" w:eastAsia="宋体"/>
                <w:color w:val="000000"/>
                <w:sz w:val="18"/>
                <w:szCs w:val="21"/>
              </w:rPr>
              <w:t>/</w:t>
            </w:r>
            <w:r>
              <w:rPr>
                <w:rFonts w:ascii="Times New Roman" w:eastAsia="宋体"/>
                <w:color w:val="000000"/>
                <w:sz w:val="18"/>
                <w:szCs w:val="21"/>
              </w:rPr>
              <w:t>小淋巴细胞淋巴瘤（</w:t>
            </w:r>
            <w:r>
              <w:rPr>
                <w:rFonts w:ascii="Times New Roman" w:eastAsia="宋体"/>
                <w:color w:val="000000"/>
                <w:sz w:val="18"/>
                <w:szCs w:val="21"/>
              </w:rPr>
              <w:t>SLL</w:t>
            </w:r>
            <w:r>
              <w:rPr>
                <w:rFonts w:ascii="Times New Roman" w:eastAsia="宋体"/>
                <w:color w:val="000000"/>
                <w:sz w:val="18"/>
                <w:szCs w:val="21"/>
              </w:rPr>
              <w:t>）患者。上述适应症分别基于一项单臂临床试验的客观缓解率结果给予的附条件批准。本品的完全批准将取决于正在开展中的确证性随机对照临床试验结果。</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1298"/>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lastRenderedPageBreak/>
              <w:t>36</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阿贝西利片</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本品适用于激素受体（</w:t>
            </w:r>
            <w:r>
              <w:rPr>
                <w:rFonts w:ascii="Times New Roman" w:eastAsia="宋体"/>
                <w:color w:val="000000"/>
                <w:sz w:val="18"/>
                <w:szCs w:val="21"/>
              </w:rPr>
              <w:t>HR</w:t>
            </w:r>
            <w:r>
              <w:rPr>
                <w:rFonts w:ascii="Times New Roman" w:eastAsia="宋体"/>
                <w:color w:val="000000"/>
                <w:sz w:val="18"/>
                <w:szCs w:val="21"/>
              </w:rPr>
              <w:t>）阳性、人表皮生长因子受体</w:t>
            </w:r>
            <w:r>
              <w:rPr>
                <w:rFonts w:ascii="Times New Roman" w:eastAsia="宋体"/>
                <w:color w:val="000000"/>
                <w:sz w:val="18"/>
                <w:szCs w:val="21"/>
              </w:rPr>
              <w:t>2</w:t>
            </w:r>
            <w:r>
              <w:rPr>
                <w:rFonts w:ascii="Times New Roman" w:eastAsia="宋体"/>
                <w:color w:val="000000"/>
                <w:sz w:val="18"/>
                <w:szCs w:val="21"/>
              </w:rPr>
              <w:t>（</w:t>
            </w:r>
            <w:r>
              <w:rPr>
                <w:rFonts w:ascii="Times New Roman" w:eastAsia="宋体"/>
                <w:color w:val="000000"/>
                <w:sz w:val="18"/>
                <w:szCs w:val="21"/>
              </w:rPr>
              <w:t>HER2</w:t>
            </w:r>
            <w:r>
              <w:rPr>
                <w:rFonts w:ascii="Times New Roman" w:eastAsia="宋体"/>
                <w:color w:val="000000"/>
                <w:sz w:val="18"/>
                <w:szCs w:val="21"/>
              </w:rPr>
              <w:t>）阴性的局部晚期或转移性乳腺癌：</w:t>
            </w:r>
            <w:r>
              <w:rPr>
                <w:rFonts w:ascii="Times New Roman" w:eastAsia="宋体"/>
                <w:color w:val="000000"/>
                <w:sz w:val="18"/>
                <w:szCs w:val="21"/>
              </w:rPr>
              <w:t>1.</w:t>
            </w:r>
            <w:r>
              <w:rPr>
                <w:rFonts w:ascii="Times New Roman" w:eastAsia="宋体"/>
                <w:color w:val="000000"/>
                <w:sz w:val="18"/>
                <w:szCs w:val="21"/>
              </w:rPr>
              <w:t>与芳香化酶抑制</w:t>
            </w:r>
            <w:proofErr w:type="gramStart"/>
            <w:r>
              <w:rPr>
                <w:rFonts w:ascii="Times New Roman" w:eastAsia="宋体"/>
                <w:color w:val="000000"/>
                <w:sz w:val="18"/>
                <w:szCs w:val="21"/>
              </w:rPr>
              <w:t>剂联合</w:t>
            </w:r>
            <w:proofErr w:type="gramEnd"/>
            <w:r>
              <w:rPr>
                <w:rFonts w:ascii="Times New Roman" w:eastAsia="宋体"/>
                <w:color w:val="000000"/>
                <w:sz w:val="18"/>
                <w:szCs w:val="21"/>
              </w:rPr>
              <w:t>使用作为绝经后女性患者的初始内分泌治疗；</w:t>
            </w:r>
            <w:r>
              <w:rPr>
                <w:rFonts w:ascii="Times New Roman" w:eastAsia="宋体"/>
                <w:color w:val="000000"/>
                <w:sz w:val="18"/>
                <w:szCs w:val="21"/>
              </w:rPr>
              <w:t>2.</w:t>
            </w:r>
            <w:r>
              <w:rPr>
                <w:rFonts w:ascii="Times New Roman" w:eastAsia="宋体"/>
                <w:color w:val="000000"/>
                <w:sz w:val="18"/>
                <w:szCs w:val="21"/>
              </w:rPr>
              <w:t>与</w:t>
            </w:r>
            <w:proofErr w:type="gramStart"/>
            <w:r>
              <w:rPr>
                <w:rFonts w:ascii="Times New Roman" w:eastAsia="宋体"/>
                <w:color w:val="000000"/>
                <w:sz w:val="18"/>
                <w:szCs w:val="21"/>
              </w:rPr>
              <w:t>氟维司群</w:t>
            </w:r>
            <w:proofErr w:type="gramEnd"/>
            <w:r>
              <w:rPr>
                <w:rFonts w:ascii="Times New Roman" w:eastAsia="宋体"/>
                <w:color w:val="000000"/>
                <w:sz w:val="18"/>
                <w:szCs w:val="21"/>
              </w:rPr>
              <w:t>联合用于</w:t>
            </w:r>
            <w:proofErr w:type="gramStart"/>
            <w:r>
              <w:rPr>
                <w:rFonts w:ascii="Times New Roman" w:eastAsia="宋体"/>
                <w:color w:val="000000"/>
                <w:sz w:val="18"/>
                <w:szCs w:val="21"/>
              </w:rPr>
              <w:t>既往曾</w:t>
            </w:r>
            <w:proofErr w:type="gramEnd"/>
            <w:r>
              <w:rPr>
                <w:rFonts w:ascii="Times New Roman" w:eastAsia="宋体"/>
                <w:color w:val="000000"/>
                <w:sz w:val="18"/>
                <w:szCs w:val="21"/>
              </w:rPr>
              <w:t>接受内分泌治疗后出现疾病进展的患者。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81"/>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37</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马来酸奈</w:t>
            </w:r>
            <w:proofErr w:type="gramStart"/>
            <w:r>
              <w:rPr>
                <w:rFonts w:ascii="Times New Roman" w:eastAsia="宋体"/>
                <w:color w:val="000000"/>
                <w:sz w:val="21"/>
                <w:szCs w:val="21"/>
              </w:rPr>
              <w:t>拉替尼片</w:t>
            </w:r>
            <w:proofErr w:type="gramEnd"/>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适用于人类表皮生长因子受体</w:t>
            </w:r>
            <w:r>
              <w:rPr>
                <w:rFonts w:ascii="Times New Roman" w:eastAsia="宋体"/>
                <w:color w:val="000000"/>
                <w:sz w:val="18"/>
                <w:szCs w:val="21"/>
              </w:rPr>
              <w:t>2</w:t>
            </w:r>
            <w:r>
              <w:rPr>
                <w:rFonts w:ascii="Times New Roman" w:eastAsia="宋体"/>
                <w:color w:val="000000"/>
                <w:sz w:val="18"/>
                <w:szCs w:val="21"/>
              </w:rPr>
              <w:t>（</w:t>
            </w:r>
            <w:r>
              <w:rPr>
                <w:rFonts w:ascii="Times New Roman" w:eastAsia="宋体"/>
                <w:color w:val="000000"/>
                <w:sz w:val="18"/>
                <w:szCs w:val="21"/>
              </w:rPr>
              <w:t>HER2</w:t>
            </w:r>
            <w:r>
              <w:rPr>
                <w:rFonts w:ascii="Times New Roman" w:eastAsia="宋体"/>
                <w:color w:val="000000"/>
                <w:sz w:val="18"/>
                <w:szCs w:val="21"/>
              </w:rPr>
              <w:t>）阳性的早期乳腺癌成年患者，在接受</w:t>
            </w:r>
            <w:proofErr w:type="gramStart"/>
            <w:r>
              <w:rPr>
                <w:rFonts w:ascii="Times New Roman" w:eastAsia="宋体"/>
                <w:color w:val="000000"/>
                <w:sz w:val="18"/>
                <w:szCs w:val="21"/>
              </w:rPr>
              <w:t>含曲妥珠单</w:t>
            </w:r>
            <w:proofErr w:type="gramEnd"/>
            <w:r>
              <w:rPr>
                <w:rFonts w:ascii="Times New Roman" w:eastAsia="宋体"/>
                <w:color w:val="000000"/>
                <w:sz w:val="18"/>
                <w:szCs w:val="21"/>
              </w:rPr>
              <w:t>抗辅助治疗之后的强化辅助治疗。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26"/>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38</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proofErr w:type="gramStart"/>
            <w:r>
              <w:rPr>
                <w:rFonts w:ascii="Times New Roman" w:eastAsia="宋体"/>
                <w:color w:val="000000"/>
                <w:sz w:val="21"/>
                <w:szCs w:val="21"/>
              </w:rPr>
              <w:t>索凡替尼</w:t>
            </w:r>
            <w:proofErr w:type="gramEnd"/>
            <w:r>
              <w:rPr>
                <w:rFonts w:ascii="Times New Roman" w:eastAsia="宋体"/>
                <w:color w:val="000000"/>
                <w:sz w:val="21"/>
                <w:szCs w:val="21"/>
              </w:rPr>
              <w:t>胶囊</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本品单药适用于无法手术切除的局部晚期或转移性、进展期非功能性、分化良好（</w:t>
            </w:r>
            <w:r>
              <w:rPr>
                <w:rFonts w:ascii="Times New Roman" w:eastAsia="宋体"/>
                <w:color w:val="000000"/>
                <w:sz w:val="18"/>
                <w:szCs w:val="21"/>
              </w:rPr>
              <w:t>G1</w:t>
            </w:r>
            <w:r>
              <w:rPr>
                <w:rFonts w:ascii="Times New Roman" w:eastAsia="宋体"/>
                <w:color w:val="000000"/>
                <w:sz w:val="18"/>
                <w:szCs w:val="21"/>
              </w:rPr>
              <w:t>、</w:t>
            </w:r>
            <w:r>
              <w:rPr>
                <w:rFonts w:ascii="Times New Roman" w:eastAsia="宋体"/>
                <w:color w:val="000000"/>
                <w:sz w:val="18"/>
                <w:szCs w:val="21"/>
              </w:rPr>
              <w:t>G2</w:t>
            </w:r>
            <w:r>
              <w:rPr>
                <w:rFonts w:ascii="Times New Roman" w:eastAsia="宋体"/>
                <w:color w:val="000000"/>
                <w:sz w:val="18"/>
                <w:szCs w:val="21"/>
              </w:rPr>
              <w:t>）的胰腺和非胰腺来源的神经内分泌瘤。</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90"/>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39</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氟</w:t>
            </w:r>
            <w:proofErr w:type="gramStart"/>
            <w:r>
              <w:rPr>
                <w:rFonts w:ascii="Times New Roman" w:eastAsia="宋体"/>
                <w:color w:val="000000"/>
                <w:sz w:val="21"/>
                <w:szCs w:val="21"/>
              </w:rPr>
              <w:t>唑</w:t>
            </w:r>
            <w:proofErr w:type="gramEnd"/>
            <w:r>
              <w:rPr>
                <w:rFonts w:ascii="Times New Roman" w:eastAsia="宋体"/>
                <w:color w:val="000000"/>
                <w:sz w:val="21"/>
                <w:szCs w:val="21"/>
              </w:rPr>
              <w:t>帕利胶囊</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1.</w:t>
            </w:r>
            <w:r>
              <w:rPr>
                <w:rFonts w:ascii="Times New Roman" w:eastAsia="宋体"/>
                <w:color w:val="000000"/>
                <w:sz w:val="18"/>
                <w:szCs w:val="21"/>
              </w:rPr>
              <w:t>用于既往经过二线及以上化疗的伴有胚系</w:t>
            </w:r>
            <w:r>
              <w:rPr>
                <w:rFonts w:ascii="Times New Roman" w:eastAsia="宋体"/>
                <w:color w:val="000000"/>
                <w:sz w:val="18"/>
                <w:szCs w:val="21"/>
              </w:rPr>
              <w:t>BRCA</w:t>
            </w:r>
            <w:r>
              <w:rPr>
                <w:rFonts w:ascii="Times New Roman" w:eastAsia="宋体"/>
                <w:color w:val="000000"/>
                <w:sz w:val="18"/>
                <w:szCs w:val="21"/>
              </w:rPr>
              <w:t>突变（</w:t>
            </w:r>
            <w:proofErr w:type="spellStart"/>
            <w:r>
              <w:rPr>
                <w:rFonts w:ascii="Times New Roman" w:eastAsia="宋体"/>
                <w:color w:val="000000"/>
                <w:sz w:val="18"/>
                <w:szCs w:val="21"/>
              </w:rPr>
              <w:t>gBRCAm</w:t>
            </w:r>
            <w:proofErr w:type="spellEnd"/>
            <w:r>
              <w:rPr>
                <w:rFonts w:ascii="Times New Roman" w:eastAsia="宋体"/>
                <w:color w:val="000000"/>
                <w:sz w:val="18"/>
                <w:szCs w:val="21"/>
              </w:rPr>
              <w:t>）的铂敏感复发性卵巢癌、输卵管癌或原发性腹膜癌患者的治疗。</w:t>
            </w:r>
            <w:r>
              <w:rPr>
                <w:rFonts w:ascii="Times New Roman" w:eastAsia="宋体"/>
                <w:color w:val="000000"/>
                <w:sz w:val="18"/>
                <w:szCs w:val="21"/>
              </w:rPr>
              <w:t>2.</w:t>
            </w:r>
            <w:r>
              <w:rPr>
                <w:rFonts w:ascii="Times New Roman" w:eastAsia="宋体"/>
                <w:color w:val="000000"/>
                <w:sz w:val="18"/>
                <w:szCs w:val="21"/>
              </w:rPr>
              <w:t>用于</w:t>
            </w:r>
            <w:proofErr w:type="gramStart"/>
            <w:r>
              <w:rPr>
                <w:rFonts w:ascii="Times New Roman" w:eastAsia="宋体"/>
                <w:color w:val="000000"/>
                <w:sz w:val="18"/>
                <w:szCs w:val="21"/>
              </w:rPr>
              <w:t>铂</w:t>
            </w:r>
            <w:proofErr w:type="gramEnd"/>
            <w:r>
              <w:rPr>
                <w:rFonts w:ascii="Times New Roman" w:eastAsia="宋体"/>
                <w:color w:val="000000"/>
                <w:sz w:val="18"/>
                <w:szCs w:val="21"/>
              </w:rPr>
              <w:t>敏感的复发性上皮性卵巢癌、输卵管癌或原发性腹膜癌成人患者在含铂化疗达到完全缓解或部分缓解后的维持治疗。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808"/>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40</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帕米帕利胶囊</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用于既往经过二线及以上化疗的伴有胚系</w:t>
            </w:r>
            <w:r>
              <w:rPr>
                <w:rFonts w:ascii="Times New Roman" w:eastAsia="宋体"/>
                <w:color w:val="000000"/>
                <w:sz w:val="18"/>
                <w:szCs w:val="21"/>
              </w:rPr>
              <w:t>BRCA</w:t>
            </w:r>
            <w:r>
              <w:rPr>
                <w:rFonts w:ascii="Times New Roman" w:eastAsia="宋体"/>
                <w:color w:val="000000"/>
                <w:sz w:val="18"/>
                <w:szCs w:val="21"/>
              </w:rPr>
              <w:t>（</w:t>
            </w:r>
            <w:proofErr w:type="spellStart"/>
            <w:r>
              <w:rPr>
                <w:rFonts w:ascii="Times New Roman" w:eastAsia="宋体"/>
                <w:color w:val="000000"/>
                <w:sz w:val="18"/>
                <w:szCs w:val="21"/>
              </w:rPr>
              <w:t>gBRCA</w:t>
            </w:r>
            <w:proofErr w:type="spellEnd"/>
            <w:r>
              <w:rPr>
                <w:rFonts w:ascii="Times New Roman" w:eastAsia="宋体"/>
                <w:color w:val="000000"/>
                <w:sz w:val="18"/>
                <w:szCs w:val="21"/>
              </w:rPr>
              <w:t>）突变的复发性晚期卵巢癌、输卵管癌或原发性腹膜癌患者的治疗。该适应症是基于一项包括</w:t>
            </w:r>
            <w:r>
              <w:rPr>
                <w:rFonts w:ascii="Times New Roman" w:eastAsia="宋体"/>
                <w:color w:val="000000"/>
                <w:sz w:val="18"/>
                <w:szCs w:val="21"/>
              </w:rPr>
              <w:t>113</w:t>
            </w:r>
            <w:r>
              <w:rPr>
                <w:rFonts w:ascii="Times New Roman" w:eastAsia="宋体"/>
                <w:color w:val="000000"/>
                <w:sz w:val="18"/>
                <w:szCs w:val="21"/>
              </w:rPr>
              <w:t>例既往经过二线及以上化疗的伴有</w:t>
            </w:r>
            <w:proofErr w:type="spellStart"/>
            <w:r>
              <w:rPr>
                <w:rFonts w:ascii="Times New Roman" w:eastAsia="宋体"/>
                <w:color w:val="000000"/>
                <w:sz w:val="18"/>
                <w:szCs w:val="21"/>
              </w:rPr>
              <w:t>gBRCA</w:t>
            </w:r>
            <w:proofErr w:type="spellEnd"/>
            <w:r>
              <w:rPr>
                <w:rFonts w:ascii="Times New Roman" w:eastAsia="宋体"/>
                <w:color w:val="000000"/>
                <w:sz w:val="18"/>
                <w:szCs w:val="21"/>
              </w:rPr>
              <w:t>突变的复发性晚期卵巢癌、输卵管癌或原发性腹膜癌患者中开展的开放性、多中心、单臂、</w:t>
            </w:r>
            <w:r>
              <w:rPr>
                <w:rFonts w:ascii="Times New Roman" w:eastAsia="宋体"/>
                <w:color w:val="000000"/>
                <w:sz w:val="18"/>
                <w:szCs w:val="21"/>
              </w:rPr>
              <w:t>II</w:t>
            </w:r>
            <w:r>
              <w:rPr>
                <w:rFonts w:ascii="Times New Roman" w:eastAsia="宋体"/>
                <w:color w:val="000000"/>
                <w:sz w:val="18"/>
                <w:szCs w:val="21"/>
              </w:rPr>
              <w:t>期临床试验结果给予的附条件批准。该适应症的完全批准将取决于正在进行的确证性试验证实本品在该人群的临床获益。</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1001"/>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41</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甲磺酸艾立布林注射液</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本品适用于既往接受过至少两种化疗方案的局部晚期或转移性乳腺癌患者。既往的化疗方案应包含一种</w:t>
            </w:r>
            <w:proofErr w:type="gramStart"/>
            <w:r>
              <w:rPr>
                <w:rFonts w:ascii="Times New Roman" w:eastAsia="宋体"/>
                <w:color w:val="000000"/>
                <w:sz w:val="18"/>
                <w:szCs w:val="21"/>
              </w:rPr>
              <w:t>蒽</w:t>
            </w:r>
            <w:proofErr w:type="gramEnd"/>
            <w:r>
              <w:rPr>
                <w:rFonts w:ascii="Times New Roman" w:eastAsia="宋体"/>
                <w:color w:val="000000"/>
                <w:sz w:val="18"/>
                <w:szCs w:val="21"/>
              </w:rPr>
              <w:t>环类和一种紫杉烷类药物。</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668"/>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42</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D0D0D"/>
                <w:sz w:val="21"/>
                <w:szCs w:val="21"/>
              </w:rPr>
              <w:t>注射用维</w:t>
            </w:r>
            <w:proofErr w:type="gramStart"/>
            <w:r>
              <w:rPr>
                <w:rFonts w:ascii="Times New Roman" w:eastAsia="宋体"/>
                <w:color w:val="0D0D0D"/>
                <w:sz w:val="21"/>
                <w:szCs w:val="21"/>
              </w:rPr>
              <w:t>迪西妥单</w:t>
            </w:r>
            <w:proofErr w:type="gramEnd"/>
            <w:r>
              <w:rPr>
                <w:rFonts w:ascii="Times New Roman" w:eastAsia="宋体"/>
                <w:color w:val="0D0D0D"/>
                <w:sz w:val="21"/>
                <w:szCs w:val="21"/>
              </w:rPr>
              <w:t>抗</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本品适用于至少接受过</w:t>
            </w:r>
            <w:r>
              <w:rPr>
                <w:rFonts w:ascii="Times New Roman" w:eastAsia="宋体"/>
                <w:color w:val="000000"/>
                <w:sz w:val="18"/>
                <w:szCs w:val="21"/>
              </w:rPr>
              <w:t>2</w:t>
            </w:r>
            <w:r>
              <w:rPr>
                <w:rFonts w:ascii="Times New Roman" w:eastAsia="宋体"/>
                <w:color w:val="000000"/>
                <w:sz w:val="18"/>
                <w:szCs w:val="21"/>
              </w:rPr>
              <w:t>个系统化疗的</w:t>
            </w:r>
            <w:r>
              <w:rPr>
                <w:rFonts w:ascii="Times New Roman" w:eastAsia="宋体"/>
                <w:color w:val="000000"/>
                <w:sz w:val="18"/>
                <w:szCs w:val="21"/>
              </w:rPr>
              <w:t>HER2</w:t>
            </w:r>
            <w:r>
              <w:rPr>
                <w:rFonts w:ascii="Times New Roman" w:eastAsia="宋体"/>
                <w:color w:val="000000"/>
                <w:sz w:val="18"/>
                <w:szCs w:val="21"/>
              </w:rPr>
              <w:t>过表达局部晚期或转移性胃癌（包括胃食管结合部腺癌）的患者，</w:t>
            </w:r>
            <w:r>
              <w:rPr>
                <w:rFonts w:ascii="Times New Roman" w:eastAsia="宋体"/>
                <w:color w:val="000000"/>
                <w:sz w:val="18"/>
                <w:szCs w:val="21"/>
              </w:rPr>
              <w:t>HER2</w:t>
            </w:r>
            <w:r>
              <w:rPr>
                <w:rFonts w:ascii="Times New Roman" w:eastAsia="宋体"/>
                <w:color w:val="000000"/>
                <w:sz w:val="18"/>
                <w:szCs w:val="21"/>
              </w:rPr>
              <w:t>过表达定义为</w:t>
            </w:r>
            <w:r>
              <w:rPr>
                <w:rFonts w:ascii="Times New Roman" w:eastAsia="宋体"/>
                <w:color w:val="000000"/>
                <w:sz w:val="18"/>
                <w:szCs w:val="21"/>
              </w:rPr>
              <w:t>HER2</w:t>
            </w:r>
            <w:r>
              <w:rPr>
                <w:rFonts w:ascii="Times New Roman" w:eastAsia="宋体"/>
                <w:color w:val="000000"/>
                <w:sz w:val="18"/>
                <w:szCs w:val="21"/>
              </w:rPr>
              <w:t>免疫组织化学检查结果为</w:t>
            </w:r>
            <w:r>
              <w:rPr>
                <w:rFonts w:ascii="Times New Roman" w:eastAsia="宋体"/>
                <w:color w:val="000000"/>
                <w:sz w:val="18"/>
                <w:szCs w:val="21"/>
              </w:rPr>
              <w:t>2+</w:t>
            </w:r>
            <w:r>
              <w:rPr>
                <w:rFonts w:ascii="Times New Roman" w:eastAsia="宋体"/>
                <w:color w:val="000000"/>
                <w:sz w:val="18"/>
                <w:szCs w:val="21"/>
              </w:rPr>
              <w:t>或</w:t>
            </w:r>
            <w:r>
              <w:rPr>
                <w:rFonts w:ascii="Times New Roman" w:eastAsia="宋体"/>
                <w:color w:val="000000"/>
                <w:sz w:val="18"/>
                <w:szCs w:val="21"/>
              </w:rPr>
              <w:t>3+</w:t>
            </w:r>
            <w:r>
              <w:rPr>
                <w:rFonts w:ascii="Times New Roman" w:eastAsia="宋体"/>
                <w:color w:val="000000"/>
                <w:sz w:val="18"/>
                <w:szCs w:val="21"/>
              </w:rPr>
              <w:t>。该适应症是基于一项</w:t>
            </w:r>
            <w:r>
              <w:rPr>
                <w:rFonts w:ascii="Times New Roman" w:eastAsia="宋体"/>
                <w:color w:val="000000"/>
                <w:sz w:val="18"/>
                <w:szCs w:val="21"/>
              </w:rPr>
              <w:t>HER2</w:t>
            </w:r>
            <w:r>
              <w:rPr>
                <w:rFonts w:ascii="Times New Roman" w:eastAsia="宋体"/>
                <w:color w:val="000000"/>
                <w:sz w:val="18"/>
                <w:szCs w:val="21"/>
              </w:rPr>
              <w:t>过表达的局部晚期或转移性胃癌患者（包括胃食管结合部腺癌）的</w:t>
            </w:r>
            <w:r>
              <w:rPr>
                <w:rFonts w:ascii="Times New Roman" w:eastAsia="宋体"/>
                <w:color w:val="000000"/>
                <w:sz w:val="18"/>
                <w:szCs w:val="21"/>
              </w:rPr>
              <w:t>II</w:t>
            </w:r>
            <w:r>
              <w:rPr>
                <w:rFonts w:ascii="Times New Roman" w:eastAsia="宋体"/>
                <w:color w:val="000000"/>
                <w:sz w:val="18"/>
                <w:szCs w:val="21"/>
              </w:rPr>
              <w:t>期单臂临床试验结果给予的附条件批准。该适应症的完全获批将取决于正在开展中的确证性随机对照临床试验能否证实本品在该人群的临床获益。</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341"/>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43</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阿帕他胺片</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1.</w:t>
            </w:r>
            <w:r>
              <w:rPr>
                <w:rFonts w:ascii="Times New Roman" w:eastAsia="宋体" w:hint="eastAsia"/>
                <w:color w:val="000000"/>
                <w:sz w:val="18"/>
                <w:szCs w:val="21"/>
              </w:rPr>
              <w:t xml:space="preserve"> </w:t>
            </w:r>
            <w:r>
              <w:rPr>
                <w:rFonts w:ascii="Times New Roman" w:eastAsia="宋体"/>
                <w:color w:val="000000"/>
                <w:sz w:val="18"/>
                <w:szCs w:val="21"/>
              </w:rPr>
              <w:t>转移性内分泌治疗敏感性前列腺癌（</w:t>
            </w:r>
            <w:proofErr w:type="spellStart"/>
            <w:r>
              <w:rPr>
                <w:rFonts w:ascii="Times New Roman" w:eastAsia="宋体"/>
                <w:color w:val="000000"/>
                <w:sz w:val="18"/>
                <w:szCs w:val="21"/>
              </w:rPr>
              <w:t>mHSPC</w:t>
            </w:r>
            <w:proofErr w:type="spellEnd"/>
            <w:r>
              <w:rPr>
                <w:rFonts w:ascii="Times New Roman" w:eastAsia="宋体"/>
                <w:color w:val="000000"/>
                <w:sz w:val="18"/>
                <w:szCs w:val="21"/>
              </w:rPr>
              <w:t>）成年患者。</w:t>
            </w:r>
            <w:r>
              <w:rPr>
                <w:rFonts w:ascii="Times New Roman" w:eastAsia="宋体"/>
                <w:color w:val="000000"/>
                <w:sz w:val="18"/>
                <w:szCs w:val="21"/>
              </w:rPr>
              <w:t>2.</w:t>
            </w:r>
            <w:r>
              <w:rPr>
                <w:rFonts w:ascii="Times New Roman" w:eastAsia="宋体" w:hint="eastAsia"/>
                <w:color w:val="000000"/>
                <w:sz w:val="18"/>
                <w:szCs w:val="21"/>
              </w:rPr>
              <w:t xml:space="preserve"> </w:t>
            </w:r>
            <w:r>
              <w:rPr>
                <w:rFonts w:ascii="Times New Roman" w:eastAsia="宋体"/>
                <w:color w:val="000000"/>
                <w:sz w:val="18"/>
                <w:szCs w:val="21"/>
              </w:rPr>
              <w:t>有高危转移风险的非转移性去势抵抗性前列腺癌（</w:t>
            </w:r>
            <w:r>
              <w:rPr>
                <w:rFonts w:ascii="Times New Roman" w:eastAsia="宋体"/>
                <w:color w:val="000000"/>
                <w:sz w:val="18"/>
                <w:szCs w:val="21"/>
              </w:rPr>
              <w:t>NM-CRPC</w:t>
            </w:r>
            <w:r>
              <w:rPr>
                <w:rFonts w:ascii="Times New Roman" w:eastAsia="宋体"/>
                <w:color w:val="000000"/>
                <w:sz w:val="18"/>
                <w:szCs w:val="21"/>
              </w:rPr>
              <w:t>）成年患者。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261"/>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44</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D0D0D"/>
                <w:sz w:val="21"/>
                <w:szCs w:val="21"/>
              </w:rPr>
              <w:t>达</w:t>
            </w:r>
            <w:proofErr w:type="gramStart"/>
            <w:r>
              <w:rPr>
                <w:rFonts w:ascii="Times New Roman" w:eastAsia="宋体"/>
                <w:color w:val="0D0D0D"/>
                <w:sz w:val="21"/>
                <w:szCs w:val="21"/>
              </w:rPr>
              <w:t>罗他胺</w:t>
            </w:r>
            <w:proofErr w:type="gramEnd"/>
            <w:r>
              <w:rPr>
                <w:rFonts w:ascii="Times New Roman" w:eastAsia="宋体"/>
                <w:color w:val="0D0D0D"/>
                <w:sz w:val="21"/>
                <w:szCs w:val="21"/>
              </w:rPr>
              <w:t>片</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适用于治疗有高危转移风险的非转移性去势抵抗性前列腺癌（</w:t>
            </w:r>
            <w:r>
              <w:rPr>
                <w:rFonts w:ascii="Times New Roman" w:eastAsia="宋体"/>
                <w:color w:val="000000"/>
                <w:sz w:val="18"/>
                <w:szCs w:val="21"/>
              </w:rPr>
              <w:t>NM- CRPC</w:t>
            </w:r>
            <w:r>
              <w:rPr>
                <w:rFonts w:ascii="Times New Roman" w:eastAsia="宋体"/>
                <w:color w:val="000000"/>
                <w:sz w:val="18"/>
                <w:szCs w:val="21"/>
              </w:rPr>
              <w:t>）成年患者。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710"/>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lastRenderedPageBreak/>
              <w:t>45</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注射用</w:t>
            </w:r>
            <w:proofErr w:type="gramStart"/>
            <w:r>
              <w:rPr>
                <w:rFonts w:ascii="Times New Roman" w:eastAsia="宋体"/>
                <w:color w:val="000000"/>
                <w:sz w:val="21"/>
                <w:szCs w:val="21"/>
              </w:rPr>
              <w:t>泰它西普</w:t>
            </w:r>
            <w:proofErr w:type="gramEnd"/>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本品与常规治疗联合，适用于在常规治疗基础上仍具有</w:t>
            </w:r>
            <w:proofErr w:type="gramStart"/>
            <w:r>
              <w:rPr>
                <w:rFonts w:ascii="Times New Roman" w:eastAsia="宋体"/>
                <w:color w:val="000000"/>
                <w:sz w:val="18"/>
                <w:szCs w:val="21"/>
              </w:rPr>
              <w:t>高疾病</w:t>
            </w:r>
            <w:proofErr w:type="gramEnd"/>
            <w:r>
              <w:rPr>
                <w:rFonts w:ascii="Times New Roman" w:eastAsia="宋体"/>
                <w:color w:val="000000"/>
                <w:sz w:val="18"/>
                <w:szCs w:val="21"/>
              </w:rPr>
              <w:t>活动（例如：抗</w:t>
            </w:r>
            <w:r>
              <w:rPr>
                <w:rFonts w:ascii="Times New Roman" w:eastAsia="宋体"/>
                <w:color w:val="000000"/>
                <w:sz w:val="18"/>
                <w:szCs w:val="21"/>
              </w:rPr>
              <w:t>ds-DNA</w:t>
            </w:r>
            <w:r>
              <w:rPr>
                <w:rFonts w:ascii="Times New Roman" w:eastAsia="宋体"/>
                <w:color w:val="000000"/>
                <w:sz w:val="18"/>
                <w:szCs w:val="21"/>
              </w:rPr>
              <w:t>抗体阳性及低补体、</w:t>
            </w:r>
            <w:r>
              <w:rPr>
                <w:rFonts w:ascii="Times New Roman" w:eastAsia="宋体"/>
                <w:color w:val="000000"/>
                <w:sz w:val="18"/>
                <w:szCs w:val="21"/>
              </w:rPr>
              <w:t>SELENA-SLEDAI</w:t>
            </w:r>
            <w:r>
              <w:rPr>
                <w:rFonts w:ascii="Times New Roman" w:eastAsia="宋体"/>
                <w:color w:val="000000"/>
                <w:sz w:val="18"/>
                <w:szCs w:val="21"/>
              </w:rPr>
              <w:t>评分</w:t>
            </w:r>
            <w:r>
              <w:rPr>
                <w:rFonts w:ascii="Times New Roman" w:eastAsia="宋体" w:hint="eastAsia"/>
                <w:color w:val="000000"/>
                <w:sz w:val="18"/>
                <w:szCs w:val="18"/>
              </w:rPr>
              <w:t>≥</w:t>
            </w:r>
            <w:r>
              <w:rPr>
                <w:rFonts w:ascii="Times New Roman" w:eastAsia="宋体"/>
                <w:color w:val="000000"/>
                <w:sz w:val="18"/>
                <w:szCs w:val="21"/>
              </w:rPr>
              <w:t>8</w:t>
            </w:r>
            <w:r>
              <w:rPr>
                <w:rFonts w:ascii="Times New Roman" w:eastAsia="宋体"/>
                <w:color w:val="000000"/>
                <w:sz w:val="18"/>
                <w:szCs w:val="21"/>
              </w:rPr>
              <w:t>）的活动性、自身抗体阳性的系统性红斑狼疮（</w:t>
            </w:r>
            <w:r>
              <w:rPr>
                <w:rFonts w:ascii="Times New Roman" w:eastAsia="宋体"/>
                <w:color w:val="000000"/>
                <w:sz w:val="18"/>
                <w:szCs w:val="21"/>
              </w:rPr>
              <w:t>SLE</w:t>
            </w:r>
            <w:r>
              <w:rPr>
                <w:rFonts w:ascii="Times New Roman" w:eastAsia="宋体"/>
                <w:color w:val="000000"/>
                <w:sz w:val="18"/>
                <w:szCs w:val="21"/>
              </w:rPr>
              <w:t>）成年患者。该适应症是基于一项接受常规治疗仍具有</w:t>
            </w:r>
            <w:proofErr w:type="gramStart"/>
            <w:r>
              <w:rPr>
                <w:rFonts w:ascii="Times New Roman" w:eastAsia="宋体"/>
                <w:color w:val="000000"/>
                <w:sz w:val="18"/>
                <w:szCs w:val="21"/>
              </w:rPr>
              <w:t>高疾病</w:t>
            </w:r>
            <w:proofErr w:type="gramEnd"/>
            <w:r>
              <w:rPr>
                <w:rFonts w:ascii="Times New Roman" w:eastAsia="宋体"/>
                <w:color w:val="000000"/>
                <w:sz w:val="18"/>
                <w:szCs w:val="21"/>
              </w:rPr>
              <w:t>活动的系统性红斑狼疮成年患者的</w:t>
            </w:r>
            <w:r>
              <w:rPr>
                <w:rFonts w:ascii="Times New Roman" w:eastAsia="宋体"/>
                <w:color w:val="000000"/>
                <w:sz w:val="18"/>
                <w:szCs w:val="21"/>
              </w:rPr>
              <w:t>II</w:t>
            </w:r>
            <w:r>
              <w:rPr>
                <w:rFonts w:ascii="Times New Roman" w:eastAsia="宋体"/>
                <w:color w:val="000000"/>
                <w:sz w:val="18"/>
                <w:szCs w:val="21"/>
              </w:rPr>
              <w:t>期临床试验结果给予的附条件批准。本适应症的完全获批将取决于确证性随机对照临床试验能否证实本品在该患者人群的临床获益。</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191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46</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proofErr w:type="gramStart"/>
            <w:r>
              <w:rPr>
                <w:rFonts w:ascii="Times New Roman" w:eastAsia="宋体"/>
                <w:color w:val="000000"/>
                <w:sz w:val="21"/>
                <w:szCs w:val="21"/>
              </w:rPr>
              <w:t>乌司奴单</w:t>
            </w:r>
            <w:proofErr w:type="gramEnd"/>
            <w:r>
              <w:rPr>
                <w:rFonts w:ascii="Times New Roman" w:eastAsia="宋体"/>
                <w:color w:val="000000"/>
                <w:sz w:val="21"/>
                <w:szCs w:val="21"/>
              </w:rPr>
              <w:t>抗注射液</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1.</w:t>
            </w:r>
            <w:r>
              <w:rPr>
                <w:rFonts w:ascii="Times New Roman" w:eastAsia="宋体" w:hint="eastAsia"/>
                <w:color w:val="000000"/>
                <w:sz w:val="18"/>
                <w:szCs w:val="21"/>
              </w:rPr>
              <w:t xml:space="preserve"> </w:t>
            </w:r>
            <w:r>
              <w:rPr>
                <w:rFonts w:ascii="Times New Roman" w:eastAsia="宋体"/>
                <w:color w:val="000000"/>
                <w:sz w:val="18"/>
                <w:szCs w:val="21"/>
              </w:rPr>
              <w:t>斑块状银屑病：本品适用于对环</w:t>
            </w:r>
            <w:proofErr w:type="gramStart"/>
            <w:r>
              <w:rPr>
                <w:rFonts w:ascii="Times New Roman" w:eastAsia="宋体"/>
                <w:color w:val="000000"/>
                <w:sz w:val="18"/>
                <w:szCs w:val="21"/>
              </w:rPr>
              <w:t>孢</w:t>
            </w:r>
            <w:proofErr w:type="gramEnd"/>
            <w:r>
              <w:rPr>
                <w:rFonts w:ascii="Times New Roman" w:eastAsia="宋体"/>
                <w:color w:val="000000"/>
                <w:sz w:val="18"/>
                <w:szCs w:val="21"/>
              </w:rPr>
              <w:t>素、甲氨蝶</w:t>
            </w:r>
            <w:proofErr w:type="gramStart"/>
            <w:r>
              <w:rPr>
                <w:rFonts w:ascii="Times New Roman" w:eastAsia="宋体"/>
                <w:color w:val="000000"/>
                <w:sz w:val="18"/>
                <w:szCs w:val="21"/>
              </w:rPr>
              <w:t>呤</w:t>
            </w:r>
            <w:proofErr w:type="gramEnd"/>
            <w:r>
              <w:rPr>
                <w:rFonts w:ascii="Times New Roman" w:eastAsia="宋体"/>
                <w:color w:val="000000"/>
                <w:sz w:val="18"/>
                <w:szCs w:val="21"/>
              </w:rPr>
              <w:t>（</w:t>
            </w:r>
            <w:r>
              <w:rPr>
                <w:rFonts w:ascii="Times New Roman" w:eastAsia="宋体"/>
                <w:color w:val="000000"/>
                <w:sz w:val="18"/>
                <w:szCs w:val="21"/>
              </w:rPr>
              <w:t>MTX</w:t>
            </w:r>
            <w:r>
              <w:rPr>
                <w:rFonts w:ascii="Times New Roman" w:eastAsia="宋体"/>
                <w:color w:val="000000"/>
                <w:sz w:val="18"/>
                <w:szCs w:val="21"/>
              </w:rPr>
              <w:t>）或</w:t>
            </w:r>
            <w:r>
              <w:rPr>
                <w:rFonts w:ascii="Times New Roman" w:eastAsia="宋体"/>
                <w:color w:val="000000"/>
                <w:sz w:val="18"/>
                <w:szCs w:val="21"/>
              </w:rPr>
              <w:t>PUVA</w:t>
            </w:r>
            <w:r>
              <w:rPr>
                <w:rFonts w:ascii="Times New Roman" w:eastAsia="宋体"/>
                <w:color w:val="000000"/>
                <w:sz w:val="18"/>
                <w:szCs w:val="21"/>
              </w:rPr>
              <w:t>（补骨脂素和紫外线</w:t>
            </w:r>
            <w:r>
              <w:rPr>
                <w:rFonts w:ascii="Times New Roman" w:eastAsia="宋体"/>
                <w:color w:val="000000"/>
                <w:sz w:val="18"/>
                <w:szCs w:val="21"/>
              </w:rPr>
              <w:t>A</w:t>
            </w:r>
            <w:r>
              <w:rPr>
                <w:rFonts w:ascii="Times New Roman" w:eastAsia="宋体"/>
                <w:color w:val="000000"/>
                <w:sz w:val="18"/>
                <w:szCs w:val="21"/>
              </w:rPr>
              <w:t>）等其他系统性治疗不应答、有禁忌或无法耐受的成年中重度斑块状银屑病患者。</w:t>
            </w:r>
            <w:r>
              <w:rPr>
                <w:rFonts w:ascii="Times New Roman" w:eastAsia="宋体"/>
                <w:color w:val="000000"/>
                <w:sz w:val="18"/>
                <w:szCs w:val="21"/>
              </w:rPr>
              <w:t>2.</w:t>
            </w:r>
            <w:r>
              <w:rPr>
                <w:rFonts w:ascii="Times New Roman" w:eastAsia="宋体" w:hint="eastAsia"/>
                <w:color w:val="000000"/>
                <w:sz w:val="18"/>
                <w:szCs w:val="21"/>
              </w:rPr>
              <w:t xml:space="preserve"> </w:t>
            </w:r>
            <w:r>
              <w:rPr>
                <w:rFonts w:ascii="Times New Roman" w:eastAsia="宋体"/>
                <w:color w:val="000000"/>
                <w:sz w:val="18"/>
                <w:szCs w:val="21"/>
              </w:rPr>
              <w:t>克罗恩病：本品适用于对传统治疗或肿瘤坏死因子</w:t>
            </w:r>
            <w:r>
              <w:rPr>
                <w:rFonts w:ascii="Times New Roman" w:eastAsia="宋体"/>
                <w:color w:val="000000"/>
                <w:sz w:val="18"/>
                <w:szCs w:val="21"/>
              </w:rPr>
              <w:t>α</w:t>
            </w:r>
            <w:r>
              <w:rPr>
                <w:rFonts w:ascii="Times New Roman" w:eastAsia="宋体"/>
                <w:color w:val="000000"/>
                <w:sz w:val="18"/>
                <w:szCs w:val="21"/>
              </w:rPr>
              <w:t>（</w:t>
            </w:r>
            <w:r>
              <w:rPr>
                <w:rFonts w:ascii="Times New Roman" w:eastAsia="宋体"/>
                <w:color w:val="000000"/>
                <w:sz w:val="18"/>
                <w:szCs w:val="21"/>
              </w:rPr>
              <w:t>TNF-α</w:t>
            </w:r>
            <w:r>
              <w:rPr>
                <w:rFonts w:ascii="Times New Roman" w:eastAsia="宋体"/>
                <w:color w:val="000000"/>
                <w:sz w:val="18"/>
                <w:szCs w:val="21"/>
              </w:rPr>
              <w:t>）拮抗剂应答不足、失应答或无法耐受的成年中重度活动性克罗恩病患者。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20%</w:t>
            </w:r>
          </w:p>
        </w:tc>
      </w:tr>
      <w:tr w:rsidR="002D3004">
        <w:trPr>
          <w:trHeight w:val="103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47</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proofErr w:type="gramStart"/>
            <w:r>
              <w:rPr>
                <w:rFonts w:ascii="Times New Roman" w:eastAsia="宋体"/>
                <w:color w:val="000000"/>
                <w:sz w:val="21"/>
                <w:szCs w:val="21"/>
              </w:rPr>
              <w:t>乌司奴单</w:t>
            </w:r>
            <w:proofErr w:type="gramEnd"/>
            <w:r>
              <w:rPr>
                <w:rFonts w:ascii="Times New Roman" w:eastAsia="宋体"/>
                <w:color w:val="000000"/>
                <w:sz w:val="21"/>
                <w:szCs w:val="21"/>
              </w:rPr>
              <w:t>抗注射液（静脉输注）</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本品适用于对传统治疗或肿瘤坏死因子</w:t>
            </w:r>
            <w:r>
              <w:rPr>
                <w:rFonts w:ascii="Times New Roman" w:eastAsia="宋体"/>
                <w:color w:val="000000"/>
                <w:sz w:val="18"/>
                <w:szCs w:val="21"/>
              </w:rPr>
              <w:t>α</w:t>
            </w:r>
            <w:r>
              <w:rPr>
                <w:rFonts w:ascii="Times New Roman" w:eastAsia="宋体"/>
                <w:color w:val="000000"/>
                <w:sz w:val="18"/>
                <w:szCs w:val="21"/>
              </w:rPr>
              <w:t>（</w:t>
            </w:r>
            <w:r>
              <w:rPr>
                <w:rFonts w:ascii="Times New Roman" w:eastAsia="宋体"/>
                <w:color w:val="000000"/>
                <w:sz w:val="18"/>
                <w:szCs w:val="21"/>
              </w:rPr>
              <w:t>TNF-α</w:t>
            </w:r>
            <w:r>
              <w:rPr>
                <w:rFonts w:ascii="Times New Roman" w:eastAsia="宋体"/>
                <w:color w:val="000000"/>
                <w:sz w:val="18"/>
                <w:szCs w:val="21"/>
              </w:rPr>
              <w:t>）拮抗剂应答不足、失应答或无法耐受的成年中重度活动性克罗恩病患者。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20%</w:t>
            </w:r>
          </w:p>
        </w:tc>
      </w:tr>
      <w:tr w:rsidR="002D3004">
        <w:trPr>
          <w:trHeight w:val="78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48</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依</w:t>
            </w:r>
            <w:proofErr w:type="gramStart"/>
            <w:r>
              <w:rPr>
                <w:rFonts w:ascii="Times New Roman" w:eastAsia="宋体"/>
                <w:color w:val="000000"/>
                <w:sz w:val="21"/>
                <w:szCs w:val="21"/>
              </w:rPr>
              <w:t>奇珠单</w:t>
            </w:r>
            <w:proofErr w:type="gramEnd"/>
            <w:r>
              <w:rPr>
                <w:rFonts w:ascii="Times New Roman" w:eastAsia="宋体"/>
                <w:color w:val="000000"/>
                <w:sz w:val="21"/>
                <w:szCs w:val="21"/>
              </w:rPr>
              <w:t>抗注射液</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本品用于治疗适合系统治疗或光疗的中度至重度斑块型银屑病成人患者。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131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49</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proofErr w:type="gramStart"/>
            <w:r>
              <w:rPr>
                <w:rFonts w:ascii="Times New Roman" w:eastAsia="宋体"/>
                <w:color w:val="000000"/>
                <w:sz w:val="21"/>
                <w:szCs w:val="21"/>
              </w:rPr>
              <w:t>泊马度</w:t>
            </w:r>
            <w:proofErr w:type="gramEnd"/>
            <w:r>
              <w:rPr>
                <w:rFonts w:ascii="Times New Roman" w:eastAsia="宋体"/>
                <w:color w:val="000000"/>
                <w:sz w:val="21"/>
                <w:szCs w:val="21"/>
              </w:rPr>
              <w:t>胺胶囊</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本品与地塞米松联用，适用于既往接受过至少两种治疗（包括来</w:t>
            </w:r>
            <w:proofErr w:type="gramStart"/>
            <w:r>
              <w:rPr>
                <w:rFonts w:ascii="Times New Roman" w:eastAsia="宋体"/>
                <w:color w:val="000000"/>
                <w:sz w:val="18"/>
                <w:szCs w:val="21"/>
              </w:rPr>
              <w:t>那度胺</w:t>
            </w:r>
            <w:proofErr w:type="gramEnd"/>
            <w:r>
              <w:rPr>
                <w:rFonts w:ascii="Times New Roman" w:eastAsia="宋体"/>
                <w:color w:val="000000"/>
                <w:sz w:val="18"/>
                <w:szCs w:val="21"/>
              </w:rPr>
              <w:t>和一种蛋白酶体抑制剂），且在最后一次治疗期间或治疗结束后</w:t>
            </w:r>
            <w:r>
              <w:rPr>
                <w:rFonts w:ascii="Times New Roman" w:eastAsia="宋体"/>
                <w:color w:val="000000"/>
                <w:sz w:val="18"/>
                <w:szCs w:val="21"/>
              </w:rPr>
              <w:t>60</w:t>
            </w:r>
            <w:r>
              <w:rPr>
                <w:rFonts w:ascii="Times New Roman" w:eastAsia="宋体"/>
                <w:color w:val="000000"/>
                <w:sz w:val="18"/>
                <w:szCs w:val="21"/>
              </w:rPr>
              <w:t>天内发生疾病进展的成年多发性骨髓瘤患者。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397"/>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50</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诺西</w:t>
            </w:r>
            <w:proofErr w:type="gramStart"/>
            <w:r>
              <w:rPr>
                <w:rFonts w:ascii="Times New Roman" w:eastAsia="宋体"/>
                <w:color w:val="000000"/>
                <w:sz w:val="21"/>
                <w:szCs w:val="21"/>
              </w:rPr>
              <w:t>那生钠注射液</w:t>
            </w:r>
            <w:proofErr w:type="gramEnd"/>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本品用于治疗</w:t>
            </w:r>
            <w:r>
              <w:rPr>
                <w:rFonts w:ascii="Times New Roman" w:eastAsia="宋体"/>
                <w:color w:val="000000"/>
                <w:sz w:val="18"/>
                <w:szCs w:val="21"/>
              </w:rPr>
              <w:t>5q</w:t>
            </w:r>
            <w:r>
              <w:rPr>
                <w:rFonts w:ascii="Times New Roman" w:eastAsia="宋体"/>
                <w:color w:val="000000"/>
                <w:sz w:val="18"/>
                <w:szCs w:val="21"/>
              </w:rPr>
              <w:t>脊髓性肌萎缩症。</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61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51</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D0D0D"/>
                <w:sz w:val="21"/>
                <w:szCs w:val="21"/>
              </w:rPr>
              <w:t>环泊</w:t>
            </w:r>
            <w:proofErr w:type="gramStart"/>
            <w:r>
              <w:rPr>
                <w:rFonts w:ascii="Times New Roman" w:eastAsia="宋体"/>
                <w:color w:val="0D0D0D"/>
                <w:sz w:val="21"/>
                <w:szCs w:val="21"/>
              </w:rPr>
              <w:t>酚</w:t>
            </w:r>
            <w:proofErr w:type="gramEnd"/>
            <w:r>
              <w:rPr>
                <w:rFonts w:ascii="Times New Roman" w:eastAsia="宋体"/>
                <w:color w:val="0D0D0D"/>
                <w:sz w:val="21"/>
                <w:szCs w:val="21"/>
              </w:rPr>
              <w:t>注射液</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本品适用于：消化道内镜检查中的镇静；全身麻醉诱导。</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1311"/>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52</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D0D0D"/>
                <w:sz w:val="21"/>
                <w:szCs w:val="21"/>
              </w:rPr>
              <w:t>注射用</w:t>
            </w:r>
            <w:proofErr w:type="gramStart"/>
            <w:r>
              <w:rPr>
                <w:rFonts w:ascii="Times New Roman" w:eastAsia="宋体"/>
                <w:color w:val="0D0D0D"/>
                <w:sz w:val="21"/>
                <w:szCs w:val="21"/>
              </w:rPr>
              <w:t>利培酮</w:t>
            </w:r>
            <w:proofErr w:type="gramEnd"/>
            <w:r>
              <w:rPr>
                <w:rFonts w:ascii="Times New Roman" w:eastAsia="宋体"/>
                <w:color w:val="0D0D0D"/>
                <w:sz w:val="21"/>
                <w:szCs w:val="21"/>
              </w:rPr>
              <w:t>微球（</w:t>
            </w:r>
            <w:r>
              <w:rPr>
                <w:rFonts w:ascii="Times New Roman" w:eastAsia="宋体"/>
                <w:color w:val="0D0D0D"/>
                <w:sz w:val="21"/>
                <w:szCs w:val="21"/>
              </w:rPr>
              <w:t>II</w:t>
            </w:r>
            <w:r>
              <w:rPr>
                <w:rFonts w:ascii="Times New Roman" w:eastAsia="宋体"/>
                <w:color w:val="0D0D0D"/>
                <w:sz w:val="21"/>
                <w:szCs w:val="21"/>
              </w:rPr>
              <w:t>）</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用于治疗急性和慢性精神分裂症以及其它各种精神病性状态的明显的阳性症状和明显的阴性症状。可减轻与精神分裂症有关的情感症状。</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724"/>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53</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注射用甲苯磺酸瑞马</w:t>
            </w:r>
            <w:proofErr w:type="gramStart"/>
            <w:r>
              <w:rPr>
                <w:rFonts w:ascii="Times New Roman" w:eastAsia="宋体"/>
                <w:color w:val="000000"/>
                <w:sz w:val="21"/>
                <w:szCs w:val="21"/>
              </w:rPr>
              <w:t>唑仑</w:t>
            </w:r>
            <w:proofErr w:type="gramEnd"/>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本品适用于胃镜、结肠镜检查的镇静。</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44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54</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注射用苯磺酸瑞马</w:t>
            </w:r>
            <w:proofErr w:type="gramStart"/>
            <w:r>
              <w:rPr>
                <w:rFonts w:ascii="Times New Roman" w:eastAsia="宋体"/>
                <w:color w:val="000000"/>
                <w:sz w:val="21"/>
                <w:szCs w:val="21"/>
              </w:rPr>
              <w:t>唑仑</w:t>
            </w:r>
            <w:proofErr w:type="gramEnd"/>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本品适用于结肠镜检查的镇静。</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1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lastRenderedPageBreak/>
              <w:t>55</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水合氯醛</w:t>
            </w:r>
            <w:r>
              <w:rPr>
                <w:rFonts w:ascii="Times New Roman" w:eastAsia="宋体"/>
                <w:color w:val="000000"/>
                <w:sz w:val="21"/>
                <w:szCs w:val="21"/>
              </w:rPr>
              <w:t>/</w:t>
            </w:r>
            <w:r>
              <w:rPr>
                <w:rFonts w:ascii="Times New Roman" w:eastAsia="宋体"/>
                <w:color w:val="000000"/>
                <w:sz w:val="21"/>
                <w:szCs w:val="21"/>
              </w:rPr>
              <w:t>糖浆组合包装</w:t>
            </w:r>
          </w:p>
        </w:tc>
        <w:tc>
          <w:tcPr>
            <w:tcW w:w="876" w:type="pct"/>
            <w:noWrap/>
            <w:vAlign w:val="center"/>
          </w:tcPr>
          <w:p w:rsidR="002D3004" w:rsidRDefault="0093795E">
            <w:pPr>
              <w:widowControl/>
              <w:spacing w:line="240" w:lineRule="exact"/>
              <w:jc w:val="left"/>
              <w:textAlignment w:val="top"/>
              <w:rPr>
                <w:rFonts w:ascii="Times New Roman" w:eastAsia="宋体"/>
                <w:bCs/>
                <w:color w:val="000000"/>
                <w:sz w:val="18"/>
                <w:szCs w:val="18"/>
              </w:rPr>
            </w:pPr>
            <w:r>
              <w:rPr>
                <w:rFonts w:ascii="Times New Roman" w:eastAsia="宋体"/>
                <w:color w:val="000000"/>
                <w:sz w:val="18"/>
                <w:szCs w:val="18"/>
              </w:rPr>
              <w:t>25.11</w:t>
            </w:r>
            <w:r>
              <w:rPr>
                <w:rFonts w:ascii="Times New Roman" w:eastAsia="宋体"/>
                <w:color w:val="000000"/>
                <w:sz w:val="18"/>
                <w:szCs w:val="18"/>
              </w:rPr>
              <w:t>元（（水合氯醛浓缩液</w:t>
            </w:r>
            <w:r>
              <w:rPr>
                <w:rFonts w:ascii="Times New Roman" w:eastAsia="宋体"/>
                <w:color w:val="000000"/>
                <w:sz w:val="18"/>
                <w:szCs w:val="18"/>
              </w:rPr>
              <w:br/>
              <w:t>0.671g∶0.5g/</w:t>
            </w:r>
            <w:r>
              <w:rPr>
                <w:rFonts w:ascii="Times New Roman" w:eastAsia="宋体"/>
                <w:color w:val="000000"/>
                <w:sz w:val="18"/>
                <w:szCs w:val="18"/>
              </w:rPr>
              <w:t>糖浆</w:t>
            </w:r>
            <w:r>
              <w:rPr>
                <w:rFonts w:ascii="Times New Roman" w:eastAsia="宋体"/>
                <w:color w:val="000000"/>
                <w:sz w:val="18"/>
                <w:szCs w:val="18"/>
              </w:rPr>
              <w:t>4.5ml</w:t>
            </w:r>
            <w:r>
              <w:rPr>
                <w:rFonts w:ascii="Times New Roman" w:eastAsia="宋体"/>
                <w:color w:val="000000"/>
                <w:sz w:val="18"/>
                <w:szCs w:val="18"/>
              </w:rPr>
              <w:t>）</w:t>
            </w:r>
            <w:r>
              <w:rPr>
                <w:rFonts w:ascii="Times New Roman" w:eastAsia="宋体"/>
                <w:color w:val="000000"/>
                <w:sz w:val="18"/>
                <w:szCs w:val="18"/>
              </w:rPr>
              <w:t>/</w:t>
            </w:r>
            <w:r>
              <w:rPr>
                <w:rFonts w:ascii="Times New Roman" w:eastAsia="宋体"/>
                <w:color w:val="000000"/>
                <w:sz w:val="18"/>
                <w:szCs w:val="18"/>
              </w:rPr>
              <w:t>瓶）；</w:t>
            </w:r>
            <w:r>
              <w:rPr>
                <w:rFonts w:ascii="Times New Roman" w:eastAsia="宋体"/>
                <w:color w:val="000000"/>
                <w:sz w:val="18"/>
                <w:szCs w:val="18"/>
              </w:rPr>
              <w:br/>
              <w:t>42.68</w:t>
            </w:r>
            <w:r>
              <w:rPr>
                <w:rFonts w:ascii="Times New Roman" w:eastAsia="宋体"/>
                <w:color w:val="000000"/>
                <w:sz w:val="18"/>
                <w:szCs w:val="18"/>
              </w:rPr>
              <w:t>元（（水合氯醛浓缩液</w:t>
            </w:r>
            <w:r>
              <w:rPr>
                <w:rFonts w:ascii="Times New Roman" w:eastAsia="宋体"/>
                <w:color w:val="000000"/>
                <w:sz w:val="18"/>
                <w:szCs w:val="18"/>
              </w:rPr>
              <w:br/>
              <w:t>1.342g∶1g/</w:t>
            </w:r>
            <w:r>
              <w:rPr>
                <w:rFonts w:ascii="Times New Roman" w:eastAsia="宋体"/>
                <w:color w:val="000000"/>
                <w:sz w:val="18"/>
                <w:szCs w:val="18"/>
              </w:rPr>
              <w:t>糖浆</w:t>
            </w:r>
            <w:r>
              <w:rPr>
                <w:rFonts w:ascii="Times New Roman" w:eastAsia="宋体"/>
                <w:color w:val="000000"/>
                <w:sz w:val="18"/>
                <w:szCs w:val="18"/>
              </w:rPr>
              <w:t>9ml</w:t>
            </w:r>
            <w:r>
              <w:rPr>
                <w:rFonts w:ascii="Times New Roman" w:eastAsia="宋体"/>
                <w:color w:val="000000"/>
                <w:sz w:val="18"/>
                <w:szCs w:val="18"/>
              </w:rPr>
              <w:t>）</w:t>
            </w:r>
            <w:r>
              <w:rPr>
                <w:rFonts w:ascii="Times New Roman" w:eastAsia="宋体"/>
                <w:color w:val="000000"/>
                <w:sz w:val="18"/>
                <w:szCs w:val="18"/>
              </w:rPr>
              <w:t>/</w:t>
            </w:r>
            <w:r>
              <w:rPr>
                <w:rFonts w:ascii="Times New Roman" w:eastAsia="宋体"/>
                <w:color w:val="000000"/>
                <w:sz w:val="18"/>
                <w:szCs w:val="18"/>
              </w:rPr>
              <w:t>瓶）</w:t>
            </w:r>
          </w:p>
        </w:tc>
        <w:tc>
          <w:tcPr>
            <w:tcW w:w="2050" w:type="pct"/>
            <w:noWrap/>
            <w:vAlign w:val="center"/>
          </w:tcPr>
          <w:p w:rsidR="002D3004" w:rsidRDefault="0093795E">
            <w:pPr>
              <w:widowControl/>
              <w:spacing w:line="240" w:lineRule="exact"/>
              <w:textAlignment w:val="center"/>
              <w:rPr>
                <w:rFonts w:ascii="Times New Roman" w:eastAsia="宋体"/>
                <w:color w:val="000000"/>
                <w:sz w:val="18"/>
                <w:szCs w:val="21"/>
              </w:rPr>
            </w:pPr>
            <w:r>
              <w:rPr>
                <w:rFonts w:ascii="Times New Roman" w:eastAsia="宋体"/>
                <w:color w:val="000000"/>
                <w:sz w:val="18"/>
                <w:szCs w:val="21"/>
              </w:rPr>
              <w:t>儿童检查、操作前的镇静、催眠。</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41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56</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D0D0D"/>
                <w:sz w:val="21"/>
                <w:szCs w:val="21"/>
              </w:rPr>
              <w:t>咪达唑仑口服溶液</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用于儿童诊断或治疗性操作前以及操作过程中的镇静</w:t>
            </w:r>
            <w:r>
              <w:rPr>
                <w:rFonts w:ascii="Times New Roman" w:eastAsia="宋体"/>
                <w:color w:val="000000"/>
                <w:sz w:val="18"/>
                <w:szCs w:val="21"/>
              </w:rPr>
              <w:t>/</w:t>
            </w:r>
            <w:r>
              <w:rPr>
                <w:rFonts w:ascii="Times New Roman" w:eastAsia="宋体"/>
                <w:color w:val="000000"/>
                <w:sz w:val="18"/>
                <w:szCs w:val="21"/>
              </w:rPr>
              <w:t>抗焦虑</w:t>
            </w:r>
            <w:r>
              <w:rPr>
                <w:rFonts w:ascii="Times New Roman" w:eastAsia="宋体"/>
                <w:color w:val="000000"/>
                <w:sz w:val="18"/>
                <w:szCs w:val="21"/>
              </w:rPr>
              <w:t>/</w:t>
            </w:r>
            <w:r>
              <w:rPr>
                <w:rFonts w:ascii="Times New Roman" w:eastAsia="宋体"/>
                <w:color w:val="000000"/>
                <w:sz w:val="18"/>
                <w:szCs w:val="21"/>
              </w:rPr>
              <w:t>遗忘；也可用于儿童术前镇静</w:t>
            </w:r>
            <w:r>
              <w:rPr>
                <w:rFonts w:ascii="Times New Roman" w:eastAsia="宋体"/>
                <w:color w:val="000000"/>
                <w:sz w:val="18"/>
                <w:szCs w:val="21"/>
              </w:rPr>
              <w:t>/</w:t>
            </w:r>
            <w:r>
              <w:rPr>
                <w:rFonts w:ascii="Times New Roman" w:eastAsia="宋体"/>
                <w:color w:val="000000"/>
                <w:sz w:val="18"/>
                <w:szCs w:val="21"/>
              </w:rPr>
              <w:t>抗焦虑</w:t>
            </w:r>
            <w:r>
              <w:rPr>
                <w:rFonts w:ascii="Times New Roman" w:eastAsia="宋体"/>
                <w:color w:val="000000"/>
                <w:sz w:val="18"/>
                <w:szCs w:val="21"/>
              </w:rPr>
              <w:t>/</w:t>
            </w:r>
            <w:r>
              <w:rPr>
                <w:rFonts w:ascii="Times New Roman" w:eastAsia="宋体"/>
                <w:color w:val="000000"/>
                <w:sz w:val="18"/>
                <w:szCs w:val="21"/>
              </w:rPr>
              <w:t>遗忘。</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640"/>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57</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甘露</w:t>
            </w:r>
            <w:proofErr w:type="gramStart"/>
            <w:r>
              <w:rPr>
                <w:rFonts w:ascii="Times New Roman" w:eastAsia="宋体"/>
                <w:color w:val="000000"/>
                <w:sz w:val="21"/>
                <w:szCs w:val="21"/>
              </w:rPr>
              <w:t>特</w:t>
            </w:r>
            <w:proofErr w:type="gramEnd"/>
            <w:r>
              <w:rPr>
                <w:rFonts w:ascii="Times New Roman" w:eastAsia="宋体"/>
                <w:color w:val="000000"/>
                <w:sz w:val="21"/>
                <w:szCs w:val="21"/>
              </w:rPr>
              <w:t>钠胶囊</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用于轻度至中度阿尔茨海默病，改善患者认知功能。</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682"/>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58</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氨吡啶缓释片</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本品用于改善多发性硬化合并步行障碍（</w:t>
            </w:r>
            <w:r>
              <w:rPr>
                <w:rFonts w:ascii="Times New Roman" w:eastAsia="宋体"/>
                <w:color w:val="000000"/>
                <w:sz w:val="18"/>
                <w:szCs w:val="21"/>
              </w:rPr>
              <w:t>EDSS</w:t>
            </w:r>
            <w:r>
              <w:rPr>
                <w:rFonts w:ascii="Times New Roman" w:eastAsia="宋体"/>
                <w:color w:val="000000"/>
                <w:sz w:val="18"/>
                <w:szCs w:val="21"/>
              </w:rPr>
              <w:t>评分</w:t>
            </w:r>
            <w:r>
              <w:rPr>
                <w:rFonts w:ascii="Times New Roman" w:eastAsia="宋体"/>
                <w:color w:val="000000"/>
                <w:sz w:val="18"/>
                <w:szCs w:val="21"/>
              </w:rPr>
              <w:t>4-7</w:t>
            </w:r>
            <w:r>
              <w:rPr>
                <w:rFonts w:ascii="Times New Roman" w:eastAsia="宋体"/>
                <w:color w:val="000000"/>
                <w:sz w:val="18"/>
                <w:szCs w:val="21"/>
              </w:rPr>
              <w:t>分）的成年患者的步行能力。</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84"/>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59</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氯苯</w:t>
            </w:r>
            <w:proofErr w:type="gramStart"/>
            <w:r>
              <w:rPr>
                <w:rFonts w:ascii="Times New Roman" w:eastAsia="宋体"/>
                <w:color w:val="000000"/>
                <w:sz w:val="21"/>
                <w:szCs w:val="21"/>
              </w:rPr>
              <w:t>唑</w:t>
            </w:r>
            <w:proofErr w:type="gramEnd"/>
            <w:r>
              <w:rPr>
                <w:rFonts w:ascii="Times New Roman" w:eastAsia="宋体"/>
                <w:color w:val="000000"/>
                <w:sz w:val="21"/>
                <w:szCs w:val="21"/>
              </w:rPr>
              <w:t>酸软胶囊</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本品适用于治疗成人野生型或遗传型转甲状腺素蛋白淀粉样变性心肌病（</w:t>
            </w:r>
            <w:r>
              <w:rPr>
                <w:rFonts w:ascii="Times New Roman" w:eastAsia="宋体"/>
                <w:color w:val="000000"/>
                <w:sz w:val="18"/>
                <w:szCs w:val="21"/>
              </w:rPr>
              <w:t>ATTR-CM</w:t>
            </w:r>
            <w:r>
              <w:rPr>
                <w:rFonts w:ascii="Times New Roman" w:eastAsia="宋体"/>
                <w:color w:val="000000"/>
                <w:sz w:val="18"/>
                <w:szCs w:val="21"/>
              </w:rPr>
              <w:t>），以减少心血管死亡及心血管相关住院。</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28"/>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60</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D0D0D"/>
                <w:sz w:val="21"/>
                <w:szCs w:val="21"/>
              </w:rPr>
              <w:t>苯环</w:t>
            </w:r>
            <w:proofErr w:type="gramStart"/>
            <w:r>
              <w:rPr>
                <w:rFonts w:ascii="Times New Roman" w:eastAsia="宋体"/>
                <w:color w:val="0D0D0D"/>
                <w:sz w:val="21"/>
                <w:szCs w:val="21"/>
              </w:rPr>
              <w:t>喹溴铵</w:t>
            </w:r>
            <w:proofErr w:type="gramEnd"/>
            <w:r>
              <w:rPr>
                <w:rFonts w:ascii="Times New Roman" w:eastAsia="宋体"/>
                <w:color w:val="0D0D0D"/>
                <w:sz w:val="21"/>
                <w:szCs w:val="21"/>
              </w:rPr>
              <w:t>鼻喷雾剂</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本品适用于改善变应性鼻炎引起的流涕、鼻塞、鼻痒和喷嚏症状。</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555"/>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61</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环</w:t>
            </w:r>
            <w:proofErr w:type="gramStart"/>
            <w:r>
              <w:rPr>
                <w:rFonts w:ascii="Times New Roman" w:eastAsia="宋体"/>
                <w:color w:val="000000"/>
                <w:sz w:val="21"/>
                <w:szCs w:val="21"/>
              </w:rPr>
              <w:t>孢</w:t>
            </w:r>
            <w:proofErr w:type="gramEnd"/>
            <w:r>
              <w:rPr>
                <w:rFonts w:ascii="Times New Roman" w:eastAsia="宋体"/>
                <w:color w:val="000000"/>
                <w:sz w:val="21"/>
                <w:szCs w:val="21"/>
              </w:rPr>
              <w:t>素滴眼液（</w:t>
            </w:r>
            <w:r>
              <w:rPr>
                <w:rFonts w:ascii="Times New Roman" w:eastAsia="宋体"/>
                <w:color w:val="000000"/>
                <w:sz w:val="21"/>
                <w:szCs w:val="21"/>
              </w:rPr>
              <w:t>Ⅱ</w:t>
            </w:r>
            <w:r>
              <w:rPr>
                <w:rFonts w:ascii="Times New Roman" w:eastAsia="宋体"/>
                <w:color w:val="000000"/>
                <w:sz w:val="21"/>
                <w:szCs w:val="21"/>
              </w:rPr>
              <w:t>）</w:t>
            </w:r>
          </w:p>
        </w:tc>
        <w:tc>
          <w:tcPr>
            <w:tcW w:w="876" w:type="pct"/>
            <w:noWrap/>
            <w:vAlign w:val="center"/>
          </w:tcPr>
          <w:p w:rsidR="002D3004" w:rsidRDefault="0093795E">
            <w:pPr>
              <w:widowControl/>
              <w:spacing w:line="240" w:lineRule="exact"/>
              <w:ind w:left="-57" w:right="-57"/>
              <w:jc w:val="left"/>
              <w:textAlignment w:val="top"/>
              <w:rPr>
                <w:rFonts w:ascii="Times New Roman" w:eastAsia="宋体"/>
                <w:bCs/>
                <w:color w:val="000000"/>
                <w:sz w:val="18"/>
                <w:szCs w:val="21"/>
              </w:rPr>
            </w:pPr>
            <w:r>
              <w:rPr>
                <w:rFonts w:ascii="Times New Roman" w:eastAsia="宋体"/>
                <w:color w:val="000000"/>
                <w:sz w:val="18"/>
                <w:szCs w:val="21"/>
              </w:rPr>
              <w:t>5.5</w:t>
            </w:r>
            <w:r>
              <w:rPr>
                <w:rFonts w:ascii="Times New Roman" w:eastAsia="宋体"/>
                <w:color w:val="000000"/>
                <w:sz w:val="18"/>
                <w:szCs w:val="21"/>
              </w:rPr>
              <w:t>元（</w:t>
            </w:r>
            <w:r>
              <w:rPr>
                <w:rFonts w:ascii="Times New Roman" w:eastAsia="宋体"/>
                <w:color w:val="000000"/>
                <w:sz w:val="18"/>
                <w:szCs w:val="21"/>
              </w:rPr>
              <w:t>0.4ml∶0.2mg/</w:t>
            </w:r>
            <w:r>
              <w:rPr>
                <w:rFonts w:ascii="Times New Roman" w:eastAsia="宋体"/>
                <w:color w:val="000000"/>
                <w:sz w:val="18"/>
                <w:szCs w:val="21"/>
              </w:rPr>
              <w:t>支）</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本品可促进干眼症患者的泪液分泌，适用于与角结膜干燥症相关的眼部炎症所导致的泪液生成减少的患者。</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10%</w:t>
            </w:r>
          </w:p>
        </w:tc>
      </w:tr>
      <w:tr w:rsidR="002D3004">
        <w:trPr>
          <w:trHeight w:val="683"/>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62</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环硅酸</w:t>
            </w:r>
            <w:proofErr w:type="gramStart"/>
            <w:r>
              <w:rPr>
                <w:rFonts w:ascii="Times New Roman" w:eastAsia="宋体"/>
                <w:color w:val="000000"/>
                <w:sz w:val="21"/>
                <w:szCs w:val="21"/>
              </w:rPr>
              <w:t>锆钠散</w:t>
            </w:r>
            <w:proofErr w:type="gramEnd"/>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本品适用于治疗成人高钾血症。使用限制：因起效迟缓，本品不应该用于危及生命的高钾血症的紧急治疗。</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54"/>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63</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注射</w:t>
            </w:r>
            <w:proofErr w:type="gramStart"/>
            <w:r>
              <w:rPr>
                <w:rFonts w:ascii="Times New Roman" w:eastAsia="宋体"/>
                <w:color w:val="000000"/>
                <w:sz w:val="21"/>
                <w:szCs w:val="21"/>
              </w:rPr>
              <w:t>用全氟丙烷</w:t>
            </w:r>
            <w:proofErr w:type="gramEnd"/>
            <w:r>
              <w:rPr>
                <w:rFonts w:ascii="Times New Roman" w:eastAsia="宋体"/>
                <w:color w:val="000000"/>
                <w:sz w:val="21"/>
                <w:szCs w:val="21"/>
              </w:rPr>
              <w:t>人血白蛋白微球</w:t>
            </w:r>
          </w:p>
        </w:tc>
        <w:tc>
          <w:tcPr>
            <w:tcW w:w="876" w:type="pct"/>
            <w:noWrap/>
            <w:vAlign w:val="center"/>
          </w:tcPr>
          <w:p w:rsidR="002D3004" w:rsidRDefault="0093795E">
            <w:pPr>
              <w:widowControl/>
              <w:spacing w:line="240" w:lineRule="exact"/>
              <w:jc w:val="center"/>
              <w:textAlignment w:val="top"/>
              <w:rPr>
                <w:rFonts w:ascii="Times New Roman" w:eastAsia="宋体"/>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用于常规超声心动图显影不够清晰者，增强显像效果，增加病变识别率及病变定性的准确性，增强左心室内膜边界的识别。</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14"/>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64</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textAlignment w:val="center"/>
              <w:rPr>
                <w:rFonts w:ascii="Times New Roman" w:eastAsia="宋体"/>
                <w:bCs/>
                <w:color w:val="000000"/>
                <w:sz w:val="21"/>
                <w:szCs w:val="21"/>
              </w:rPr>
            </w:pPr>
            <w:r>
              <w:rPr>
                <w:rFonts w:ascii="Times New Roman" w:eastAsia="宋体"/>
                <w:color w:val="000000"/>
                <w:sz w:val="21"/>
                <w:szCs w:val="21"/>
              </w:rPr>
              <w:t>注射</w:t>
            </w:r>
            <w:proofErr w:type="gramStart"/>
            <w:r>
              <w:rPr>
                <w:rFonts w:ascii="Times New Roman" w:eastAsia="宋体"/>
                <w:color w:val="000000"/>
                <w:sz w:val="21"/>
                <w:szCs w:val="21"/>
              </w:rPr>
              <w:t>用全氟丁烷</w:t>
            </w:r>
            <w:proofErr w:type="gramEnd"/>
            <w:r>
              <w:rPr>
                <w:rFonts w:ascii="Times New Roman" w:eastAsia="宋体"/>
                <w:color w:val="000000"/>
                <w:sz w:val="21"/>
                <w:szCs w:val="21"/>
              </w:rPr>
              <w:t>微球</w:t>
            </w:r>
          </w:p>
        </w:tc>
        <w:tc>
          <w:tcPr>
            <w:tcW w:w="876" w:type="pct"/>
            <w:noWrap/>
            <w:vAlign w:val="center"/>
          </w:tcPr>
          <w:p w:rsidR="002D3004" w:rsidRDefault="0093795E">
            <w:pPr>
              <w:widowControl/>
              <w:spacing w:line="240" w:lineRule="exact"/>
              <w:jc w:val="center"/>
              <w:textAlignment w:val="top"/>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本品仅用于诊断使用：注射</w:t>
            </w:r>
            <w:proofErr w:type="gramStart"/>
            <w:r>
              <w:rPr>
                <w:rFonts w:ascii="Times New Roman" w:eastAsia="宋体"/>
                <w:color w:val="000000"/>
                <w:sz w:val="18"/>
                <w:szCs w:val="21"/>
              </w:rPr>
              <w:t>用全氟丁烷</w:t>
            </w:r>
            <w:proofErr w:type="gramEnd"/>
            <w:r>
              <w:rPr>
                <w:rFonts w:ascii="Times New Roman" w:eastAsia="宋体"/>
                <w:color w:val="000000"/>
                <w:sz w:val="18"/>
                <w:szCs w:val="21"/>
              </w:rPr>
              <w:t>微球是一种超声造影剂，用于肝脏局灶性病变血管相和</w:t>
            </w:r>
            <w:proofErr w:type="spellStart"/>
            <w:r>
              <w:rPr>
                <w:rFonts w:ascii="Times New Roman" w:eastAsia="宋体"/>
                <w:color w:val="000000"/>
                <w:sz w:val="18"/>
                <w:szCs w:val="21"/>
              </w:rPr>
              <w:t>Kupffer</w:t>
            </w:r>
            <w:proofErr w:type="spellEnd"/>
            <w:r>
              <w:rPr>
                <w:rFonts w:ascii="Times New Roman" w:eastAsia="宋体"/>
                <w:color w:val="000000"/>
                <w:sz w:val="18"/>
                <w:szCs w:val="21"/>
              </w:rPr>
              <w:t>相的超声成像。</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14"/>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65</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化湿败毒颗粒</w:t>
            </w:r>
          </w:p>
        </w:tc>
        <w:tc>
          <w:tcPr>
            <w:tcW w:w="876" w:type="pct"/>
            <w:noWrap/>
            <w:vAlign w:val="center"/>
          </w:tcPr>
          <w:p w:rsidR="002D3004" w:rsidRDefault="0093795E">
            <w:pPr>
              <w:widowControl/>
              <w:spacing w:line="240" w:lineRule="exact"/>
              <w:jc w:val="left"/>
              <w:textAlignment w:val="top"/>
              <w:rPr>
                <w:rFonts w:ascii="Times New Roman" w:eastAsia="宋体"/>
                <w:bCs/>
                <w:color w:val="000000"/>
                <w:sz w:val="18"/>
                <w:szCs w:val="21"/>
              </w:rPr>
            </w:pPr>
            <w:r>
              <w:rPr>
                <w:rFonts w:ascii="Times New Roman" w:eastAsia="宋体"/>
                <w:color w:val="000000"/>
                <w:sz w:val="18"/>
                <w:szCs w:val="21"/>
              </w:rPr>
              <w:t>9.9</w:t>
            </w:r>
            <w:r>
              <w:rPr>
                <w:rFonts w:ascii="Times New Roman" w:eastAsia="宋体"/>
                <w:color w:val="000000"/>
                <w:sz w:val="18"/>
                <w:szCs w:val="21"/>
              </w:rPr>
              <w:t>元（</w:t>
            </w:r>
            <w:r>
              <w:rPr>
                <w:rFonts w:ascii="Times New Roman" w:eastAsia="宋体"/>
                <w:color w:val="000000"/>
                <w:sz w:val="18"/>
                <w:szCs w:val="21"/>
              </w:rPr>
              <w:t>5g</w:t>
            </w:r>
            <w:r>
              <w:rPr>
                <w:rFonts w:ascii="Times New Roman" w:eastAsia="宋体"/>
                <w:color w:val="000000"/>
                <w:sz w:val="18"/>
                <w:szCs w:val="21"/>
              </w:rPr>
              <w:t>（相当于饮片</w:t>
            </w:r>
            <w:r>
              <w:rPr>
                <w:rFonts w:ascii="Times New Roman" w:eastAsia="宋体"/>
                <w:color w:val="000000"/>
                <w:sz w:val="18"/>
                <w:szCs w:val="21"/>
              </w:rPr>
              <w:t>17.13g</w:t>
            </w:r>
            <w:r>
              <w:rPr>
                <w:rFonts w:ascii="Times New Roman" w:eastAsia="宋体"/>
                <w:color w:val="000000"/>
                <w:sz w:val="18"/>
                <w:szCs w:val="21"/>
              </w:rPr>
              <w:t>）</w:t>
            </w:r>
            <w:r>
              <w:rPr>
                <w:rFonts w:ascii="Times New Roman" w:eastAsia="宋体"/>
                <w:color w:val="000000"/>
                <w:sz w:val="18"/>
                <w:szCs w:val="21"/>
              </w:rPr>
              <w:t>/</w:t>
            </w:r>
            <w:r>
              <w:rPr>
                <w:rFonts w:ascii="Times New Roman" w:eastAsia="宋体"/>
                <w:color w:val="000000"/>
                <w:sz w:val="18"/>
                <w:szCs w:val="21"/>
              </w:rPr>
              <w:t>袋）</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化湿解毒，宣肺泄热。用于</w:t>
            </w:r>
            <w:proofErr w:type="gramStart"/>
            <w:r>
              <w:rPr>
                <w:rFonts w:ascii="Times New Roman" w:eastAsia="宋体"/>
                <w:color w:val="000000"/>
                <w:sz w:val="18"/>
                <w:szCs w:val="21"/>
              </w:rPr>
              <w:t>湿毒侵肺</w:t>
            </w:r>
            <w:proofErr w:type="gramEnd"/>
            <w:r>
              <w:rPr>
                <w:rFonts w:ascii="Times New Roman" w:eastAsia="宋体"/>
                <w:color w:val="000000"/>
                <w:sz w:val="18"/>
                <w:szCs w:val="21"/>
              </w:rPr>
              <w:t>所致的疫病，症见发热、咳嗽、乏力、胸闷、恶心、肌肉酸痛、咽干咽痛、食欲减退、口中粘腻不爽等。</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458"/>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66</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宣肺败毒颗粒</w:t>
            </w:r>
          </w:p>
        </w:tc>
        <w:tc>
          <w:tcPr>
            <w:tcW w:w="876" w:type="pct"/>
            <w:noWrap/>
            <w:vAlign w:val="center"/>
          </w:tcPr>
          <w:p w:rsidR="002D3004" w:rsidRDefault="0093795E">
            <w:pPr>
              <w:widowControl/>
              <w:spacing w:line="240" w:lineRule="exact"/>
              <w:jc w:val="center"/>
              <w:textAlignment w:val="center"/>
              <w:rPr>
                <w:rFonts w:ascii="Times New Roman" w:eastAsia="宋体"/>
                <w:bCs/>
                <w:color w:val="000000"/>
                <w:sz w:val="18"/>
                <w:szCs w:val="21"/>
              </w:rPr>
            </w:pPr>
            <w:r>
              <w:rPr>
                <w:rFonts w:ascii="Times New Roman" w:eastAsia="宋体"/>
                <w:color w:val="000000"/>
                <w:sz w:val="18"/>
                <w:szCs w:val="21"/>
              </w:rPr>
              <w:t>*</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宣肺化湿，清热透邪，泻肺解毒。用于</w:t>
            </w:r>
            <w:proofErr w:type="gramStart"/>
            <w:r>
              <w:rPr>
                <w:rFonts w:ascii="Times New Roman" w:eastAsia="宋体"/>
                <w:color w:val="000000"/>
                <w:sz w:val="18"/>
                <w:szCs w:val="21"/>
              </w:rPr>
              <w:t>湿毒郁肺</w:t>
            </w:r>
            <w:proofErr w:type="gramEnd"/>
            <w:r>
              <w:rPr>
                <w:rFonts w:ascii="Times New Roman" w:eastAsia="宋体"/>
                <w:color w:val="000000"/>
                <w:sz w:val="18"/>
                <w:szCs w:val="21"/>
              </w:rPr>
              <w:t>所致的疫病。症见发热，咳嗽，咽部不适，喘促气短，乏力，纳呆，大便不畅；舌质暗红，苔黄腻或黄燥，脉滑数或弦滑。</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28"/>
          <w:jc w:val="center"/>
        </w:trPr>
        <w:tc>
          <w:tcPr>
            <w:tcW w:w="381"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bCs/>
                <w:color w:val="000000"/>
                <w:sz w:val="21"/>
                <w:szCs w:val="21"/>
              </w:rPr>
              <w:t>67</w:t>
            </w:r>
          </w:p>
        </w:tc>
        <w:tc>
          <w:tcPr>
            <w:tcW w:w="390"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905" w:type="pct"/>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color w:val="000000"/>
                <w:sz w:val="21"/>
                <w:szCs w:val="21"/>
              </w:rPr>
              <w:t>关黄母颗粒</w:t>
            </w:r>
          </w:p>
        </w:tc>
        <w:tc>
          <w:tcPr>
            <w:tcW w:w="876" w:type="pct"/>
            <w:noWrap/>
            <w:vAlign w:val="center"/>
          </w:tcPr>
          <w:p w:rsidR="002D3004" w:rsidRDefault="0093795E">
            <w:pPr>
              <w:widowControl/>
              <w:spacing w:line="240" w:lineRule="exact"/>
              <w:ind w:left="-57" w:right="-57"/>
              <w:jc w:val="center"/>
              <w:textAlignment w:val="top"/>
              <w:rPr>
                <w:rFonts w:ascii="Times New Roman" w:eastAsia="宋体"/>
                <w:color w:val="000000"/>
                <w:sz w:val="18"/>
                <w:szCs w:val="21"/>
              </w:rPr>
            </w:pPr>
            <w:r>
              <w:rPr>
                <w:rFonts w:ascii="Times New Roman" w:eastAsia="宋体"/>
                <w:color w:val="000000"/>
                <w:sz w:val="18"/>
                <w:szCs w:val="21"/>
              </w:rPr>
              <w:t>4.28</w:t>
            </w:r>
            <w:r>
              <w:rPr>
                <w:rFonts w:ascii="Times New Roman" w:eastAsia="宋体"/>
                <w:color w:val="000000"/>
                <w:sz w:val="18"/>
                <w:szCs w:val="21"/>
              </w:rPr>
              <w:t>元（</w:t>
            </w:r>
            <w:r>
              <w:rPr>
                <w:rFonts w:ascii="Times New Roman" w:eastAsia="宋体"/>
                <w:color w:val="000000"/>
                <w:sz w:val="18"/>
                <w:szCs w:val="21"/>
              </w:rPr>
              <w:t>9g</w:t>
            </w:r>
            <w:r>
              <w:rPr>
                <w:rFonts w:ascii="Times New Roman" w:eastAsia="宋体"/>
                <w:color w:val="000000"/>
                <w:sz w:val="18"/>
                <w:szCs w:val="21"/>
              </w:rPr>
              <w:t>（相当于饮片</w:t>
            </w:r>
            <w:r>
              <w:rPr>
                <w:rFonts w:ascii="Times New Roman" w:eastAsia="宋体"/>
                <w:color w:val="000000"/>
                <w:sz w:val="18"/>
                <w:szCs w:val="21"/>
              </w:rPr>
              <w:t>4.8g</w:t>
            </w:r>
            <w:r>
              <w:rPr>
                <w:rFonts w:ascii="Times New Roman" w:eastAsia="宋体"/>
                <w:color w:val="000000"/>
                <w:sz w:val="18"/>
                <w:szCs w:val="21"/>
              </w:rPr>
              <w:t>）</w:t>
            </w:r>
            <w:r>
              <w:rPr>
                <w:rFonts w:ascii="Times New Roman" w:eastAsia="宋体"/>
                <w:color w:val="000000"/>
                <w:sz w:val="18"/>
                <w:szCs w:val="21"/>
              </w:rPr>
              <w:t>/</w:t>
            </w:r>
            <w:r>
              <w:rPr>
                <w:rFonts w:ascii="Times New Roman" w:eastAsia="宋体"/>
                <w:color w:val="000000"/>
                <w:sz w:val="18"/>
                <w:szCs w:val="21"/>
              </w:rPr>
              <w:t>袋）</w:t>
            </w:r>
          </w:p>
        </w:tc>
        <w:tc>
          <w:tcPr>
            <w:tcW w:w="205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补益肝肾，滋阴降火。用于女性更年期综合征（绝经前后诸证）中医辨证属肝肾阴虚证，症见烘热汗出，头晕，耳鸣，腰膝酸软或足跟痛，少</w:t>
            </w:r>
            <w:proofErr w:type="gramStart"/>
            <w:r>
              <w:rPr>
                <w:rFonts w:ascii="Times New Roman" w:eastAsia="宋体"/>
                <w:color w:val="000000"/>
                <w:sz w:val="18"/>
                <w:szCs w:val="21"/>
              </w:rPr>
              <w:t>寐</w:t>
            </w:r>
            <w:proofErr w:type="gramEnd"/>
            <w:r>
              <w:rPr>
                <w:rFonts w:ascii="Times New Roman" w:eastAsia="宋体"/>
                <w:color w:val="000000"/>
                <w:sz w:val="18"/>
                <w:szCs w:val="21"/>
              </w:rPr>
              <w:t>多梦，急躁易怒等。</w:t>
            </w:r>
          </w:p>
        </w:tc>
        <w:tc>
          <w:tcPr>
            <w:tcW w:w="396" w:type="pct"/>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bl>
    <w:p w:rsidR="002D3004" w:rsidRDefault="0093795E">
      <w:pPr>
        <w:overflowPunct w:val="0"/>
        <w:autoSpaceDE w:val="0"/>
        <w:autoSpaceDN w:val="0"/>
        <w:adjustRightInd w:val="0"/>
        <w:snapToGrid w:val="0"/>
        <w:spacing w:line="20" w:lineRule="exact"/>
        <w:jc w:val="left"/>
        <w:rPr>
          <w:rFonts w:ascii="Times New Roman" w:eastAsia="方正仿宋_GBK"/>
          <w:bCs/>
        </w:rPr>
        <w:sectPr w:rsidR="002D3004">
          <w:footerReference w:type="even" r:id="rId8"/>
          <w:footerReference w:type="default" r:id="rId9"/>
          <w:pgSz w:w="11906" w:h="16838"/>
          <w:pgMar w:top="2098" w:right="1531" w:bottom="1985" w:left="1531" w:header="709" w:footer="1361" w:gutter="0"/>
          <w:cols w:space="720"/>
          <w:docGrid w:type="lines" w:linePitch="579" w:charSpace="-849"/>
        </w:sectPr>
      </w:pPr>
      <w:r>
        <w:rPr>
          <w:rFonts w:ascii="Times New Roman" w:eastAsia="方正仿宋_GBK"/>
          <w:bCs/>
        </w:rPr>
        <w:br w:type="page"/>
      </w:r>
    </w:p>
    <w:p w:rsidR="002D3004" w:rsidRDefault="0093795E">
      <w:pPr>
        <w:overflowPunct w:val="0"/>
        <w:autoSpaceDE w:val="0"/>
        <w:autoSpaceDN w:val="0"/>
        <w:adjustRightInd w:val="0"/>
        <w:snapToGrid w:val="0"/>
        <w:spacing w:line="600" w:lineRule="exact"/>
        <w:jc w:val="left"/>
        <w:rPr>
          <w:rFonts w:ascii="Times New Roman" w:eastAsia="黑体"/>
          <w:snapToGrid w:val="0"/>
          <w:color w:val="000000"/>
        </w:rPr>
      </w:pPr>
      <w:r>
        <w:rPr>
          <w:rFonts w:ascii="Times New Roman" w:eastAsia="黑体" w:hAnsi="黑体"/>
          <w:snapToGrid w:val="0"/>
          <w:color w:val="000000"/>
        </w:rPr>
        <w:lastRenderedPageBreak/>
        <w:t>附件</w:t>
      </w:r>
      <w:r>
        <w:rPr>
          <w:rFonts w:ascii="Times New Roman" w:eastAsia="黑体" w:hint="eastAsia"/>
          <w:snapToGrid w:val="0"/>
          <w:color w:val="000000"/>
        </w:rPr>
        <w:t>2</w:t>
      </w:r>
    </w:p>
    <w:p w:rsidR="002D3004" w:rsidRDefault="0093795E">
      <w:pPr>
        <w:overflowPunct w:val="0"/>
        <w:autoSpaceDE w:val="0"/>
        <w:autoSpaceDN w:val="0"/>
        <w:adjustRightInd w:val="0"/>
        <w:snapToGrid w:val="0"/>
        <w:spacing w:before="240" w:after="240" w:line="570" w:lineRule="exact"/>
        <w:jc w:val="center"/>
        <w:rPr>
          <w:rFonts w:ascii="方正小标宋简体" w:eastAsia="方正小标宋简体"/>
          <w:snapToGrid w:val="0"/>
          <w:color w:val="000000"/>
          <w:sz w:val="44"/>
          <w:szCs w:val="44"/>
        </w:rPr>
      </w:pPr>
      <w:r>
        <w:rPr>
          <w:rFonts w:ascii="方正小标宋简体" w:eastAsia="方正小标宋简体" w:hint="eastAsia"/>
          <w:snapToGrid w:val="0"/>
          <w:color w:val="000000"/>
          <w:sz w:val="44"/>
          <w:szCs w:val="44"/>
        </w:rPr>
        <w:t>调整部分乙类药品个人自付比例标注表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76"/>
        <w:gridCol w:w="660"/>
        <w:gridCol w:w="1069"/>
        <w:gridCol w:w="910"/>
        <w:gridCol w:w="5220"/>
        <w:gridCol w:w="725"/>
      </w:tblGrid>
      <w:tr w:rsidR="002D3004">
        <w:trPr>
          <w:trHeight w:val="745"/>
          <w:tblHeader/>
          <w:jc w:val="center"/>
        </w:trPr>
        <w:tc>
          <w:tcPr>
            <w:tcW w:w="262"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color w:val="000000"/>
                <w:sz w:val="21"/>
                <w:szCs w:val="21"/>
              </w:rPr>
            </w:pPr>
            <w:r>
              <w:rPr>
                <w:rFonts w:ascii="黑体" w:eastAsia="黑体" w:hAnsi="黑体"/>
                <w:color w:val="000000"/>
                <w:sz w:val="21"/>
                <w:szCs w:val="21"/>
              </w:rPr>
              <w:t>序号</w:t>
            </w:r>
          </w:p>
        </w:tc>
        <w:tc>
          <w:tcPr>
            <w:tcW w:w="364"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color w:val="000000"/>
                <w:sz w:val="21"/>
                <w:szCs w:val="21"/>
              </w:rPr>
            </w:pPr>
            <w:r>
              <w:rPr>
                <w:rFonts w:ascii="黑体" w:eastAsia="黑体" w:hAnsi="黑体"/>
                <w:color w:val="000000"/>
                <w:sz w:val="21"/>
                <w:szCs w:val="21"/>
              </w:rPr>
              <w:t>支付</w:t>
            </w:r>
          </w:p>
          <w:p w:rsidR="002D3004" w:rsidRDefault="0093795E">
            <w:pPr>
              <w:overflowPunct w:val="0"/>
              <w:autoSpaceDE w:val="0"/>
              <w:autoSpaceDN w:val="0"/>
              <w:adjustRightInd w:val="0"/>
              <w:snapToGrid w:val="0"/>
              <w:spacing w:line="300" w:lineRule="exact"/>
              <w:jc w:val="center"/>
              <w:rPr>
                <w:rFonts w:ascii="黑体" w:eastAsia="黑体" w:hAnsi="黑体"/>
                <w:color w:val="000000"/>
                <w:sz w:val="21"/>
                <w:szCs w:val="21"/>
              </w:rPr>
            </w:pPr>
            <w:r>
              <w:rPr>
                <w:rFonts w:ascii="黑体" w:eastAsia="黑体" w:hAnsi="黑体"/>
                <w:color w:val="000000"/>
                <w:sz w:val="21"/>
                <w:szCs w:val="21"/>
              </w:rPr>
              <w:t>类别</w:t>
            </w:r>
          </w:p>
        </w:tc>
        <w:tc>
          <w:tcPr>
            <w:tcW w:w="590"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sz w:val="21"/>
                <w:szCs w:val="21"/>
              </w:rPr>
            </w:pPr>
            <w:r>
              <w:rPr>
                <w:rFonts w:ascii="黑体" w:eastAsia="黑体" w:hAnsi="黑体"/>
                <w:sz w:val="21"/>
                <w:szCs w:val="21"/>
              </w:rPr>
              <w:t>药品名称</w:t>
            </w:r>
          </w:p>
        </w:tc>
        <w:tc>
          <w:tcPr>
            <w:tcW w:w="502"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sz w:val="21"/>
                <w:szCs w:val="21"/>
              </w:rPr>
            </w:pPr>
            <w:r>
              <w:rPr>
                <w:rFonts w:ascii="黑体" w:eastAsia="黑体" w:hAnsi="黑体"/>
                <w:sz w:val="21"/>
                <w:szCs w:val="21"/>
              </w:rPr>
              <w:t>剂</w:t>
            </w:r>
            <w:r>
              <w:rPr>
                <w:rFonts w:ascii="黑体" w:eastAsia="黑体" w:hAnsi="黑体"/>
                <w:sz w:val="21"/>
                <w:szCs w:val="21"/>
              </w:rPr>
              <w:t xml:space="preserve">  </w:t>
            </w:r>
            <w:r>
              <w:rPr>
                <w:rFonts w:ascii="黑体" w:eastAsia="黑体" w:hAnsi="黑体"/>
                <w:sz w:val="21"/>
                <w:szCs w:val="21"/>
              </w:rPr>
              <w:t>型</w:t>
            </w:r>
          </w:p>
        </w:tc>
        <w:tc>
          <w:tcPr>
            <w:tcW w:w="2880"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sz w:val="21"/>
                <w:szCs w:val="21"/>
              </w:rPr>
            </w:pPr>
            <w:r>
              <w:rPr>
                <w:rFonts w:ascii="黑体" w:eastAsia="黑体" w:hAnsi="黑体"/>
                <w:sz w:val="21"/>
                <w:szCs w:val="21"/>
              </w:rPr>
              <w:t>备</w:t>
            </w:r>
            <w:r>
              <w:rPr>
                <w:rFonts w:ascii="黑体" w:eastAsia="黑体" w:hAnsi="黑体"/>
                <w:sz w:val="21"/>
                <w:szCs w:val="21"/>
              </w:rPr>
              <w:t xml:space="preserve">  </w:t>
            </w:r>
            <w:r>
              <w:rPr>
                <w:rFonts w:ascii="黑体" w:eastAsia="黑体" w:hAnsi="黑体"/>
                <w:sz w:val="21"/>
                <w:szCs w:val="21"/>
              </w:rPr>
              <w:t>注</w:t>
            </w:r>
          </w:p>
        </w:tc>
        <w:tc>
          <w:tcPr>
            <w:tcW w:w="400" w:type="pct"/>
            <w:shd w:val="clear" w:color="000000" w:fill="FFFFFF"/>
            <w:noWrap/>
            <w:vAlign w:val="center"/>
          </w:tcPr>
          <w:p w:rsidR="002D3004" w:rsidRDefault="0093795E">
            <w:pPr>
              <w:overflowPunct w:val="0"/>
              <w:autoSpaceDE w:val="0"/>
              <w:autoSpaceDN w:val="0"/>
              <w:adjustRightInd w:val="0"/>
              <w:snapToGrid w:val="0"/>
              <w:spacing w:line="300" w:lineRule="exact"/>
              <w:jc w:val="center"/>
              <w:rPr>
                <w:rFonts w:ascii="黑体" w:eastAsia="黑体" w:hAnsi="黑体"/>
                <w:sz w:val="21"/>
                <w:szCs w:val="21"/>
              </w:rPr>
            </w:pPr>
            <w:r>
              <w:rPr>
                <w:rFonts w:ascii="黑体" w:eastAsia="黑体" w:hAnsi="黑体"/>
                <w:sz w:val="21"/>
                <w:szCs w:val="21"/>
              </w:rPr>
              <w:t>个人自付</w:t>
            </w:r>
          </w:p>
          <w:p w:rsidR="002D3004" w:rsidRDefault="0093795E">
            <w:pPr>
              <w:overflowPunct w:val="0"/>
              <w:autoSpaceDE w:val="0"/>
              <w:autoSpaceDN w:val="0"/>
              <w:adjustRightInd w:val="0"/>
              <w:snapToGrid w:val="0"/>
              <w:spacing w:line="300" w:lineRule="exact"/>
              <w:jc w:val="center"/>
              <w:rPr>
                <w:rFonts w:ascii="黑体" w:eastAsia="黑体" w:hAnsi="黑体"/>
                <w:sz w:val="21"/>
                <w:szCs w:val="21"/>
              </w:rPr>
            </w:pPr>
            <w:r>
              <w:rPr>
                <w:rFonts w:ascii="黑体" w:eastAsia="黑体" w:hAnsi="黑体"/>
                <w:sz w:val="21"/>
                <w:szCs w:val="21"/>
              </w:rPr>
              <w:t>比例</w:t>
            </w:r>
          </w:p>
        </w:tc>
      </w:tr>
      <w:tr w:rsidR="002D3004">
        <w:trPr>
          <w:trHeight w:hRule="exact" w:val="2114"/>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hint="eastAsia"/>
                <w:bCs/>
                <w:color w:val="000000"/>
                <w:sz w:val="21"/>
                <w:szCs w:val="21"/>
              </w:rPr>
              <w:t>1</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埃</w:t>
            </w:r>
            <w:proofErr w:type="gramStart"/>
            <w:r>
              <w:rPr>
                <w:rFonts w:ascii="宋体" w:eastAsia="宋体" w:hAnsi="宋体" w:cs="宋体" w:hint="eastAsia"/>
                <w:color w:val="000000"/>
                <w:sz w:val="21"/>
                <w:szCs w:val="21"/>
              </w:rPr>
              <w:t>克替尼</w:t>
            </w:r>
            <w:proofErr w:type="gramEnd"/>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口服常释剂型</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sz w:val="18"/>
                <w:szCs w:val="18"/>
                <w:highlight w:val="yellow"/>
              </w:rPr>
            </w:pPr>
            <w:r>
              <w:rPr>
                <w:rFonts w:ascii="Times New Roman" w:eastAsia="宋体" w:cs="宋体" w:hint="eastAsia"/>
                <w:color w:val="000000"/>
                <w:sz w:val="18"/>
                <w:szCs w:val="18"/>
              </w:rPr>
              <w:t xml:space="preserve">1. </w:t>
            </w:r>
            <w:r>
              <w:rPr>
                <w:rFonts w:ascii="Times New Roman" w:eastAsia="宋体" w:cs="宋体" w:hint="eastAsia"/>
                <w:color w:val="000000"/>
                <w:sz w:val="18"/>
                <w:szCs w:val="18"/>
              </w:rPr>
              <w:t>本品单药适用于治疗表皮生长因子受体（</w:t>
            </w:r>
            <w:r>
              <w:rPr>
                <w:rFonts w:ascii="Times New Roman" w:eastAsia="宋体" w:cs="宋体" w:hint="eastAsia"/>
                <w:color w:val="000000"/>
                <w:sz w:val="18"/>
                <w:szCs w:val="18"/>
              </w:rPr>
              <w:t>EGFR)</w:t>
            </w:r>
            <w:r>
              <w:rPr>
                <w:rFonts w:ascii="Times New Roman" w:eastAsia="宋体" w:cs="宋体" w:hint="eastAsia"/>
                <w:color w:val="000000"/>
                <w:sz w:val="18"/>
                <w:szCs w:val="18"/>
              </w:rPr>
              <w:t>基因具有敏感突变的局部晚期或转移性非小细胞肺癌（</w:t>
            </w:r>
            <w:r>
              <w:rPr>
                <w:rFonts w:ascii="Times New Roman" w:eastAsia="宋体" w:cs="宋体" w:hint="eastAsia"/>
                <w:color w:val="000000"/>
                <w:sz w:val="18"/>
                <w:szCs w:val="18"/>
              </w:rPr>
              <w:t>NSCLC</w:t>
            </w:r>
            <w:r>
              <w:rPr>
                <w:rFonts w:ascii="Times New Roman" w:eastAsia="宋体" w:cs="宋体" w:hint="eastAsia"/>
                <w:color w:val="000000"/>
                <w:sz w:val="18"/>
                <w:szCs w:val="18"/>
              </w:rPr>
              <w:t>）患者的一线治疗。</w:t>
            </w:r>
            <w:r>
              <w:rPr>
                <w:rFonts w:ascii="Times New Roman" w:eastAsia="宋体" w:cs="宋体" w:hint="eastAsia"/>
                <w:color w:val="000000"/>
                <w:sz w:val="18"/>
                <w:szCs w:val="18"/>
              </w:rPr>
              <w:t xml:space="preserve">2. </w:t>
            </w:r>
            <w:r>
              <w:rPr>
                <w:rFonts w:ascii="Times New Roman" w:eastAsia="宋体" w:cs="宋体" w:hint="eastAsia"/>
                <w:color w:val="000000"/>
                <w:sz w:val="18"/>
                <w:szCs w:val="18"/>
              </w:rPr>
              <w:t>本品单药可试用于治疗既往接受过至少一个化疗方案失败后的局部晚期或转移性非小细胞肺癌（</w:t>
            </w:r>
            <w:r>
              <w:rPr>
                <w:rFonts w:ascii="Times New Roman" w:eastAsia="宋体" w:cs="宋体" w:hint="eastAsia"/>
                <w:color w:val="000000"/>
                <w:sz w:val="18"/>
                <w:szCs w:val="18"/>
              </w:rPr>
              <w:t>NSCLC</w:t>
            </w:r>
            <w:r>
              <w:rPr>
                <w:rFonts w:ascii="Times New Roman" w:eastAsia="宋体" w:cs="宋体" w:hint="eastAsia"/>
                <w:color w:val="000000"/>
                <w:sz w:val="18"/>
                <w:szCs w:val="18"/>
              </w:rPr>
              <w:t>），既往化疗主要是指以铂类为基础的联合化疗。</w:t>
            </w:r>
            <w:r>
              <w:rPr>
                <w:rFonts w:ascii="Times New Roman" w:eastAsia="宋体" w:cs="宋体" w:hint="eastAsia"/>
                <w:color w:val="000000"/>
                <w:sz w:val="18"/>
                <w:szCs w:val="18"/>
              </w:rPr>
              <w:t xml:space="preserve">3. </w:t>
            </w:r>
            <w:r>
              <w:rPr>
                <w:rFonts w:ascii="Times New Roman" w:eastAsia="宋体" w:cs="宋体" w:hint="eastAsia"/>
                <w:color w:val="000000"/>
                <w:sz w:val="18"/>
                <w:szCs w:val="18"/>
              </w:rPr>
              <w:t>本品单药适用于</w:t>
            </w:r>
            <w:r>
              <w:rPr>
                <w:rFonts w:ascii="Times New Roman" w:eastAsia="宋体" w:cs="宋体" w:hint="eastAsia"/>
                <w:color w:val="000000"/>
                <w:sz w:val="18"/>
                <w:szCs w:val="18"/>
              </w:rPr>
              <w:t>II-IIIA</w:t>
            </w:r>
            <w:r>
              <w:rPr>
                <w:rFonts w:ascii="Times New Roman" w:eastAsia="宋体" w:cs="宋体" w:hint="eastAsia"/>
                <w:color w:val="000000"/>
                <w:sz w:val="18"/>
                <w:szCs w:val="18"/>
              </w:rPr>
              <w:t>期伴有表皮生长因子受体（</w:t>
            </w:r>
            <w:r>
              <w:rPr>
                <w:rFonts w:ascii="Times New Roman" w:eastAsia="宋体" w:cs="宋体" w:hint="eastAsia"/>
                <w:color w:val="000000"/>
                <w:sz w:val="18"/>
                <w:szCs w:val="18"/>
              </w:rPr>
              <w:t>EGFR</w:t>
            </w:r>
            <w:r>
              <w:rPr>
                <w:rFonts w:ascii="Times New Roman" w:eastAsia="宋体" w:cs="宋体" w:hint="eastAsia"/>
                <w:color w:val="000000"/>
                <w:sz w:val="18"/>
                <w:szCs w:val="18"/>
              </w:rPr>
              <w:t>）基因敏感突变非小细胞肺癌（</w:t>
            </w:r>
            <w:r>
              <w:rPr>
                <w:rFonts w:ascii="Times New Roman" w:eastAsia="宋体" w:cs="宋体" w:hint="eastAsia"/>
                <w:color w:val="000000"/>
                <w:sz w:val="18"/>
                <w:szCs w:val="18"/>
              </w:rPr>
              <w:t>NSCLC</w:t>
            </w:r>
            <w:r>
              <w:rPr>
                <w:rFonts w:ascii="Times New Roman" w:eastAsia="宋体" w:cs="宋体" w:hint="eastAsia"/>
                <w:color w:val="000000"/>
                <w:sz w:val="18"/>
                <w:szCs w:val="18"/>
              </w:rPr>
              <w:t>）术后辅助治疗。</w:t>
            </w:r>
            <w:r>
              <w:rPr>
                <w:rFonts w:ascii="Times New Roman" w:eastAsia="宋体" w:cs="宋体" w:hint="eastAsia"/>
                <w:color w:val="000000"/>
                <w:sz w:val="18"/>
                <w:szCs w:val="18"/>
              </w:rPr>
              <w:t xml:space="preserve">4. </w:t>
            </w:r>
            <w:r>
              <w:rPr>
                <w:rFonts w:ascii="Times New Roman" w:eastAsia="宋体" w:cs="宋体" w:hint="eastAsia"/>
                <w:color w:val="000000"/>
                <w:sz w:val="18"/>
                <w:szCs w:val="18"/>
              </w:rPr>
              <w:t>不推荐本品用于</w:t>
            </w:r>
            <w:r>
              <w:rPr>
                <w:rFonts w:ascii="Times New Roman" w:eastAsia="宋体" w:cs="宋体" w:hint="eastAsia"/>
                <w:color w:val="000000"/>
                <w:sz w:val="18"/>
                <w:szCs w:val="18"/>
              </w:rPr>
              <w:t>EGFR</w:t>
            </w:r>
            <w:r>
              <w:rPr>
                <w:rFonts w:ascii="Times New Roman" w:eastAsia="宋体" w:cs="宋体" w:hint="eastAsia"/>
                <w:color w:val="000000"/>
                <w:sz w:val="18"/>
                <w:szCs w:val="18"/>
              </w:rPr>
              <w:t>野生型非小细胞肺癌患者。</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14"/>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hint="eastAsia"/>
                <w:bCs/>
                <w:color w:val="000000"/>
                <w:sz w:val="21"/>
                <w:szCs w:val="21"/>
              </w:rPr>
              <w:t>2</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sz w:val="21"/>
                <w:szCs w:val="21"/>
              </w:rPr>
              <w:t>吉非替尼</w:t>
            </w:r>
            <w:proofErr w:type="gramEnd"/>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口服常释剂型</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sz w:val="18"/>
                <w:szCs w:val="18"/>
              </w:rPr>
            </w:pPr>
            <w:r>
              <w:rPr>
                <w:rFonts w:ascii="Times New Roman" w:eastAsia="宋体" w:cs="宋体" w:hint="eastAsia"/>
                <w:color w:val="000000"/>
                <w:sz w:val="18"/>
                <w:szCs w:val="18"/>
              </w:rPr>
              <w:t>限</w:t>
            </w:r>
            <w:r>
              <w:rPr>
                <w:rFonts w:ascii="Times New Roman" w:eastAsia="宋体" w:cs="宋体" w:hint="eastAsia"/>
                <w:color w:val="000000"/>
                <w:sz w:val="18"/>
                <w:szCs w:val="18"/>
              </w:rPr>
              <w:t>EGFR</w:t>
            </w:r>
            <w:r>
              <w:rPr>
                <w:rFonts w:ascii="Times New Roman" w:eastAsia="宋体" w:cs="宋体" w:hint="eastAsia"/>
                <w:color w:val="000000"/>
                <w:sz w:val="18"/>
                <w:szCs w:val="18"/>
              </w:rPr>
              <w:t>基因敏感突变的晚期非小细胞肺癌</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724"/>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hint="eastAsia"/>
                <w:bCs/>
                <w:color w:val="000000"/>
                <w:sz w:val="21"/>
                <w:szCs w:val="21"/>
              </w:rPr>
              <w:t>3</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伊</w:t>
            </w:r>
            <w:proofErr w:type="gramStart"/>
            <w:r>
              <w:rPr>
                <w:rFonts w:ascii="宋体" w:eastAsia="宋体" w:hAnsi="宋体" w:cs="宋体" w:hint="eastAsia"/>
                <w:color w:val="000000"/>
                <w:sz w:val="21"/>
                <w:szCs w:val="21"/>
              </w:rPr>
              <w:t>马替尼</w:t>
            </w:r>
            <w:proofErr w:type="gramEnd"/>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口服常释剂型</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sz w:val="18"/>
                <w:szCs w:val="18"/>
              </w:rPr>
            </w:pPr>
            <w:r>
              <w:rPr>
                <w:rFonts w:ascii="Times New Roman" w:eastAsia="宋体" w:cs="宋体" w:hint="eastAsia"/>
                <w:color w:val="000000"/>
                <w:sz w:val="18"/>
                <w:szCs w:val="18"/>
              </w:rPr>
              <w:t>限有慢性髓性白血病诊断并有费城染色体阳性的检验证据的患者；有急性淋巴细胞白血病诊断并有费城染色体阳性的检验证据的儿童患者；难治的或复发的费城染色体阳性的急性淋巴细胞白血病成人患者；胃肠间质瘤患者。</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624"/>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hint="eastAsia"/>
                <w:bCs/>
                <w:color w:val="000000"/>
                <w:sz w:val="21"/>
                <w:szCs w:val="21"/>
              </w:rPr>
              <w:t>4</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达</w:t>
            </w:r>
            <w:proofErr w:type="gramStart"/>
            <w:r>
              <w:rPr>
                <w:rFonts w:ascii="宋体" w:eastAsia="宋体" w:hAnsi="宋体" w:cs="宋体" w:hint="eastAsia"/>
                <w:color w:val="000000"/>
                <w:sz w:val="21"/>
                <w:szCs w:val="21"/>
              </w:rPr>
              <w:t>沙替尼</w:t>
            </w:r>
            <w:proofErr w:type="gramEnd"/>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口服常释剂型</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color w:val="000000"/>
                <w:sz w:val="18"/>
                <w:szCs w:val="18"/>
              </w:rPr>
            </w:pPr>
            <w:proofErr w:type="gramStart"/>
            <w:r>
              <w:rPr>
                <w:rFonts w:ascii="Times New Roman" w:eastAsia="宋体" w:cs="宋体" w:hint="eastAsia"/>
                <w:color w:val="000000"/>
                <w:sz w:val="18"/>
                <w:szCs w:val="18"/>
              </w:rPr>
              <w:t>限对伊马替尼</w:t>
            </w:r>
            <w:proofErr w:type="gramEnd"/>
            <w:r>
              <w:rPr>
                <w:rFonts w:ascii="Times New Roman" w:eastAsia="宋体" w:cs="宋体" w:hint="eastAsia"/>
                <w:color w:val="000000"/>
                <w:sz w:val="18"/>
                <w:szCs w:val="18"/>
              </w:rPr>
              <w:t>耐药或</w:t>
            </w:r>
            <w:proofErr w:type="gramStart"/>
            <w:r>
              <w:rPr>
                <w:rFonts w:ascii="Times New Roman" w:eastAsia="宋体" w:cs="宋体" w:hint="eastAsia"/>
                <w:color w:val="000000"/>
                <w:sz w:val="18"/>
                <w:szCs w:val="18"/>
              </w:rPr>
              <w:t>不</w:t>
            </w:r>
            <w:proofErr w:type="gramEnd"/>
            <w:r>
              <w:rPr>
                <w:rFonts w:ascii="Times New Roman" w:eastAsia="宋体" w:cs="宋体" w:hint="eastAsia"/>
                <w:color w:val="000000"/>
                <w:sz w:val="18"/>
                <w:szCs w:val="18"/>
              </w:rPr>
              <w:t>耐受的慢性</w:t>
            </w:r>
            <w:proofErr w:type="gramStart"/>
            <w:r>
              <w:rPr>
                <w:rFonts w:ascii="Times New Roman" w:eastAsia="宋体" w:cs="宋体" w:hint="eastAsia"/>
                <w:color w:val="000000"/>
                <w:sz w:val="18"/>
                <w:szCs w:val="18"/>
              </w:rPr>
              <w:t>髓</w:t>
            </w:r>
            <w:proofErr w:type="gramEnd"/>
            <w:r>
              <w:rPr>
                <w:rFonts w:ascii="Times New Roman" w:eastAsia="宋体" w:cs="宋体" w:hint="eastAsia"/>
                <w:color w:val="000000"/>
                <w:sz w:val="18"/>
                <w:szCs w:val="18"/>
              </w:rPr>
              <w:t>细胞白血病患者。</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67"/>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hint="eastAsia"/>
                <w:bCs/>
                <w:color w:val="000000"/>
                <w:sz w:val="21"/>
                <w:szCs w:val="21"/>
              </w:rPr>
              <w:t>5</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阿</w:t>
            </w:r>
            <w:proofErr w:type="gramStart"/>
            <w:r>
              <w:rPr>
                <w:rFonts w:ascii="宋体" w:eastAsia="宋体" w:hAnsi="宋体" w:cs="宋体" w:hint="eastAsia"/>
                <w:color w:val="000000"/>
                <w:sz w:val="21"/>
                <w:szCs w:val="21"/>
              </w:rPr>
              <w:t>法替尼</w:t>
            </w:r>
            <w:proofErr w:type="gramEnd"/>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口服常释剂型</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color w:val="000000"/>
                <w:sz w:val="18"/>
                <w:szCs w:val="18"/>
              </w:rPr>
            </w:pPr>
            <w:r>
              <w:rPr>
                <w:rFonts w:ascii="Times New Roman" w:eastAsia="宋体" w:cs="宋体" w:hint="eastAsia"/>
                <w:color w:val="000000"/>
                <w:sz w:val="18"/>
                <w:szCs w:val="18"/>
              </w:rPr>
              <w:t>限</w:t>
            </w:r>
            <w:r>
              <w:rPr>
                <w:rFonts w:ascii="Times New Roman" w:eastAsia="宋体" w:cs="宋体" w:hint="eastAsia"/>
                <w:color w:val="000000"/>
                <w:sz w:val="18"/>
                <w:szCs w:val="18"/>
              </w:rPr>
              <w:t xml:space="preserve">1. </w:t>
            </w:r>
            <w:r>
              <w:rPr>
                <w:rFonts w:ascii="Times New Roman" w:eastAsia="宋体" w:cs="宋体" w:hint="eastAsia"/>
                <w:color w:val="000000"/>
                <w:sz w:val="18"/>
                <w:szCs w:val="18"/>
              </w:rPr>
              <w:t>具有</w:t>
            </w:r>
            <w:r>
              <w:rPr>
                <w:rFonts w:ascii="Times New Roman" w:eastAsia="宋体" w:cs="宋体" w:hint="eastAsia"/>
                <w:color w:val="000000"/>
                <w:sz w:val="18"/>
                <w:szCs w:val="18"/>
              </w:rPr>
              <w:t>EGFR</w:t>
            </w:r>
            <w:r>
              <w:rPr>
                <w:rFonts w:ascii="Times New Roman" w:eastAsia="宋体" w:cs="宋体" w:hint="eastAsia"/>
                <w:color w:val="000000"/>
                <w:sz w:val="18"/>
                <w:szCs w:val="18"/>
              </w:rPr>
              <w:t>基因敏感突变的局部晚期或转移性非小细胞肺癌，</w:t>
            </w:r>
            <w:proofErr w:type="gramStart"/>
            <w:r>
              <w:rPr>
                <w:rFonts w:ascii="Times New Roman" w:eastAsia="宋体" w:cs="宋体" w:hint="eastAsia"/>
                <w:color w:val="000000"/>
                <w:sz w:val="18"/>
                <w:szCs w:val="18"/>
              </w:rPr>
              <w:t>既往未</w:t>
            </w:r>
            <w:proofErr w:type="gramEnd"/>
            <w:r>
              <w:rPr>
                <w:rFonts w:ascii="Times New Roman" w:eastAsia="宋体" w:cs="宋体" w:hint="eastAsia"/>
                <w:color w:val="000000"/>
                <w:sz w:val="18"/>
                <w:szCs w:val="18"/>
              </w:rPr>
              <w:t>接受过</w:t>
            </w:r>
            <w:r>
              <w:rPr>
                <w:rFonts w:ascii="Times New Roman" w:eastAsia="宋体" w:cs="宋体" w:hint="eastAsia"/>
                <w:color w:val="000000"/>
                <w:sz w:val="18"/>
                <w:szCs w:val="18"/>
              </w:rPr>
              <w:t>EGFR-TKI</w:t>
            </w:r>
            <w:r>
              <w:rPr>
                <w:rFonts w:ascii="Times New Roman" w:eastAsia="宋体" w:cs="宋体" w:hint="eastAsia"/>
                <w:color w:val="000000"/>
                <w:sz w:val="18"/>
                <w:szCs w:val="18"/>
              </w:rPr>
              <w:t>治疗；</w:t>
            </w:r>
            <w:r>
              <w:rPr>
                <w:rFonts w:ascii="Times New Roman" w:eastAsia="宋体" w:cs="宋体" w:hint="eastAsia"/>
                <w:color w:val="000000"/>
                <w:sz w:val="18"/>
                <w:szCs w:val="18"/>
              </w:rPr>
              <w:t xml:space="preserve">2. </w:t>
            </w:r>
            <w:r>
              <w:rPr>
                <w:rFonts w:ascii="Times New Roman" w:eastAsia="宋体" w:cs="宋体" w:hint="eastAsia"/>
                <w:color w:val="000000"/>
                <w:sz w:val="18"/>
                <w:szCs w:val="18"/>
              </w:rPr>
              <w:t>含铂化疗期间或化疗后疾病进展的局部晚期或转移性鳞状组织学类型的非小细胞肺癌。</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67"/>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int="eastAsia"/>
                <w:bCs/>
                <w:color w:val="000000"/>
                <w:sz w:val="21"/>
                <w:szCs w:val="21"/>
              </w:rPr>
              <w:t>6</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sz w:val="21"/>
                <w:szCs w:val="21"/>
              </w:rPr>
              <w:t>舒尼替尼</w:t>
            </w:r>
            <w:proofErr w:type="gramEnd"/>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口服常释剂型</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color w:val="000000"/>
                <w:sz w:val="18"/>
                <w:szCs w:val="18"/>
              </w:rPr>
            </w:pPr>
            <w:r>
              <w:rPr>
                <w:rFonts w:ascii="Times New Roman" w:eastAsia="宋体" w:cs="宋体" w:hint="eastAsia"/>
                <w:color w:val="000000"/>
                <w:sz w:val="18"/>
                <w:szCs w:val="18"/>
              </w:rPr>
              <w:t>限</w:t>
            </w:r>
            <w:r>
              <w:rPr>
                <w:rFonts w:ascii="Times New Roman" w:eastAsia="宋体" w:cs="宋体" w:hint="eastAsia"/>
                <w:color w:val="000000"/>
                <w:sz w:val="18"/>
                <w:szCs w:val="18"/>
              </w:rPr>
              <w:t xml:space="preserve">1. </w:t>
            </w:r>
            <w:r>
              <w:rPr>
                <w:rFonts w:ascii="Times New Roman" w:eastAsia="宋体" w:cs="宋体" w:hint="eastAsia"/>
                <w:color w:val="000000"/>
                <w:sz w:val="18"/>
                <w:szCs w:val="18"/>
              </w:rPr>
              <w:t>不能手术的晚期肾细胞癌（</w:t>
            </w:r>
            <w:r>
              <w:rPr>
                <w:rFonts w:ascii="Times New Roman" w:eastAsia="宋体" w:cs="宋体" w:hint="eastAsia"/>
                <w:color w:val="000000"/>
                <w:sz w:val="18"/>
                <w:szCs w:val="18"/>
              </w:rPr>
              <w:t>RCC)</w:t>
            </w:r>
            <w:r>
              <w:rPr>
                <w:rFonts w:ascii="Times New Roman" w:eastAsia="宋体" w:cs="宋体" w:hint="eastAsia"/>
                <w:color w:val="000000"/>
                <w:sz w:val="18"/>
                <w:szCs w:val="18"/>
              </w:rPr>
              <w:t>；</w:t>
            </w:r>
            <w:r>
              <w:rPr>
                <w:rFonts w:ascii="Times New Roman" w:eastAsia="宋体" w:cs="宋体" w:hint="eastAsia"/>
                <w:color w:val="000000"/>
                <w:sz w:val="18"/>
                <w:szCs w:val="18"/>
              </w:rPr>
              <w:t xml:space="preserve">2. </w:t>
            </w:r>
            <w:r>
              <w:rPr>
                <w:rFonts w:ascii="Times New Roman" w:eastAsia="宋体" w:cs="宋体" w:hint="eastAsia"/>
                <w:color w:val="000000"/>
                <w:sz w:val="18"/>
                <w:szCs w:val="18"/>
              </w:rPr>
              <w:t>甲磺酸伊</w:t>
            </w:r>
            <w:proofErr w:type="gramStart"/>
            <w:r>
              <w:rPr>
                <w:rFonts w:ascii="Times New Roman" w:eastAsia="宋体" w:cs="宋体" w:hint="eastAsia"/>
                <w:color w:val="000000"/>
                <w:sz w:val="18"/>
                <w:szCs w:val="18"/>
              </w:rPr>
              <w:t>马替尼治疗</w:t>
            </w:r>
            <w:proofErr w:type="gramEnd"/>
            <w:r>
              <w:rPr>
                <w:rFonts w:ascii="Times New Roman" w:eastAsia="宋体" w:cs="宋体" w:hint="eastAsia"/>
                <w:color w:val="000000"/>
                <w:sz w:val="18"/>
                <w:szCs w:val="18"/>
              </w:rPr>
              <w:t>失败或不能耐受的胃肠间质瘤（</w:t>
            </w:r>
            <w:r>
              <w:rPr>
                <w:rFonts w:ascii="Times New Roman" w:eastAsia="宋体" w:cs="宋体" w:hint="eastAsia"/>
                <w:color w:val="000000"/>
                <w:sz w:val="18"/>
                <w:szCs w:val="18"/>
              </w:rPr>
              <w:t>GIST)</w:t>
            </w:r>
            <w:r>
              <w:rPr>
                <w:rFonts w:ascii="Times New Roman" w:eastAsia="宋体" w:cs="宋体" w:hint="eastAsia"/>
                <w:color w:val="000000"/>
                <w:sz w:val="18"/>
                <w:szCs w:val="18"/>
              </w:rPr>
              <w:t>；</w:t>
            </w:r>
            <w:r>
              <w:rPr>
                <w:rFonts w:ascii="Times New Roman" w:eastAsia="宋体" w:cs="宋体" w:hint="eastAsia"/>
                <w:color w:val="000000"/>
                <w:sz w:val="18"/>
                <w:szCs w:val="18"/>
              </w:rPr>
              <w:t xml:space="preserve">3. </w:t>
            </w:r>
            <w:r>
              <w:rPr>
                <w:rFonts w:ascii="Times New Roman" w:eastAsia="宋体" w:cs="宋体" w:hint="eastAsia"/>
                <w:color w:val="000000"/>
                <w:sz w:val="18"/>
                <w:szCs w:val="18"/>
              </w:rPr>
              <w:t>不可切除的，转移性高分化进展期胰腺神经内分泌瘤（</w:t>
            </w:r>
            <w:proofErr w:type="spellStart"/>
            <w:r>
              <w:rPr>
                <w:rFonts w:ascii="Times New Roman" w:eastAsia="宋体" w:cs="宋体" w:hint="eastAsia"/>
                <w:color w:val="000000"/>
                <w:sz w:val="18"/>
                <w:szCs w:val="18"/>
              </w:rPr>
              <w:t>pNET</w:t>
            </w:r>
            <w:proofErr w:type="spellEnd"/>
            <w:r>
              <w:rPr>
                <w:rFonts w:ascii="Times New Roman" w:eastAsia="宋体" w:cs="宋体" w:hint="eastAsia"/>
                <w:color w:val="000000"/>
                <w:sz w:val="18"/>
                <w:szCs w:val="18"/>
              </w:rPr>
              <w:t>）成人患者。</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67"/>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int="eastAsia"/>
                <w:bCs/>
                <w:color w:val="000000"/>
                <w:sz w:val="21"/>
                <w:szCs w:val="21"/>
              </w:rPr>
              <w:t>7</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阿</w:t>
            </w:r>
            <w:proofErr w:type="gramStart"/>
            <w:r>
              <w:rPr>
                <w:rFonts w:ascii="宋体" w:eastAsia="宋体" w:hAnsi="宋体" w:cs="宋体" w:hint="eastAsia"/>
                <w:color w:val="000000"/>
                <w:sz w:val="21"/>
                <w:szCs w:val="21"/>
              </w:rPr>
              <w:t>比特龙</w:t>
            </w:r>
            <w:proofErr w:type="gramEnd"/>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口服常释剂型</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color w:val="000000"/>
                <w:sz w:val="18"/>
                <w:szCs w:val="18"/>
              </w:rPr>
            </w:pPr>
            <w:r>
              <w:rPr>
                <w:rFonts w:ascii="Times New Roman" w:eastAsia="宋体" w:cs="宋体" w:hint="eastAsia"/>
                <w:color w:val="000000"/>
                <w:sz w:val="18"/>
                <w:szCs w:val="18"/>
              </w:rPr>
              <w:t>限转移性去势抵抗性前列腺癌、新诊断的高危转移性内分泌治疗敏感性前列腺癌。</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67"/>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int="eastAsia"/>
                <w:bCs/>
                <w:color w:val="000000"/>
                <w:sz w:val="21"/>
                <w:szCs w:val="21"/>
              </w:rPr>
              <w:t>8</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来</w:t>
            </w:r>
            <w:proofErr w:type="gramStart"/>
            <w:r>
              <w:rPr>
                <w:rFonts w:ascii="宋体" w:eastAsia="宋体" w:hAnsi="宋体" w:cs="宋体" w:hint="eastAsia"/>
                <w:color w:val="000000"/>
                <w:sz w:val="21"/>
                <w:szCs w:val="21"/>
              </w:rPr>
              <w:t>那度胺</w:t>
            </w:r>
            <w:proofErr w:type="gramEnd"/>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口服常释剂型</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color w:val="000000"/>
                <w:sz w:val="18"/>
                <w:szCs w:val="18"/>
              </w:rPr>
            </w:pPr>
            <w:proofErr w:type="gramStart"/>
            <w:r>
              <w:rPr>
                <w:rFonts w:ascii="Times New Roman" w:eastAsia="宋体" w:cs="宋体" w:hint="eastAsia"/>
                <w:color w:val="000000"/>
                <w:sz w:val="18"/>
                <w:szCs w:val="18"/>
              </w:rPr>
              <w:t>限曾接受</w:t>
            </w:r>
            <w:proofErr w:type="gramEnd"/>
            <w:r>
              <w:rPr>
                <w:rFonts w:ascii="Times New Roman" w:eastAsia="宋体" w:cs="宋体" w:hint="eastAsia"/>
                <w:color w:val="000000"/>
                <w:sz w:val="18"/>
                <w:szCs w:val="18"/>
              </w:rPr>
              <w:t>过至少一种疗法的多发性骨髓瘤的成年患者，并满足以下条件：</w:t>
            </w:r>
            <w:r>
              <w:rPr>
                <w:rFonts w:ascii="Times New Roman" w:eastAsia="宋体" w:cs="宋体" w:hint="eastAsia"/>
                <w:color w:val="000000"/>
                <w:sz w:val="18"/>
                <w:szCs w:val="18"/>
              </w:rPr>
              <w:t>1 .</w:t>
            </w:r>
            <w:r>
              <w:rPr>
                <w:rFonts w:ascii="Times New Roman" w:eastAsia="宋体" w:cs="宋体" w:hint="eastAsia"/>
                <w:color w:val="000000"/>
                <w:sz w:val="18"/>
                <w:szCs w:val="18"/>
              </w:rPr>
              <w:t>每</w:t>
            </w:r>
            <w:r>
              <w:rPr>
                <w:rFonts w:ascii="Times New Roman" w:eastAsia="宋体" w:cs="宋体" w:hint="eastAsia"/>
                <w:color w:val="000000"/>
                <w:sz w:val="18"/>
                <w:szCs w:val="18"/>
              </w:rPr>
              <w:t>2</w:t>
            </w:r>
            <w:r>
              <w:rPr>
                <w:rFonts w:ascii="Times New Roman" w:eastAsia="宋体" w:cs="宋体" w:hint="eastAsia"/>
                <w:color w:val="000000"/>
                <w:sz w:val="18"/>
                <w:szCs w:val="18"/>
              </w:rPr>
              <w:t>个疗程需提供治疗有效的证据后方可继续支付；</w:t>
            </w:r>
            <w:r>
              <w:rPr>
                <w:rFonts w:ascii="Times New Roman" w:eastAsia="宋体" w:cs="宋体" w:hint="eastAsia"/>
                <w:color w:val="000000"/>
                <w:sz w:val="18"/>
                <w:szCs w:val="18"/>
              </w:rPr>
              <w:t xml:space="preserve">2. </w:t>
            </w:r>
            <w:r>
              <w:rPr>
                <w:rFonts w:ascii="Times New Roman" w:eastAsia="宋体" w:cs="宋体" w:hint="eastAsia"/>
                <w:color w:val="000000"/>
                <w:sz w:val="18"/>
                <w:szCs w:val="18"/>
              </w:rPr>
              <w:t>由三级医院血液专科或血液专科医院医师处方。</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567"/>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color w:val="000000"/>
                <w:sz w:val="21"/>
                <w:szCs w:val="21"/>
              </w:rPr>
            </w:pPr>
            <w:r>
              <w:rPr>
                <w:rFonts w:ascii="Times New Roman" w:eastAsia="宋体" w:hint="eastAsia"/>
                <w:bCs/>
                <w:color w:val="000000"/>
                <w:sz w:val="21"/>
                <w:szCs w:val="21"/>
              </w:rPr>
              <w:t>9</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阿扎胞苷</w:t>
            </w:r>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color w:val="000000"/>
                <w:sz w:val="18"/>
                <w:szCs w:val="18"/>
              </w:rPr>
            </w:pPr>
            <w:r>
              <w:rPr>
                <w:rFonts w:ascii="Times New Roman" w:eastAsia="宋体" w:cs="宋体" w:hint="eastAsia"/>
                <w:color w:val="000000"/>
                <w:sz w:val="18"/>
                <w:szCs w:val="18"/>
              </w:rPr>
              <w:t>限成年患者中</w:t>
            </w:r>
            <w:r>
              <w:rPr>
                <w:rFonts w:ascii="Times New Roman" w:eastAsia="宋体" w:cs="宋体" w:hint="eastAsia"/>
                <w:color w:val="000000"/>
                <w:sz w:val="18"/>
                <w:szCs w:val="18"/>
              </w:rPr>
              <w:t xml:space="preserve">1. </w:t>
            </w:r>
            <w:r>
              <w:rPr>
                <w:rFonts w:ascii="Times New Roman" w:eastAsia="宋体" w:cs="宋体" w:hint="eastAsia"/>
                <w:color w:val="000000"/>
                <w:sz w:val="18"/>
                <w:szCs w:val="18"/>
              </w:rPr>
              <w:t>国际预后评分系统（</w:t>
            </w:r>
            <w:r>
              <w:rPr>
                <w:rFonts w:ascii="Times New Roman" w:eastAsia="宋体" w:cs="宋体" w:hint="eastAsia"/>
                <w:color w:val="000000"/>
                <w:sz w:val="18"/>
                <w:szCs w:val="18"/>
              </w:rPr>
              <w:t>IPSS</w:t>
            </w:r>
            <w:r>
              <w:rPr>
                <w:rFonts w:ascii="Times New Roman" w:eastAsia="宋体" w:cs="宋体" w:hint="eastAsia"/>
                <w:color w:val="000000"/>
                <w:sz w:val="18"/>
                <w:szCs w:val="18"/>
              </w:rPr>
              <w:t>）中的中危</w:t>
            </w:r>
            <w:r>
              <w:rPr>
                <w:rFonts w:ascii="Times New Roman" w:eastAsia="宋体" w:cs="宋体" w:hint="eastAsia"/>
                <w:color w:val="000000"/>
                <w:sz w:val="18"/>
                <w:szCs w:val="18"/>
              </w:rPr>
              <w:t>-2</w:t>
            </w:r>
            <w:r>
              <w:rPr>
                <w:rFonts w:ascii="Times New Roman" w:eastAsia="宋体" w:cs="宋体" w:hint="eastAsia"/>
                <w:color w:val="000000"/>
                <w:sz w:val="18"/>
                <w:szCs w:val="18"/>
              </w:rPr>
              <w:t>及高危骨髓增生异常综合征（</w:t>
            </w:r>
            <w:r>
              <w:rPr>
                <w:rFonts w:ascii="Times New Roman" w:eastAsia="宋体" w:cs="宋体" w:hint="eastAsia"/>
                <w:color w:val="000000"/>
                <w:sz w:val="18"/>
                <w:szCs w:val="18"/>
              </w:rPr>
              <w:t>MDS</w:t>
            </w:r>
            <w:r>
              <w:rPr>
                <w:rFonts w:ascii="Times New Roman" w:eastAsia="宋体" w:cs="宋体" w:hint="eastAsia"/>
                <w:color w:val="000000"/>
                <w:sz w:val="18"/>
                <w:szCs w:val="18"/>
              </w:rPr>
              <w:t>）；</w:t>
            </w:r>
            <w:r>
              <w:rPr>
                <w:rFonts w:ascii="Times New Roman" w:eastAsia="宋体" w:cs="宋体" w:hint="eastAsia"/>
                <w:color w:val="000000"/>
                <w:sz w:val="18"/>
                <w:szCs w:val="18"/>
              </w:rPr>
              <w:t xml:space="preserve">2. </w:t>
            </w:r>
            <w:r>
              <w:rPr>
                <w:rFonts w:ascii="Times New Roman" w:eastAsia="宋体" w:cs="宋体" w:hint="eastAsia"/>
                <w:color w:val="000000"/>
                <w:sz w:val="18"/>
                <w:szCs w:val="18"/>
              </w:rPr>
              <w:t>慢性粒</w:t>
            </w:r>
            <w:r>
              <w:rPr>
                <w:rFonts w:ascii="Times New Roman" w:eastAsia="宋体" w:cs="宋体" w:hint="eastAsia"/>
                <w:color w:val="000000"/>
                <w:sz w:val="18"/>
                <w:szCs w:val="18"/>
              </w:rPr>
              <w:t>-</w:t>
            </w:r>
            <w:r>
              <w:rPr>
                <w:rFonts w:ascii="Times New Roman" w:eastAsia="宋体" w:cs="宋体" w:hint="eastAsia"/>
                <w:color w:val="000000"/>
                <w:sz w:val="18"/>
                <w:szCs w:val="18"/>
              </w:rPr>
              <w:t>单核细胞白血病（</w:t>
            </w:r>
            <w:r>
              <w:rPr>
                <w:rFonts w:ascii="Times New Roman" w:eastAsia="宋体" w:cs="宋体" w:hint="eastAsia"/>
                <w:color w:val="000000"/>
                <w:sz w:val="18"/>
                <w:szCs w:val="18"/>
              </w:rPr>
              <w:t>CMML</w:t>
            </w:r>
            <w:r>
              <w:rPr>
                <w:rFonts w:ascii="Times New Roman" w:eastAsia="宋体" w:cs="宋体" w:hint="eastAsia"/>
                <w:color w:val="000000"/>
                <w:sz w:val="18"/>
                <w:szCs w:val="18"/>
              </w:rPr>
              <w:t>）；</w:t>
            </w:r>
            <w:r>
              <w:rPr>
                <w:rFonts w:ascii="Times New Roman" w:eastAsia="宋体" w:cs="宋体" w:hint="eastAsia"/>
                <w:color w:val="000000"/>
                <w:sz w:val="18"/>
                <w:szCs w:val="18"/>
              </w:rPr>
              <w:t xml:space="preserve">3. </w:t>
            </w:r>
            <w:r>
              <w:rPr>
                <w:rFonts w:ascii="Times New Roman" w:eastAsia="宋体" w:cs="宋体" w:hint="eastAsia"/>
                <w:color w:val="000000"/>
                <w:sz w:val="18"/>
                <w:szCs w:val="18"/>
              </w:rPr>
              <w:t>按照世界卫生组织（</w:t>
            </w:r>
            <w:r>
              <w:rPr>
                <w:rFonts w:ascii="Times New Roman" w:eastAsia="宋体" w:cs="宋体" w:hint="eastAsia"/>
                <w:color w:val="000000"/>
                <w:sz w:val="18"/>
                <w:szCs w:val="18"/>
              </w:rPr>
              <w:t>WHO</w:t>
            </w:r>
            <w:r>
              <w:rPr>
                <w:rFonts w:ascii="Times New Roman" w:eastAsia="宋体" w:cs="宋体" w:hint="eastAsia"/>
                <w:color w:val="000000"/>
                <w:sz w:val="18"/>
                <w:szCs w:val="18"/>
              </w:rPr>
              <w:t>）分类的</w:t>
            </w:r>
            <w:proofErr w:type="gramStart"/>
            <w:r>
              <w:rPr>
                <w:rFonts w:ascii="Times New Roman" w:eastAsia="宋体" w:cs="宋体" w:hint="eastAsia"/>
                <w:color w:val="000000"/>
                <w:sz w:val="18"/>
                <w:szCs w:val="18"/>
              </w:rPr>
              <w:t>急性髓系白血病</w:t>
            </w:r>
            <w:proofErr w:type="gramEnd"/>
            <w:r>
              <w:rPr>
                <w:rFonts w:ascii="Times New Roman" w:eastAsia="宋体" w:cs="宋体" w:hint="eastAsia"/>
                <w:color w:val="000000"/>
                <w:sz w:val="18"/>
                <w:szCs w:val="18"/>
              </w:rPr>
              <w:t>（</w:t>
            </w:r>
            <w:r>
              <w:rPr>
                <w:rFonts w:ascii="Times New Roman" w:eastAsia="宋体" w:cs="宋体" w:hint="eastAsia"/>
                <w:color w:val="000000"/>
                <w:sz w:val="18"/>
                <w:szCs w:val="18"/>
              </w:rPr>
              <w:t>AML</w:t>
            </w:r>
            <w:r>
              <w:rPr>
                <w:rFonts w:ascii="Times New Roman" w:eastAsia="宋体" w:cs="宋体" w:hint="eastAsia"/>
                <w:color w:val="000000"/>
                <w:sz w:val="18"/>
                <w:szCs w:val="18"/>
              </w:rPr>
              <w:t>）、骨髓原始细胞为</w:t>
            </w:r>
            <w:r>
              <w:rPr>
                <w:rFonts w:ascii="Times New Roman" w:eastAsia="宋体" w:cs="宋体" w:hint="eastAsia"/>
                <w:color w:val="000000"/>
                <w:sz w:val="18"/>
                <w:szCs w:val="18"/>
              </w:rPr>
              <w:t>20-30%</w:t>
            </w:r>
            <w:r>
              <w:rPr>
                <w:rFonts w:ascii="Times New Roman" w:eastAsia="宋体" w:cs="宋体" w:hint="eastAsia"/>
                <w:color w:val="000000"/>
                <w:sz w:val="18"/>
                <w:szCs w:val="18"/>
              </w:rPr>
              <w:t>伴多系发育异常的治疗。</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1101"/>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sz w:val="21"/>
                <w:szCs w:val="21"/>
              </w:rPr>
            </w:pPr>
            <w:r>
              <w:rPr>
                <w:rFonts w:ascii="Times New Roman" w:eastAsia="宋体"/>
                <w:bCs/>
                <w:color w:val="000000"/>
                <w:sz w:val="21"/>
                <w:szCs w:val="21"/>
              </w:rPr>
              <w:t>1</w:t>
            </w:r>
            <w:r>
              <w:rPr>
                <w:rFonts w:ascii="Times New Roman" w:eastAsia="宋体" w:hint="eastAsia"/>
                <w:bCs/>
                <w:color w:val="000000"/>
                <w:sz w:val="21"/>
                <w:szCs w:val="21"/>
              </w:rPr>
              <w:t>0</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80" w:lineRule="exact"/>
              <w:ind w:left="-113" w:right="-113"/>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sz w:val="21"/>
                <w:szCs w:val="21"/>
              </w:rPr>
              <w:t>利妥昔单</w:t>
            </w:r>
            <w:proofErr w:type="gramEnd"/>
            <w:r>
              <w:rPr>
                <w:rFonts w:ascii="宋体" w:eastAsia="宋体" w:hAnsi="宋体" w:cs="宋体" w:hint="eastAsia"/>
                <w:color w:val="000000"/>
                <w:sz w:val="21"/>
                <w:szCs w:val="21"/>
              </w:rPr>
              <w:t>抗</w:t>
            </w:r>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sz w:val="18"/>
                <w:szCs w:val="18"/>
              </w:rPr>
            </w:pPr>
            <w:r>
              <w:rPr>
                <w:rFonts w:ascii="Times New Roman" w:eastAsia="宋体" w:cs="宋体" w:hint="eastAsia"/>
                <w:color w:val="000000"/>
                <w:sz w:val="18"/>
                <w:szCs w:val="18"/>
              </w:rPr>
              <w:t>限复发或耐药的滤泡性中央型淋巴瘤</w:t>
            </w:r>
            <w:r>
              <w:rPr>
                <w:rFonts w:ascii="Times New Roman" w:eastAsia="宋体" w:cs="宋体" w:hint="eastAsia"/>
                <w:color w:val="000000"/>
                <w:sz w:val="18"/>
                <w:szCs w:val="18"/>
              </w:rPr>
              <w:t>(</w:t>
            </w:r>
            <w:r>
              <w:rPr>
                <w:rFonts w:ascii="Times New Roman" w:eastAsia="宋体" w:cs="宋体" w:hint="eastAsia"/>
                <w:color w:val="000000"/>
                <w:sz w:val="18"/>
                <w:szCs w:val="18"/>
              </w:rPr>
              <w:t>国际工作分类</w:t>
            </w:r>
            <w:r>
              <w:rPr>
                <w:rFonts w:ascii="Times New Roman" w:eastAsia="宋体" w:cs="宋体" w:hint="eastAsia"/>
                <w:color w:val="000000"/>
                <w:sz w:val="18"/>
                <w:szCs w:val="18"/>
              </w:rPr>
              <w:t>B</w:t>
            </w:r>
            <w:r>
              <w:rPr>
                <w:rFonts w:ascii="Times New Roman" w:eastAsia="宋体" w:cs="宋体" w:hint="eastAsia"/>
                <w:color w:val="000000"/>
                <w:sz w:val="18"/>
                <w:szCs w:val="18"/>
              </w:rPr>
              <w:t>、</w:t>
            </w:r>
            <w:r>
              <w:rPr>
                <w:rFonts w:ascii="Times New Roman" w:eastAsia="宋体" w:cs="宋体" w:hint="eastAsia"/>
                <w:color w:val="000000"/>
                <w:sz w:val="18"/>
                <w:szCs w:val="18"/>
              </w:rPr>
              <w:t>C</w:t>
            </w:r>
            <w:r>
              <w:rPr>
                <w:rFonts w:ascii="Times New Roman" w:eastAsia="宋体" w:cs="宋体" w:hint="eastAsia"/>
                <w:color w:val="000000"/>
                <w:sz w:val="18"/>
                <w:szCs w:val="18"/>
              </w:rPr>
              <w:t>和</w:t>
            </w:r>
            <w:r>
              <w:rPr>
                <w:rFonts w:ascii="Times New Roman" w:eastAsia="宋体" w:cs="宋体" w:hint="eastAsia"/>
                <w:color w:val="000000"/>
                <w:sz w:val="18"/>
                <w:szCs w:val="18"/>
              </w:rPr>
              <w:t>D</w:t>
            </w:r>
            <w:r>
              <w:rPr>
                <w:rFonts w:ascii="Times New Roman" w:eastAsia="宋体" w:cs="宋体" w:hint="eastAsia"/>
                <w:color w:val="000000"/>
                <w:sz w:val="18"/>
                <w:szCs w:val="18"/>
              </w:rPr>
              <w:t>亚型的</w:t>
            </w:r>
            <w:r>
              <w:rPr>
                <w:rFonts w:ascii="Times New Roman" w:eastAsia="宋体" w:cs="宋体" w:hint="eastAsia"/>
                <w:color w:val="000000"/>
                <w:sz w:val="18"/>
                <w:szCs w:val="18"/>
              </w:rPr>
              <w:t>B</w:t>
            </w:r>
            <w:r>
              <w:rPr>
                <w:rFonts w:ascii="Times New Roman" w:eastAsia="宋体" w:cs="宋体" w:hint="eastAsia"/>
                <w:color w:val="000000"/>
                <w:sz w:val="18"/>
                <w:szCs w:val="18"/>
              </w:rPr>
              <w:t>细胞非霍奇金淋巴瘤</w:t>
            </w:r>
            <w:r>
              <w:rPr>
                <w:rFonts w:ascii="Times New Roman" w:eastAsia="宋体" w:cs="宋体" w:hint="eastAsia"/>
                <w:color w:val="000000"/>
                <w:sz w:val="18"/>
                <w:szCs w:val="18"/>
              </w:rPr>
              <w:t>)</w:t>
            </w:r>
            <w:r>
              <w:rPr>
                <w:rFonts w:ascii="Times New Roman" w:eastAsia="宋体" w:cs="宋体" w:hint="eastAsia"/>
                <w:color w:val="000000"/>
                <w:sz w:val="18"/>
                <w:szCs w:val="18"/>
              </w:rPr>
              <w:t>，</w:t>
            </w:r>
            <w:r>
              <w:rPr>
                <w:rFonts w:ascii="Times New Roman" w:eastAsia="宋体" w:cs="宋体" w:hint="eastAsia"/>
                <w:color w:val="000000"/>
                <w:sz w:val="18"/>
                <w:szCs w:val="18"/>
              </w:rPr>
              <w:t>CD20</w:t>
            </w:r>
            <w:r>
              <w:rPr>
                <w:rFonts w:ascii="Times New Roman" w:eastAsia="宋体" w:cs="宋体" w:hint="eastAsia"/>
                <w:color w:val="000000"/>
                <w:sz w:val="18"/>
                <w:szCs w:val="18"/>
              </w:rPr>
              <w:t>阳性Ⅲ</w:t>
            </w:r>
            <w:r>
              <w:rPr>
                <w:rFonts w:ascii="Times New Roman" w:eastAsia="宋体" w:cs="宋体" w:hint="eastAsia"/>
                <w:color w:val="000000"/>
                <w:sz w:val="18"/>
                <w:szCs w:val="18"/>
              </w:rPr>
              <w:t>-</w:t>
            </w:r>
            <w:r>
              <w:rPr>
                <w:rFonts w:ascii="Times New Roman" w:eastAsia="宋体" w:cs="宋体" w:hint="eastAsia"/>
                <w:color w:val="000000"/>
                <w:sz w:val="18"/>
                <w:szCs w:val="18"/>
              </w:rPr>
              <w:t>Ⅳ期滤泡性非霍奇金淋巴瘤，</w:t>
            </w:r>
            <w:r>
              <w:rPr>
                <w:rFonts w:ascii="Times New Roman" w:eastAsia="宋体" w:cs="宋体" w:hint="eastAsia"/>
                <w:color w:val="000000"/>
                <w:sz w:val="18"/>
                <w:szCs w:val="18"/>
              </w:rPr>
              <w:t>CD20</w:t>
            </w:r>
            <w:r>
              <w:rPr>
                <w:rFonts w:ascii="Times New Roman" w:eastAsia="宋体" w:cs="宋体" w:hint="eastAsia"/>
                <w:color w:val="000000"/>
                <w:sz w:val="18"/>
                <w:szCs w:val="18"/>
              </w:rPr>
              <w:t>阳性弥漫大</w:t>
            </w:r>
            <w:r>
              <w:rPr>
                <w:rFonts w:ascii="Times New Roman" w:eastAsia="宋体" w:cs="宋体" w:hint="eastAsia"/>
                <w:color w:val="000000"/>
                <w:sz w:val="18"/>
                <w:szCs w:val="18"/>
              </w:rPr>
              <w:t>B</w:t>
            </w:r>
            <w:r>
              <w:rPr>
                <w:rFonts w:ascii="Times New Roman" w:eastAsia="宋体" w:cs="宋体" w:hint="eastAsia"/>
                <w:color w:val="000000"/>
                <w:sz w:val="18"/>
                <w:szCs w:val="18"/>
              </w:rPr>
              <w:t>细胞性非霍奇金淋巴瘤；支付不超过</w:t>
            </w:r>
            <w:r>
              <w:rPr>
                <w:rFonts w:ascii="Times New Roman" w:eastAsia="宋体" w:cs="宋体" w:hint="eastAsia"/>
                <w:color w:val="000000"/>
                <w:sz w:val="18"/>
                <w:szCs w:val="18"/>
              </w:rPr>
              <w:t>8</w:t>
            </w:r>
            <w:r>
              <w:rPr>
                <w:rFonts w:ascii="Times New Roman" w:eastAsia="宋体" w:cs="宋体" w:hint="eastAsia"/>
                <w:color w:val="000000"/>
                <w:sz w:val="18"/>
                <w:szCs w:val="18"/>
              </w:rPr>
              <w:t>个疗程。</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r w:rsidR="002D3004">
        <w:trPr>
          <w:trHeight w:val="891"/>
          <w:jc w:val="center"/>
        </w:trPr>
        <w:tc>
          <w:tcPr>
            <w:tcW w:w="262" w:type="pct"/>
            <w:shd w:val="clear" w:color="auto" w:fill="auto"/>
            <w:noWrap/>
            <w:vAlign w:val="center"/>
          </w:tcPr>
          <w:p w:rsidR="002D3004" w:rsidRDefault="0093795E">
            <w:pPr>
              <w:widowControl/>
              <w:spacing w:line="300" w:lineRule="exact"/>
              <w:jc w:val="center"/>
              <w:textAlignment w:val="center"/>
              <w:rPr>
                <w:rFonts w:ascii="Times New Roman" w:eastAsia="宋体"/>
                <w:bCs/>
                <w:sz w:val="21"/>
                <w:szCs w:val="21"/>
              </w:rPr>
            </w:pPr>
            <w:r>
              <w:rPr>
                <w:rFonts w:ascii="Times New Roman" w:eastAsia="宋体" w:hint="eastAsia"/>
                <w:bCs/>
                <w:color w:val="000000"/>
                <w:sz w:val="21"/>
                <w:szCs w:val="21"/>
              </w:rPr>
              <w:t>11</w:t>
            </w:r>
          </w:p>
        </w:tc>
        <w:tc>
          <w:tcPr>
            <w:tcW w:w="364" w:type="pct"/>
            <w:shd w:val="clear" w:color="auto" w:fill="auto"/>
            <w:noWrap/>
            <w:vAlign w:val="center"/>
          </w:tcPr>
          <w:p w:rsidR="002D3004" w:rsidRDefault="0093795E">
            <w:pPr>
              <w:widowControl/>
              <w:spacing w:line="300" w:lineRule="exact"/>
              <w:jc w:val="center"/>
              <w:textAlignment w:val="center"/>
              <w:rPr>
                <w:rFonts w:ascii="宋体" w:eastAsia="宋体" w:hAnsi="宋体" w:cs="宋体"/>
                <w:sz w:val="21"/>
                <w:szCs w:val="21"/>
              </w:rPr>
            </w:pPr>
            <w:r>
              <w:rPr>
                <w:rFonts w:ascii="宋体" w:eastAsia="宋体" w:hAnsi="宋体" w:cs="宋体" w:hint="eastAsia"/>
                <w:color w:val="000000"/>
                <w:sz w:val="21"/>
                <w:szCs w:val="21"/>
              </w:rPr>
              <w:t>乙类</w:t>
            </w:r>
          </w:p>
        </w:tc>
        <w:tc>
          <w:tcPr>
            <w:tcW w:w="590"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proofErr w:type="gramStart"/>
            <w:r>
              <w:rPr>
                <w:rFonts w:ascii="宋体" w:eastAsia="宋体" w:hAnsi="宋体" w:cs="宋体" w:hint="eastAsia"/>
                <w:color w:val="000000"/>
                <w:sz w:val="21"/>
                <w:szCs w:val="21"/>
              </w:rPr>
              <w:t>硼替佐米</w:t>
            </w:r>
            <w:proofErr w:type="gramEnd"/>
          </w:p>
        </w:tc>
        <w:tc>
          <w:tcPr>
            <w:tcW w:w="502" w:type="pct"/>
            <w:shd w:val="clear" w:color="auto" w:fill="auto"/>
            <w:noWrap/>
            <w:vAlign w:val="center"/>
          </w:tcPr>
          <w:p w:rsidR="002D3004" w:rsidRDefault="0093795E">
            <w:pPr>
              <w:widowControl/>
              <w:spacing w:line="240" w:lineRule="exact"/>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注射剂</w:t>
            </w:r>
          </w:p>
        </w:tc>
        <w:tc>
          <w:tcPr>
            <w:tcW w:w="2880" w:type="pct"/>
            <w:shd w:val="clear" w:color="auto" w:fill="auto"/>
            <w:noWrap/>
            <w:vAlign w:val="center"/>
          </w:tcPr>
          <w:p w:rsidR="002D3004" w:rsidRDefault="0093795E">
            <w:pPr>
              <w:widowControl/>
              <w:spacing w:line="240" w:lineRule="exact"/>
              <w:textAlignment w:val="center"/>
              <w:rPr>
                <w:rFonts w:ascii="Times New Roman" w:eastAsia="宋体" w:cs="宋体"/>
                <w:sz w:val="18"/>
                <w:szCs w:val="18"/>
              </w:rPr>
            </w:pPr>
            <w:r>
              <w:rPr>
                <w:rFonts w:ascii="Times New Roman" w:eastAsia="宋体" w:cs="宋体" w:hint="eastAsia"/>
                <w:color w:val="000000"/>
                <w:sz w:val="18"/>
                <w:szCs w:val="18"/>
              </w:rPr>
              <w:t>限多发性骨髓瘤、复发或</w:t>
            </w:r>
            <w:proofErr w:type="gramStart"/>
            <w:r>
              <w:rPr>
                <w:rFonts w:ascii="Times New Roman" w:eastAsia="宋体" w:cs="宋体" w:hint="eastAsia"/>
                <w:color w:val="000000"/>
                <w:sz w:val="18"/>
                <w:szCs w:val="18"/>
              </w:rPr>
              <w:t>难治性套细胞</w:t>
            </w:r>
            <w:proofErr w:type="gramEnd"/>
            <w:r>
              <w:rPr>
                <w:rFonts w:ascii="Times New Roman" w:eastAsia="宋体" w:cs="宋体" w:hint="eastAsia"/>
                <w:color w:val="000000"/>
                <w:sz w:val="18"/>
                <w:szCs w:val="18"/>
              </w:rPr>
              <w:t>淋巴瘤患者，并满足以下条件：</w:t>
            </w:r>
            <w:r>
              <w:rPr>
                <w:rFonts w:ascii="Times New Roman" w:eastAsia="宋体" w:cs="宋体" w:hint="eastAsia"/>
                <w:color w:val="000000"/>
                <w:sz w:val="18"/>
                <w:szCs w:val="18"/>
              </w:rPr>
              <w:t xml:space="preserve">1. </w:t>
            </w:r>
            <w:r>
              <w:rPr>
                <w:rFonts w:ascii="Times New Roman" w:eastAsia="宋体" w:cs="宋体" w:hint="eastAsia"/>
                <w:color w:val="000000"/>
                <w:sz w:val="18"/>
                <w:szCs w:val="18"/>
              </w:rPr>
              <w:t>每</w:t>
            </w:r>
            <w:r>
              <w:rPr>
                <w:rFonts w:ascii="Times New Roman" w:eastAsia="宋体" w:cs="宋体" w:hint="eastAsia"/>
                <w:color w:val="000000"/>
                <w:sz w:val="18"/>
                <w:szCs w:val="18"/>
              </w:rPr>
              <w:t>2</w:t>
            </w:r>
            <w:r>
              <w:rPr>
                <w:rFonts w:ascii="Times New Roman" w:eastAsia="宋体" w:cs="宋体" w:hint="eastAsia"/>
                <w:color w:val="000000"/>
                <w:sz w:val="18"/>
                <w:szCs w:val="18"/>
              </w:rPr>
              <w:t>个疗程需提供治疗有效的证据后方可继续支付；</w:t>
            </w:r>
            <w:r>
              <w:rPr>
                <w:rFonts w:ascii="Times New Roman" w:eastAsia="宋体" w:cs="宋体" w:hint="eastAsia"/>
                <w:color w:val="000000"/>
                <w:sz w:val="18"/>
                <w:szCs w:val="18"/>
              </w:rPr>
              <w:t xml:space="preserve">2. </w:t>
            </w:r>
            <w:r>
              <w:rPr>
                <w:rFonts w:ascii="Times New Roman" w:eastAsia="宋体" w:cs="宋体" w:hint="eastAsia"/>
                <w:color w:val="000000"/>
                <w:sz w:val="18"/>
                <w:szCs w:val="18"/>
              </w:rPr>
              <w:t>由三级医院血液专科或血液专科医院医师处方。</w:t>
            </w:r>
          </w:p>
        </w:tc>
        <w:tc>
          <w:tcPr>
            <w:tcW w:w="400" w:type="pct"/>
            <w:shd w:val="clear" w:color="000000" w:fill="FFFFFF"/>
            <w:noWrap/>
            <w:vAlign w:val="center"/>
          </w:tcPr>
          <w:p w:rsidR="002D3004" w:rsidRDefault="0093795E">
            <w:pPr>
              <w:widowControl/>
              <w:spacing w:line="300" w:lineRule="exact"/>
              <w:jc w:val="center"/>
              <w:textAlignment w:val="center"/>
              <w:rPr>
                <w:rFonts w:ascii="Times New Roman" w:eastAsia="宋体"/>
                <w:color w:val="000000"/>
                <w:sz w:val="21"/>
                <w:szCs w:val="21"/>
              </w:rPr>
            </w:pPr>
            <w:r>
              <w:rPr>
                <w:rFonts w:ascii="Times New Roman" w:eastAsia="宋体"/>
                <w:color w:val="000000"/>
                <w:sz w:val="21"/>
                <w:szCs w:val="21"/>
              </w:rPr>
              <w:t>30%</w:t>
            </w:r>
          </w:p>
        </w:tc>
      </w:tr>
    </w:tbl>
    <w:p w:rsidR="002D3004" w:rsidRDefault="0093795E">
      <w:pPr>
        <w:overflowPunct w:val="0"/>
        <w:autoSpaceDE w:val="0"/>
        <w:autoSpaceDN w:val="0"/>
        <w:adjustRightInd w:val="0"/>
        <w:snapToGrid w:val="0"/>
        <w:spacing w:line="570" w:lineRule="exact"/>
        <w:jc w:val="left"/>
        <w:rPr>
          <w:rFonts w:ascii="Times New Roman" w:eastAsia="黑体"/>
          <w:bCs/>
          <w:snapToGrid w:val="0"/>
          <w:color w:val="000000"/>
        </w:rPr>
      </w:pPr>
      <w:r>
        <w:rPr>
          <w:rFonts w:ascii="Times New Roman" w:eastAsia="黑体" w:hAnsi="黑体"/>
          <w:bCs/>
          <w:snapToGrid w:val="0"/>
          <w:color w:val="000000"/>
        </w:rPr>
        <w:lastRenderedPageBreak/>
        <w:t>附件</w:t>
      </w:r>
      <w:r>
        <w:rPr>
          <w:rFonts w:ascii="Times New Roman" w:eastAsia="黑体" w:hint="eastAsia"/>
          <w:bCs/>
          <w:snapToGrid w:val="0"/>
          <w:color w:val="000000"/>
        </w:rPr>
        <w:t>3</w:t>
      </w:r>
    </w:p>
    <w:p w:rsidR="002D3004" w:rsidRDefault="0093795E">
      <w:pPr>
        <w:overflowPunct w:val="0"/>
        <w:autoSpaceDE w:val="0"/>
        <w:autoSpaceDN w:val="0"/>
        <w:adjustRightInd w:val="0"/>
        <w:snapToGrid w:val="0"/>
        <w:spacing w:before="240" w:after="360" w:line="580" w:lineRule="exact"/>
        <w:jc w:val="center"/>
        <w:rPr>
          <w:rFonts w:ascii="方正小标宋简体" w:eastAsia="方正小标宋简体" w:hAnsi="宋体"/>
          <w:sz w:val="44"/>
          <w:szCs w:val="44"/>
        </w:rPr>
      </w:pPr>
      <w:r>
        <w:rPr>
          <w:rFonts w:ascii="方正小标宋简体" w:eastAsia="方正小标宋简体" w:hint="eastAsia"/>
          <w:snapToGrid w:val="0"/>
          <w:color w:val="000000"/>
          <w:sz w:val="44"/>
          <w:szCs w:val="44"/>
        </w:rPr>
        <w:t>新增基本医疗保险门诊慢性病药品管理范围</w:t>
      </w:r>
    </w:p>
    <w:tbl>
      <w:tblPr>
        <w:tblW w:w="5065"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10"/>
        <w:gridCol w:w="1860"/>
        <w:gridCol w:w="923"/>
        <w:gridCol w:w="4295"/>
        <w:gridCol w:w="1390"/>
      </w:tblGrid>
      <w:tr w:rsidR="002D3004">
        <w:trPr>
          <w:trHeight w:val="758"/>
          <w:tblHeader/>
          <w:jc w:val="center"/>
        </w:trPr>
        <w:tc>
          <w:tcPr>
            <w:tcW w:w="386" w:type="pct"/>
            <w:shd w:val="clear" w:color="000000" w:fill="FFFFFF"/>
            <w:noWrap/>
            <w:vAlign w:val="center"/>
          </w:tcPr>
          <w:p w:rsidR="002D3004" w:rsidRDefault="0093795E">
            <w:pPr>
              <w:overflowPunct w:val="0"/>
              <w:autoSpaceDE w:val="0"/>
              <w:autoSpaceDN w:val="0"/>
              <w:adjustRightInd w:val="0"/>
              <w:snapToGrid w:val="0"/>
              <w:spacing w:line="280" w:lineRule="exact"/>
              <w:jc w:val="center"/>
              <w:rPr>
                <w:rFonts w:ascii="Times New Roman" w:eastAsia="黑体"/>
                <w:color w:val="000000"/>
                <w:sz w:val="21"/>
                <w:szCs w:val="21"/>
              </w:rPr>
            </w:pPr>
            <w:r>
              <w:rPr>
                <w:rFonts w:ascii="Times New Roman" w:eastAsia="黑体"/>
                <w:color w:val="000000"/>
                <w:sz w:val="21"/>
                <w:szCs w:val="21"/>
              </w:rPr>
              <w:t>序号</w:t>
            </w:r>
          </w:p>
        </w:tc>
        <w:tc>
          <w:tcPr>
            <w:tcW w:w="1013" w:type="pct"/>
            <w:shd w:val="clear" w:color="000000" w:fill="FFFFFF"/>
            <w:noWrap/>
            <w:vAlign w:val="center"/>
          </w:tcPr>
          <w:p w:rsidR="002D3004" w:rsidRDefault="0093795E">
            <w:pPr>
              <w:overflowPunct w:val="0"/>
              <w:autoSpaceDE w:val="0"/>
              <w:autoSpaceDN w:val="0"/>
              <w:adjustRightInd w:val="0"/>
              <w:snapToGrid w:val="0"/>
              <w:spacing w:line="280" w:lineRule="exact"/>
              <w:jc w:val="center"/>
              <w:rPr>
                <w:rFonts w:ascii="Times New Roman" w:eastAsia="黑体"/>
                <w:sz w:val="21"/>
                <w:szCs w:val="21"/>
              </w:rPr>
            </w:pPr>
            <w:r>
              <w:rPr>
                <w:rFonts w:ascii="Times New Roman" w:eastAsia="黑体"/>
                <w:sz w:val="21"/>
                <w:szCs w:val="21"/>
              </w:rPr>
              <w:t>药品名称</w:t>
            </w:r>
          </w:p>
        </w:tc>
        <w:tc>
          <w:tcPr>
            <w:tcW w:w="503" w:type="pct"/>
            <w:shd w:val="clear" w:color="000000" w:fill="FFFFFF"/>
            <w:noWrap/>
            <w:vAlign w:val="center"/>
          </w:tcPr>
          <w:p w:rsidR="002D3004" w:rsidRDefault="0093795E">
            <w:pPr>
              <w:overflowPunct w:val="0"/>
              <w:autoSpaceDE w:val="0"/>
              <w:autoSpaceDN w:val="0"/>
              <w:adjustRightInd w:val="0"/>
              <w:snapToGrid w:val="0"/>
              <w:spacing w:line="280" w:lineRule="exact"/>
              <w:jc w:val="center"/>
              <w:rPr>
                <w:rFonts w:ascii="Times New Roman" w:eastAsia="黑体"/>
                <w:sz w:val="21"/>
                <w:szCs w:val="21"/>
              </w:rPr>
            </w:pPr>
            <w:r>
              <w:rPr>
                <w:rFonts w:ascii="Times New Roman" w:eastAsia="黑体" w:hint="eastAsia"/>
                <w:sz w:val="21"/>
                <w:szCs w:val="21"/>
              </w:rPr>
              <w:t>剂型</w:t>
            </w:r>
          </w:p>
        </w:tc>
        <w:tc>
          <w:tcPr>
            <w:tcW w:w="2340" w:type="pct"/>
            <w:shd w:val="clear" w:color="000000" w:fill="FFFFFF"/>
            <w:noWrap/>
            <w:vAlign w:val="center"/>
          </w:tcPr>
          <w:p w:rsidR="002D3004" w:rsidRDefault="0093795E">
            <w:pPr>
              <w:overflowPunct w:val="0"/>
              <w:autoSpaceDE w:val="0"/>
              <w:autoSpaceDN w:val="0"/>
              <w:adjustRightInd w:val="0"/>
              <w:snapToGrid w:val="0"/>
              <w:spacing w:line="240" w:lineRule="exact"/>
              <w:jc w:val="center"/>
              <w:rPr>
                <w:rFonts w:ascii="Times New Roman" w:eastAsia="宋体"/>
                <w:sz w:val="18"/>
                <w:szCs w:val="21"/>
              </w:rPr>
            </w:pPr>
            <w:r>
              <w:rPr>
                <w:rFonts w:ascii="Times New Roman" w:eastAsia="黑体"/>
                <w:sz w:val="21"/>
                <w:szCs w:val="21"/>
              </w:rPr>
              <w:t>备注</w:t>
            </w:r>
          </w:p>
        </w:tc>
        <w:tc>
          <w:tcPr>
            <w:tcW w:w="757" w:type="pct"/>
            <w:noWrap/>
            <w:vAlign w:val="center"/>
          </w:tcPr>
          <w:p w:rsidR="002D3004" w:rsidRDefault="0093795E">
            <w:pPr>
              <w:overflowPunct w:val="0"/>
              <w:autoSpaceDE w:val="0"/>
              <w:autoSpaceDN w:val="0"/>
              <w:adjustRightInd w:val="0"/>
              <w:snapToGrid w:val="0"/>
              <w:spacing w:line="280" w:lineRule="exact"/>
              <w:ind w:left="-57" w:right="-57"/>
              <w:jc w:val="center"/>
              <w:rPr>
                <w:rFonts w:ascii="Times New Roman" w:eastAsia="黑体"/>
                <w:color w:val="000000"/>
                <w:sz w:val="21"/>
                <w:szCs w:val="21"/>
              </w:rPr>
            </w:pPr>
            <w:r>
              <w:rPr>
                <w:rFonts w:ascii="Times New Roman" w:eastAsia="黑体"/>
                <w:color w:val="000000"/>
                <w:sz w:val="21"/>
                <w:szCs w:val="21"/>
              </w:rPr>
              <w:t>门诊慢性病</w:t>
            </w:r>
          </w:p>
          <w:p w:rsidR="002D3004" w:rsidRDefault="0093795E">
            <w:pPr>
              <w:overflowPunct w:val="0"/>
              <w:autoSpaceDE w:val="0"/>
              <w:autoSpaceDN w:val="0"/>
              <w:adjustRightInd w:val="0"/>
              <w:snapToGrid w:val="0"/>
              <w:spacing w:line="280" w:lineRule="exact"/>
              <w:ind w:left="-57" w:right="-57"/>
              <w:jc w:val="center"/>
              <w:rPr>
                <w:rFonts w:ascii="Times New Roman" w:eastAsia="黑体"/>
                <w:color w:val="000000"/>
                <w:sz w:val="21"/>
                <w:szCs w:val="21"/>
              </w:rPr>
            </w:pPr>
            <w:r>
              <w:rPr>
                <w:rFonts w:ascii="Times New Roman" w:eastAsia="黑体"/>
                <w:color w:val="000000"/>
                <w:sz w:val="21"/>
                <w:szCs w:val="21"/>
              </w:rPr>
              <w:t>标注</w:t>
            </w:r>
          </w:p>
        </w:tc>
      </w:tr>
      <w:tr w:rsidR="002D3004">
        <w:trPr>
          <w:trHeight w:val="402"/>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bCs/>
                <w:color w:val="000000"/>
                <w:sz w:val="21"/>
                <w:szCs w:val="21"/>
              </w:rPr>
              <w:t>1</w:t>
            </w:r>
          </w:p>
        </w:tc>
        <w:tc>
          <w:tcPr>
            <w:tcW w:w="1013"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bCs/>
                <w:color w:val="000000"/>
                <w:sz w:val="21"/>
                <w:szCs w:val="21"/>
              </w:rPr>
              <w:t>左甲状腺素</w:t>
            </w:r>
          </w:p>
        </w:tc>
        <w:tc>
          <w:tcPr>
            <w:tcW w:w="503"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hint="eastAsia"/>
                <w:bCs/>
                <w:color w:val="000000"/>
                <w:sz w:val="21"/>
                <w:szCs w:val="21"/>
              </w:rPr>
              <w:t>口服常释剂型</w:t>
            </w:r>
          </w:p>
        </w:tc>
        <w:tc>
          <w:tcPr>
            <w:tcW w:w="2340" w:type="pct"/>
            <w:noWrap/>
            <w:vAlign w:val="center"/>
          </w:tcPr>
          <w:p w:rsidR="002D3004" w:rsidRDefault="002D3004">
            <w:pPr>
              <w:widowControl/>
              <w:spacing w:line="240" w:lineRule="exact"/>
              <w:rPr>
                <w:rFonts w:ascii="Times New Roman" w:eastAsia="宋体"/>
                <w:bCs/>
                <w:sz w:val="18"/>
                <w:szCs w:val="21"/>
              </w:rPr>
            </w:pPr>
          </w:p>
        </w:tc>
        <w:tc>
          <w:tcPr>
            <w:tcW w:w="757"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bCs/>
                <w:color w:val="000000"/>
                <w:sz w:val="21"/>
                <w:szCs w:val="21"/>
              </w:rPr>
              <w:t>恶性肿瘤</w:t>
            </w:r>
          </w:p>
        </w:tc>
      </w:tr>
      <w:tr w:rsidR="002D3004">
        <w:trPr>
          <w:trHeight w:val="597"/>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bCs/>
                <w:color w:val="000000"/>
                <w:sz w:val="21"/>
                <w:szCs w:val="21"/>
              </w:rPr>
              <w:t>2</w:t>
            </w:r>
          </w:p>
        </w:tc>
        <w:tc>
          <w:tcPr>
            <w:tcW w:w="1013" w:type="pct"/>
            <w:noWrap/>
            <w:vAlign w:val="center"/>
          </w:tcPr>
          <w:p w:rsidR="002D3004" w:rsidRDefault="0093795E">
            <w:pPr>
              <w:widowControl/>
              <w:spacing w:line="280" w:lineRule="exact"/>
              <w:jc w:val="center"/>
              <w:textAlignment w:val="center"/>
              <w:rPr>
                <w:rFonts w:ascii="Times New Roman" w:eastAsia="宋体"/>
                <w:bCs/>
                <w:sz w:val="21"/>
                <w:szCs w:val="21"/>
              </w:rPr>
            </w:pPr>
            <w:proofErr w:type="gramStart"/>
            <w:r>
              <w:rPr>
                <w:rFonts w:ascii="Times New Roman" w:eastAsia="宋体"/>
                <w:bCs/>
                <w:color w:val="000000"/>
                <w:sz w:val="21"/>
                <w:szCs w:val="21"/>
              </w:rPr>
              <w:t>吗替麦考酚</w:t>
            </w:r>
            <w:proofErr w:type="gramEnd"/>
            <w:r>
              <w:rPr>
                <w:rFonts w:ascii="Times New Roman" w:eastAsia="宋体"/>
                <w:bCs/>
                <w:color w:val="000000"/>
                <w:sz w:val="21"/>
                <w:szCs w:val="21"/>
              </w:rPr>
              <w:t>酯</w:t>
            </w:r>
          </w:p>
        </w:tc>
        <w:tc>
          <w:tcPr>
            <w:tcW w:w="503"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hint="eastAsia"/>
                <w:bCs/>
                <w:color w:val="000000"/>
                <w:sz w:val="21"/>
                <w:szCs w:val="21"/>
              </w:rPr>
              <w:t>口服常释剂型</w:t>
            </w:r>
          </w:p>
        </w:tc>
        <w:tc>
          <w:tcPr>
            <w:tcW w:w="2340" w:type="pct"/>
            <w:noWrap/>
            <w:vAlign w:val="center"/>
          </w:tcPr>
          <w:p w:rsidR="002D3004" w:rsidRDefault="0093795E">
            <w:pPr>
              <w:widowControl/>
              <w:spacing w:line="240" w:lineRule="exact"/>
              <w:textAlignment w:val="center"/>
              <w:rPr>
                <w:rFonts w:ascii="Times New Roman" w:eastAsia="宋体"/>
                <w:bCs/>
                <w:color w:val="000000"/>
                <w:sz w:val="18"/>
                <w:szCs w:val="21"/>
              </w:rPr>
            </w:pPr>
            <w:r>
              <w:rPr>
                <w:rFonts w:ascii="Times New Roman" w:eastAsia="宋体"/>
                <w:bCs/>
                <w:color w:val="000000"/>
                <w:sz w:val="18"/>
                <w:szCs w:val="21"/>
              </w:rPr>
              <w:t>限器官移植后的抗排异反应和</w:t>
            </w:r>
            <w:r>
              <w:rPr>
                <w:rFonts w:ascii="Times New Roman" w:eastAsia="宋体" w:hAnsi="宋体"/>
                <w:bCs/>
                <w:color w:val="000000"/>
                <w:sz w:val="18"/>
                <w:szCs w:val="21"/>
              </w:rPr>
              <w:t>Ⅲ</w:t>
            </w:r>
            <w:r>
              <w:rPr>
                <w:rFonts w:ascii="Times New Roman" w:eastAsia="宋体"/>
                <w:bCs/>
                <w:color w:val="000000"/>
                <w:sz w:val="18"/>
                <w:szCs w:val="21"/>
              </w:rPr>
              <w:t>-</w:t>
            </w:r>
            <w:r>
              <w:rPr>
                <w:rFonts w:ascii="Times New Roman" w:eastAsia="宋体" w:hAnsi="宋体"/>
                <w:bCs/>
                <w:color w:val="000000"/>
                <w:sz w:val="18"/>
                <w:szCs w:val="21"/>
              </w:rPr>
              <w:t>Ⅴ</w:t>
            </w:r>
            <w:r>
              <w:rPr>
                <w:rFonts w:ascii="Times New Roman" w:eastAsia="宋体"/>
                <w:bCs/>
                <w:color w:val="000000"/>
                <w:sz w:val="18"/>
                <w:szCs w:val="21"/>
              </w:rPr>
              <w:t>型狼疮性肾炎的患者</w:t>
            </w:r>
          </w:p>
        </w:tc>
        <w:tc>
          <w:tcPr>
            <w:tcW w:w="757"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bCs/>
                <w:color w:val="000000"/>
                <w:sz w:val="21"/>
                <w:szCs w:val="21"/>
              </w:rPr>
              <w:t>系统性红斑狼疮、慢性肾炎（中、重度）</w:t>
            </w:r>
          </w:p>
        </w:tc>
      </w:tr>
      <w:tr w:rsidR="002D3004">
        <w:trPr>
          <w:trHeight w:val="885"/>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bCs/>
                <w:color w:val="000000"/>
                <w:sz w:val="21"/>
                <w:szCs w:val="21"/>
              </w:rPr>
              <w:t>3</w:t>
            </w:r>
          </w:p>
        </w:tc>
        <w:tc>
          <w:tcPr>
            <w:tcW w:w="1013"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color w:val="000000"/>
                <w:sz w:val="21"/>
                <w:szCs w:val="21"/>
              </w:rPr>
              <w:t>二甲双</w:t>
            </w:r>
            <w:proofErr w:type="gramStart"/>
            <w:r>
              <w:rPr>
                <w:rFonts w:ascii="Times New Roman" w:eastAsia="宋体"/>
                <w:color w:val="000000"/>
                <w:sz w:val="21"/>
                <w:szCs w:val="21"/>
              </w:rPr>
              <w:t>胍</w:t>
            </w:r>
            <w:proofErr w:type="gramEnd"/>
            <w:r>
              <w:rPr>
                <w:rFonts w:ascii="Times New Roman" w:eastAsia="宋体"/>
                <w:color w:val="000000"/>
                <w:sz w:val="21"/>
                <w:szCs w:val="21"/>
              </w:rPr>
              <w:t>恩</w:t>
            </w:r>
            <w:proofErr w:type="gramStart"/>
            <w:r>
              <w:rPr>
                <w:rFonts w:ascii="Times New Roman" w:eastAsia="宋体"/>
                <w:color w:val="000000"/>
                <w:sz w:val="21"/>
                <w:szCs w:val="21"/>
              </w:rPr>
              <w:t>格列净片</w:t>
            </w:r>
            <w:proofErr w:type="gramEnd"/>
            <w:r>
              <w:rPr>
                <w:rFonts w:ascii="Times New Roman" w:eastAsia="宋体"/>
                <w:color w:val="000000"/>
                <w:sz w:val="21"/>
                <w:szCs w:val="21"/>
              </w:rPr>
              <w:t>（</w:t>
            </w:r>
            <w:r>
              <w:rPr>
                <w:rFonts w:ascii="Times New Roman" w:eastAsia="宋体" w:hAnsi="宋体"/>
                <w:color w:val="000000"/>
                <w:sz w:val="21"/>
                <w:szCs w:val="21"/>
              </w:rPr>
              <w:t>Ⅰ</w:t>
            </w:r>
            <w:r>
              <w:rPr>
                <w:rFonts w:ascii="Times New Roman" w:eastAsia="宋体"/>
                <w:color w:val="000000"/>
                <w:sz w:val="21"/>
                <w:szCs w:val="21"/>
              </w:rPr>
              <w:t>）</w:t>
            </w:r>
          </w:p>
        </w:tc>
        <w:tc>
          <w:tcPr>
            <w:tcW w:w="50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片剂</w:t>
            </w:r>
          </w:p>
        </w:tc>
        <w:tc>
          <w:tcPr>
            <w:tcW w:w="2340" w:type="pct"/>
            <w:noWrap/>
            <w:vAlign w:val="center"/>
          </w:tcPr>
          <w:p w:rsidR="002D3004" w:rsidRDefault="0093795E">
            <w:pPr>
              <w:widowControl/>
              <w:spacing w:line="240" w:lineRule="exact"/>
              <w:textAlignment w:val="top"/>
              <w:rPr>
                <w:rFonts w:ascii="Times New Roman" w:eastAsia="宋体"/>
                <w:bCs/>
                <w:color w:val="000000"/>
                <w:sz w:val="18"/>
                <w:szCs w:val="21"/>
              </w:rPr>
            </w:pPr>
            <w:r>
              <w:rPr>
                <w:rFonts w:ascii="Times New Roman" w:eastAsia="宋体"/>
                <w:color w:val="000000"/>
                <w:sz w:val="18"/>
                <w:szCs w:val="21"/>
              </w:rPr>
              <w:t>本品配合饮食控制和运动，适用于正在接受恩</w:t>
            </w:r>
            <w:proofErr w:type="gramStart"/>
            <w:r>
              <w:rPr>
                <w:rFonts w:ascii="Times New Roman" w:eastAsia="宋体"/>
                <w:color w:val="000000"/>
                <w:sz w:val="18"/>
                <w:szCs w:val="21"/>
              </w:rPr>
              <w:t>格列净和</w:t>
            </w:r>
            <w:proofErr w:type="gramEnd"/>
            <w:r>
              <w:rPr>
                <w:rFonts w:ascii="Times New Roman" w:eastAsia="宋体"/>
                <w:color w:val="000000"/>
                <w:sz w:val="18"/>
                <w:szCs w:val="21"/>
              </w:rPr>
              <w:t>盐酸二甲双</w:t>
            </w:r>
            <w:proofErr w:type="gramStart"/>
            <w:r>
              <w:rPr>
                <w:rFonts w:ascii="Times New Roman" w:eastAsia="宋体"/>
                <w:color w:val="000000"/>
                <w:sz w:val="18"/>
                <w:szCs w:val="21"/>
              </w:rPr>
              <w:t>胍</w:t>
            </w:r>
            <w:proofErr w:type="gramEnd"/>
            <w:r>
              <w:rPr>
                <w:rFonts w:ascii="Times New Roman" w:eastAsia="宋体"/>
                <w:color w:val="000000"/>
                <w:sz w:val="18"/>
                <w:szCs w:val="21"/>
              </w:rPr>
              <w:t>治疗的</w:t>
            </w:r>
            <w:r>
              <w:rPr>
                <w:rFonts w:ascii="Times New Roman" w:eastAsia="宋体"/>
                <w:color w:val="000000"/>
                <w:sz w:val="18"/>
                <w:szCs w:val="21"/>
              </w:rPr>
              <w:t>2</w:t>
            </w:r>
            <w:r>
              <w:rPr>
                <w:rFonts w:ascii="Times New Roman" w:eastAsia="宋体"/>
                <w:color w:val="000000"/>
                <w:sz w:val="18"/>
                <w:szCs w:val="21"/>
              </w:rPr>
              <w:t>型糖尿病成人患者，用于改善这些患者的血糖控制。</w:t>
            </w:r>
          </w:p>
        </w:tc>
        <w:tc>
          <w:tcPr>
            <w:tcW w:w="757"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color w:val="000000"/>
                <w:sz w:val="21"/>
                <w:szCs w:val="21"/>
              </w:rPr>
              <w:t>糖尿病</w:t>
            </w:r>
          </w:p>
        </w:tc>
      </w:tr>
      <w:tr w:rsidR="002D3004">
        <w:trPr>
          <w:trHeight w:val="1474"/>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bCs/>
                <w:color w:val="000000"/>
                <w:sz w:val="21"/>
                <w:szCs w:val="21"/>
              </w:rPr>
              <w:t>4</w:t>
            </w:r>
          </w:p>
        </w:tc>
        <w:tc>
          <w:tcPr>
            <w:tcW w:w="1013" w:type="pct"/>
            <w:noWrap/>
            <w:vAlign w:val="center"/>
          </w:tcPr>
          <w:p w:rsidR="002D3004" w:rsidRDefault="0093795E">
            <w:pPr>
              <w:widowControl/>
              <w:spacing w:line="280" w:lineRule="exact"/>
              <w:ind w:left="-57" w:right="-57"/>
              <w:jc w:val="center"/>
              <w:textAlignment w:val="center"/>
              <w:rPr>
                <w:rFonts w:ascii="Times New Roman" w:eastAsia="宋体"/>
                <w:bCs/>
                <w:sz w:val="21"/>
                <w:szCs w:val="21"/>
              </w:rPr>
            </w:pPr>
            <w:r>
              <w:rPr>
                <w:rFonts w:ascii="Times New Roman" w:eastAsia="宋体"/>
                <w:color w:val="000000"/>
                <w:sz w:val="21"/>
                <w:szCs w:val="21"/>
              </w:rPr>
              <w:t>司美格鲁</w:t>
            </w:r>
            <w:proofErr w:type="gramStart"/>
            <w:r>
              <w:rPr>
                <w:rFonts w:ascii="Times New Roman" w:eastAsia="宋体"/>
                <w:color w:val="0D0D0D"/>
                <w:sz w:val="21"/>
                <w:szCs w:val="21"/>
              </w:rPr>
              <w:t>肽</w:t>
            </w:r>
            <w:proofErr w:type="gramEnd"/>
            <w:r>
              <w:rPr>
                <w:rFonts w:ascii="Times New Roman" w:eastAsia="宋体"/>
                <w:color w:val="0D0D0D"/>
                <w:sz w:val="21"/>
                <w:szCs w:val="21"/>
              </w:rPr>
              <w:t>注射液</w:t>
            </w:r>
          </w:p>
        </w:tc>
        <w:tc>
          <w:tcPr>
            <w:tcW w:w="503" w:type="pct"/>
            <w:noWrap/>
            <w:vAlign w:val="center"/>
          </w:tcPr>
          <w:p w:rsidR="002D3004" w:rsidRDefault="0093795E">
            <w:pPr>
              <w:widowControl/>
              <w:spacing w:line="280" w:lineRule="exact"/>
              <w:jc w:val="center"/>
              <w:textAlignment w:val="center"/>
              <w:rPr>
                <w:rFonts w:ascii="Times New Roman" w:eastAsia="宋体"/>
                <w:color w:val="0D0D0D"/>
                <w:sz w:val="21"/>
                <w:szCs w:val="21"/>
              </w:rPr>
            </w:pPr>
            <w:r>
              <w:rPr>
                <w:rFonts w:ascii="Times New Roman" w:eastAsia="宋体" w:hint="eastAsia"/>
                <w:color w:val="0D0D0D"/>
                <w:sz w:val="21"/>
                <w:szCs w:val="21"/>
              </w:rPr>
              <w:t>注射剂</w:t>
            </w:r>
          </w:p>
        </w:tc>
        <w:tc>
          <w:tcPr>
            <w:tcW w:w="2340" w:type="pct"/>
            <w:noWrap/>
            <w:vAlign w:val="center"/>
          </w:tcPr>
          <w:p w:rsidR="002D3004" w:rsidRDefault="0093795E">
            <w:pPr>
              <w:widowControl/>
              <w:spacing w:line="240" w:lineRule="exact"/>
              <w:textAlignment w:val="top"/>
              <w:rPr>
                <w:rFonts w:ascii="Times New Roman" w:eastAsia="宋体"/>
                <w:bCs/>
                <w:color w:val="000000"/>
                <w:sz w:val="18"/>
                <w:szCs w:val="21"/>
              </w:rPr>
            </w:pPr>
            <w:r>
              <w:rPr>
                <w:rFonts w:ascii="Times New Roman" w:eastAsia="宋体"/>
                <w:color w:val="000000"/>
                <w:sz w:val="18"/>
                <w:szCs w:val="21"/>
              </w:rPr>
              <w:t>本品适用于成人</w:t>
            </w:r>
            <w:r>
              <w:rPr>
                <w:rFonts w:ascii="Times New Roman" w:eastAsia="宋体"/>
                <w:color w:val="000000"/>
                <w:sz w:val="18"/>
                <w:szCs w:val="21"/>
              </w:rPr>
              <w:t>2</w:t>
            </w:r>
            <w:r>
              <w:rPr>
                <w:rFonts w:ascii="Times New Roman" w:eastAsia="宋体"/>
                <w:color w:val="000000"/>
                <w:sz w:val="18"/>
                <w:szCs w:val="21"/>
              </w:rPr>
              <w:t>型糖尿病患者的血糖控制：在饮食控制和运动基础上，接受二甲双</w:t>
            </w:r>
            <w:proofErr w:type="gramStart"/>
            <w:r>
              <w:rPr>
                <w:rFonts w:ascii="Times New Roman" w:eastAsia="宋体"/>
                <w:color w:val="000000"/>
                <w:sz w:val="18"/>
                <w:szCs w:val="21"/>
              </w:rPr>
              <w:t>胍</w:t>
            </w:r>
            <w:proofErr w:type="gramEnd"/>
            <w:r>
              <w:rPr>
                <w:rFonts w:ascii="Times New Roman" w:eastAsia="宋体"/>
                <w:color w:val="000000"/>
                <w:sz w:val="18"/>
                <w:szCs w:val="21"/>
              </w:rPr>
              <w:t>和</w:t>
            </w:r>
            <w:r>
              <w:rPr>
                <w:rFonts w:ascii="Times New Roman" w:eastAsia="宋体"/>
                <w:color w:val="000000"/>
                <w:sz w:val="18"/>
                <w:szCs w:val="21"/>
              </w:rPr>
              <w:t>/</w:t>
            </w:r>
            <w:r>
              <w:rPr>
                <w:rFonts w:ascii="Times New Roman" w:eastAsia="宋体"/>
                <w:color w:val="000000"/>
                <w:sz w:val="18"/>
                <w:szCs w:val="21"/>
              </w:rPr>
              <w:t>或</w:t>
            </w:r>
            <w:proofErr w:type="gramStart"/>
            <w:r>
              <w:rPr>
                <w:rFonts w:ascii="Times New Roman" w:eastAsia="宋体"/>
                <w:color w:val="000000"/>
                <w:sz w:val="18"/>
                <w:szCs w:val="21"/>
              </w:rPr>
              <w:t>磺脲</w:t>
            </w:r>
            <w:proofErr w:type="gramEnd"/>
            <w:r>
              <w:rPr>
                <w:rFonts w:ascii="Times New Roman" w:eastAsia="宋体"/>
                <w:color w:val="000000"/>
                <w:sz w:val="18"/>
                <w:szCs w:val="21"/>
              </w:rPr>
              <w:t>类药物治疗血糖仍控制不佳的成人</w:t>
            </w:r>
            <w:r>
              <w:rPr>
                <w:rFonts w:ascii="Times New Roman" w:eastAsia="宋体"/>
                <w:color w:val="000000"/>
                <w:sz w:val="18"/>
                <w:szCs w:val="21"/>
              </w:rPr>
              <w:t>2</w:t>
            </w:r>
            <w:r>
              <w:rPr>
                <w:rFonts w:ascii="Times New Roman" w:eastAsia="宋体"/>
                <w:color w:val="000000"/>
                <w:sz w:val="18"/>
                <w:szCs w:val="21"/>
              </w:rPr>
              <w:t>型糖尿病患者。适用于降低伴有心血管疾病的</w:t>
            </w:r>
            <w:r>
              <w:rPr>
                <w:rFonts w:ascii="Times New Roman" w:eastAsia="宋体"/>
                <w:color w:val="000000"/>
                <w:sz w:val="18"/>
                <w:szCs w:val="21"/>
              </w:rPr>
              <w:t>2</w:t>
            </w:r>
            <w:r>
              <w:rPr>
                <w:rFonts w:ascii="Times New Roman" w:eastAsia="宋体"/>
                <w:color w:val="000000"/>
                <w:sz w:val="18"/>
                <w:szCs w:val="21"/>
              </w:rPr>
              <w:t>型糖尿病成人患者的主要心血管不良事件（心血管死亡、非致死性心肌梗死或非致死性卒中）风险。</w:t>
            </w:r>
          </w:p>
        </w:tc>
        <w:tc>
          <w:tcPr>
            <w:tcW w:w="757"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color w:val="000000"/>
                <w:sz w:val="21"/>
                <w:szCs w:val="21"/>
              </w:rPr>
              <w:t>糖尿病</w:t>
            </w:r>
          </w:p>
        </w:tc>
      </w:tr>
      <w:tr w:rsidR="002D3004">
        <w:trPr>
          <w:trHeight w:val="905"/>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bCs/>
                <w:color w:val="000000"/>
                <w:sz w:val="21"/>
                <w:szCs w:val="21"/>
              </w:rPr>
              <w:t>5</w:t>
            </w:r>
          </w:p>
        </w:tc>
        <w:tc>
          <w:tcPr>
            <w:tcW w:w="1013"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color w:val="000000"/>
                <w:sz w:val="21"/>
                <w:szCs w:val="21"/>
              </w:rPr>
              <w:t>氨氯地平叶酸片（</w:t>
            </w:r>
            <w:r>
              <w:rPr>
                <w:rFonts w:ascii="Times New Roman" w:eastAsia="宋体"/>
                <w:color w:val="000000"/>
                <w:sz w:val="21"/>
                <w:szCs w:val="21"/>
              </w:rPr>
              <w:t>II</w:t>
            </w:r>
            <w:r>
              <w:rPr>
                <w:rFonts w:ascii="Times New Roman" w:eastAsia="宋体"/>
                <w:color w:val="000000"/>
                <w:sz w:val="21"/>
                <w:szCs w:val="21"/>
              </w:rPr>
              <w:t>）</w:t>
            </w:r>
          </w:p>
        </w:tc>
        <w:tc>
          <w:tcPr>
            <w:tcW w:w="50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片剂</w:t>
            </w:r>
          </w:p>
        </w:tc>
        <w:tc>
          <w:tcPr>
            <w:tcW w:w="2340" w:type="pct"/>
            <w:noWrap/>
            <w:vAlign w:val="center"/>
          </w:tcPr>
          <w:p w:rsidR="002D3004" w:rsidRDefault="0093795E">
            <w:pPr>
              <w:widowControl/>
              <w:spacing w:line="240" w:lineRule="exact"/>
              <w:textAlignment w:val="top"/>
              <w:rPr>
                <w:rFonts w:ascii="Times New Roman" w:eastAsia="宋体"/>
                <w:bCs/>
                <w:color w:val="000000"/>
                <w:sz w:val="18"/>
                <w:szCs w:val="21"/>
              </w:rPr>
            </w:pPr>
            <w:r>
              <w:rPr>
                <w:rFonts w:ascii="Times New Roman" w:eastAsia="宋体"/>
                <w:color w:val="000000"/>
                <w:sz w:val="18"/>
                <w:szCs w:val="21"/>
              </w:rPr>
              <w:t>用于治疗伴有血浆同型半胱氨酸水平升高的原发性高血压。氨氯地平降低血压，叶酸降低血同型半胱氨酸水平，升高血叶酸水平。</w:t>
            </w:r>
          </w:p>
        </w:tc>
        <w:tc>
          <w:tcPr>
            <w:tcW w:w="757"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color w:val="000000"/>
                <w:sz w:val="21"/>
                <w:szCs w:val="21"/>
              </w:rPr>
              <w:t>高血压</w:t>
            </w:r>
          </w:p>
        </w:tc>
      </w:tr>
      <w:tr w:rsidR="002D3004">
        <w:trPr>
          <w:trHeight w:val="5241"/>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hint="eastAsia"/>
                <w:bCs/>
                <w:color w:val="000000"/>
                <w:sz w:val="21"/>
                <w:szCs w:val="21"/>
              </w:rPr>
              <w:t>6</w:t>
            </w:r>
          </w:p>
        </w:tc>
        <w:tc>
          <w:tcPr>
            <w:tcW w:w="1013" w:type="pct"/>
            <w:noWrap/>
            <w:vAlign w:val="center"/>
          </w:tcPr>
          <w:p w:rsidR="002D3004" w:rsidRDefault="0093795E">
            <w:pPr>
              <w:widowControl/>
              <w:spacing w:line="280" w:lineRule="exact"/>
              <w:ind w:left="-57" w:right="-57"/>
              <w:jc w:val="center"/>
              <w:textAlignment w:val="center"/>
              <w:rPr>
                <w:rFonts w:ascii="Times New Roman" w:eastAsia="宋体"/>
                <w:bCs/>
                <w:sz w:val="21"/>
                <w:szCs w:val="21"/>
              </w:rPr>
            </w:pPr>
            <w:r>
              <w:rPr>
                <w:rFonts w:ascii="Times New Roman" w:eastAsia="宋体"/>
                <w:color w:val="000000"/>
                <w:sz w:val="21"/>
                <w:szCs w:val="21"/>
              </w:rPr>
              <w:t>依</w:t>
            </w:r>
            <w:proofErr w:type="gramStart"/>
            <w:r>
              <w:rPr>
                <w:rFonts w:ascii="Times New Roman" w:eastAsia="宋体"/>
                <w:color w:val="000000"/>
                <w:sz w:val="21"/>
                <w:szCs w:val="21"/>
              </w:rPr>
              <w:t>洛尤单</w:t>
            </w:r>
            <w:proofErr w:type="gramEnd"/>
            <w:r>
              <w:rPr>
                <w:rFonts w:ascii="Times New Roman" w:eastAsia="宋体"/>
                <w:color w:val="000000"/>
                <w:sz w:val="21"/>
                <w:szCs w:val="21"/>
              </w:rPr>
              <w:t>抗注射液</w:t>
            </w:r>
          </w:p>
        </w:tc>
        <w:tc>
          <w:tcPr>
            <w:tcW w:w="50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注射剂</w:t>
            </w:r>
          </w:p>
        </w:tc>
        <w:tc>
          <w:tcPr>
            <w:tcW w:w="2340" w:type="pct"/>
            <w:noWrap/>
            <w:vAlign w:val="center"/>
          </w:tcPr>
          <w:p w:rsidR="002D3004" w:rsidRDefault="0093795E">
            <w:pPr>
              <w:widowControl/>
              <w:spacing w:line="240" w:lineRule="exact"/>
              <w:textAlignment w:val="top"/>
              <w:rPr>
                <w:rFonts w:ascii="Times New Roman" w:eastAsia="宋体"/>
                <w:bCs/>
                <w:sz w:val="18"/>
                <w:szCs w:val="21"/>
              </w:rPr>
            </w:pPr>
            <w:r>
              <w:rPr>
                <w:rFonts w:ascii="Times New Roman" w:eastAsia="宋体"/>
                <w:color w:val="000000"/>
                <w:sz w:val="18"/>
                <w:szCs w:val="21"/>
              </w:rPr>
              <w:t>1.</w:t>
            </w:r>
            <w:r>
              <w:rPr>
                <w:rFonts w:ascii="Times New Roman" w:eastAsia="宋体" w:hint="eastAsia"/>
                <w:color w:val="000000"/>
                <w:sz w:val="18"/>
                <w:szCs w:val="21"/>
              </w:rPr>
              <w:t xml:space="preserve"> </w:t>
            </w:r>
            <w:r>
              <w:rPr>
                <w:rFonts w:ascii="Times New Roman" w:eastAsia="宋体"/>
                <w:color w:val="000000"/>
                <w:sz w:val="18"/>
                <w:szCs w:val="21"/>
              </w:rPr>
              <w:t>降低心血管事件的风险：在已有动脉粥样硬化性心血管疾病的成人患者中，降低心肌梗死、卒中以及冠脉血运重建的风险。通过：与最大耐受剂量的他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类药物联合用药，伴随或不伴随其他降脂疗法，或者在他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w:t>
            </w:r>
            <w:proofErr w:type="gramStart"/>
            <w:r>
              <w:rPr>
                <w:rFonts w:ascii="Times New Roman" w:eastAsia="宋体"/>
                <w:color w:val="000000"/>
                <w:sz w:val="18"/>
                <w:szCs w:val="21"/>
              </w:rPr>
              <w:t>不</w:t>
            </w:r>
            <w:proofErr w:type="gramEnd"/>
            <w:r>
              <w:rPr>
                <w:rFonts w:ascii="Times New Roman" w:eastAsia="宋体"/>
                <w:color w:val="000000"/>
                <w:sz w:val="18"/>
                <w:szCs w:val="21"/>
              </w:rPr>
              <w:t>耐受或禁忌使用的患者中，单独用药或与其他降脂疗法联合用药。</w:t>
            </w:r>
            <w:r>
              <w:rPr>
                <w:rFonts w:ascii="Times New Roman" w:eastAsia="宋体"/>
                <w:color w:val="000000"/>
                <w:sz w:val="18"/>
                <w:szCs w:val="21"/>
              </w:rPr>
              <w:t>2.</w:t>
            </w:r>
            <w:r>
              <w:rPr>
                <w:rFonts w:ascii="Times New Roman" w:eastAsia="宋体" w:hint="eastAsia"/>
                <w:color w:val="000000"/>
                <w:sz w:val="18"/>
                <w:szCs w:val="21"/>
              </w:rPr>
              <w:t xml:space="preserve"> </w:t>
            </w:r>
            <w:r>
              <w:rPr>
                <w:rFonts w:ascii="Times New Roman" w:eastAsia="宋体"/>
                <w:color w:val="000000"/>
                <w:sz w:val="18"/>
                <w:szCs w:val="21"/>
              </w:rPr>
              <w:t>原发性高胆固醇血症（包括杂合子型家族性高胆固醇血症）和混合型血脂异常：可作为饮食的辅助疗法，用于成人原发性高胆固醇血症（杂合子家族性和非家族性）或混合型血脂异常患者的治疗，以降低低密度脂蛋白胆固醇（</w:t>
            </w:r>
            <w:r>
              <w:rPr>
                <w:rFonts w:ascii="Times New Roman" w:eastAsia="宋体"/>
                <w:color w:val="000000"/>
                <w:sz w:val="18"/>
                <w:szCs w:val="21"/>
              </w:rPr>
              <w:t>LDL-C</w:t>
            </w:r>
            <w:r>
              <w:rPr>
                <w:rFonts w:ascii="Times New Roman" w:eastAsia="宋体"/>
                <w:color w:val="000000"/>
                <w:sz w:val="18"/>
                <w:szCs w:val="21"/>
              </w:rPr>
              <w:t>）水平：在接受最大耐受剂量的他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类药物治疗仍无</w:t>
            </w:r>
            <w:r>
              <w:rPr>
                <w:rFonts w:ascii="Times New Roman" w:eastAsia="宋体"/>
                <w:color w:val="000000"/>
                <w:sz w:val="18"/>
                <w:szCs w:val="21"/>
              </w:rPr>
              <w:t>法达到</w:t>
            </w:r>
            <w:r>
              <w:rPr>
                <w:rFonts w:ascii="Times New Roman" w:eastAsia="宋体"/>
                <w:color w:val="000000"/>
                <w:sz w:val="18"/>
                <w:szCs w:val="21"/>
              </w:rPr>
              <w:t>LDL-C</w:t>
            </w:r>
            <w:r>
              <w:rPr>
                <w:rFonts w:ascii="Times New Roman" w:eastAsia="宋体"/>
                <w:color w:val="000000"/>
                <w:sz w:val="18"/>
                <w:szCs w:val="21"/>
              </w:rPr>
              <w:t>目标的患者中，与他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类药物、或者与他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类药物及其他降脂疗法联合用药，或者在他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w:t>
            </w:r>
            <w:proofErr w:type="gramStart"/>
            <w:r>
              <w:rPr>
                <w:rFonts w:ascii="Times New Roman" w:eastAsia="宋体"/>
                <w:color w:val="000000"/>
                <w:sz w:val="18"/>
                <w:szCs w:val="21"/>
              </w:rPr>
              <w:t>不</w:t>
            </w:r>
            <w:proofErr w:type="gramEnd"/>
            <w:r>
              <w:rPr>
                <w:rFonts w:ascii="Times New Roman" w:eastAsia="宋体"/>
                <w:color w:val="000000"/>
                <w:sz w:val="18"/>
                <w:szCs w:val="21"/>
              </w:rPr>
              <w:t>耐受或禁忌使用的患者中，单独用药或与其他降脂疗法联合用药。</w:t>
            </w:r>
            <w:r>
              <w:rPr>
                <w:rFonts w:ascii="Times New Roman" w:eastAsia="宋体"/>
                <w:color w:val="000000"/>
                <w:sz w:val="18"/>
                <w:szCs w:val="21"/>
              </w:rPr>
              <w:t>3.</w:t>
            </w:r>
            <w:r>
              <w:rPr>
                <w:rFonts w:ascii="Times New Roman" w:eastAsia="宋体" w:hint="eastAsia"/>
                <w:color w:val="000000"/>
                <w:sz w:val="18"/>
                <w:szCs w:val="21"/>
              </w:rPr>
              <w:t xml:space="preserve"> </w:t>
            </w:r>
            <w:r>
              <w:rPr>
                <w:rFonts w:ascii="Times New Roman" w:eastAsia="宋体"/>
                <w:color w:val="000000"/>
                <w:sz w:val="18"/>
                <w:szCs w:val="21"/>
              </w:rPr>
              <w:t>纯合子型家族性高胆固醇血症：用于成人或</w:t>
            </w:r>
            <w:r>
              <w:rPr>
                <w:rFonts w:ascii="Times New Roman" w:eastAsia="宋体"/>
                <w:color w:val="000000"/>
                <w:sz w:val="18"/>
                <w:szCs w:val="21"/>
              </w:rPr>
              <w:t>12</w:t>
            </w:r>
            <w:r>
              <w:rPr>
                <w:rFonts w:ascii="Times New Roman" w:eastAsia="宋体"/>
                <w:color w:val="000000"/>
                <w:sz w:val="18"/>
                <w:szCs w:val="21"/>
              </w:rPr>
              <w:t>岁以上青少年的纯合子型家族性高胆固醇血症。可与饮食疗法和其他降低密度脂蛋白胆固醇（</w:t>
            </w:r>
            <w:r>
              <w:rPr>
                <w:rFonts w:ascii="Times New Roman" w:eastAsia="宋体"/>
                <w:color w:val="000000"/>
                <w:sz w:val="18"/>
                <w:szCs w:val="21"/>
              </w:rPr>
              <w:t>LDL-C</w:t>
            </w:r>
            <w:r>
              <w:rPr>
                <w:rFonts w:ascii="Times New Roman" w:eastAsia="宋体"/>
                <w:color w:val="000000"/>
                <w:sz w:val="18"/>
                <w:szCs w:val="21"/>
              </w:rPr>
              <w:t>）治疗（例如他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w:t>
            </w:r>
            <w:proofErr w:type="gramStart"/>
            <w:r>
              <w:rPr>
                <w:rFonts w:ascii="Times New Roman" w:eastAsia="宋体"/>
                <w:color w:val="000000"/>
                <w:sz w:val="18"/>
                <w:szCs w:val="21"/>
              </w:rPr>
              <w:t>依折麦布</w:t>
            </w:r>
            <w:proofErr w:type="gramEnd"/>
            <w:r>
              <w:rPr>
                <w:rFonts w:ascii="Times New Roman" w:eastAsia="宋体"/>
                <w:color w:val="000000"/>
                <w:sz w:val="18"/>
                <w:szCs w:val="21"/>
              </w:rPr>
              <w:t>、</w:t>
            </w:r>
            <w:r>
              <w:rPr>
                <w:rFonts w:ascii="Times New Roman" w:eastAsia="宋体"/>
                <w:color w:val="000000"/>
                <w:sz w:val="18"/>
                <w:szCs w:val="21"/>
              </w:rPr>
              <w:t>LDL</w:t>
            </w:r>
            <w:r>
              <w:rPr>
                <w:rFonts w:ascii="Times New Roman" w:eastAsia="宋体"/>
                <w:color w:val="000000"/>
                <w:sz w:val="18"/>
                <w:szCs w:val="21"/>
              </w:rPr>
              <w:t>分离术）合用，用于患有纯合子型家族性高胆固醇血症（</w:t>
            </w:r>
            <w:proofErr w:type="spellStart"/>
            <w:r>
              <w:rPr>
                <w:rFonts w:ascii="Times New Roman" w:eastAsia="宋体"/>
                <w:color w:val="000000"/>
                <w:sz w:val="18"/>
                <w:szCs w:val="21"/>
              </w:rPr>
              <w:t>HoFH</w:t>
            </w:r>
            <w:proofErr w:type="spellEnd"/>
            <w:r>
              <w:rPr>
                <w:rFonts w:ascii="Times New Roman" w:eastAsia="宋体"/>
                <w:color w:val="000000"/>
                <w:sz w:val="18"/>
                <w:szCs w:val="21"/>
              </w:rPr>
              <w:t>）且需要进一步降低</w:t>
            </w:r>
            <w:r>
              <w:rPr>
                <w:rFonts w:ascii="Times New Roman" w:eastAsia="宋体"/>
                <w:color w:val="000000"/>
                <w:sz w:val="18"/>
                <w:szCs w:val="21"/>
              </w:rPr>
              <w:t>LDL- C</w:t>
            </w:r>
            <w:r>
              <w:rPr>
                <w:rFonts w:ascii="Times New Roman" w:eastAsia="宋体"/>
                <w:color w:val="000000"/>
                <w:sz w:val="18"/>
                <w:szCs w:val="21"/>
              </w:rPr>
              <w:t>的患者。</w:t>
            </w:r>
          </w:p>
        </w:tc>
        <w:tc>
          <w:tcPr>
            <w:tcW w:w="757" w:type="pct"/>
            <w:noWrap/>
            <w:vAlign w:val="center"/>
          </w:tcPr>
          <w:p w:rsidR="002D3004" w:rsidRDefault="0093795E">
            <w:pPr>
              <w:widowControl/>
              <w:spacing w:line="280" w:lineRule="exact"/>
              <w:jc w:val="left"/>
              <w:textAlignment w:val="center"/>
              <w:rPr>
                <w:rFonts w:ascii="Times New Roman" w:eastAsia="宋体"/>
                <w:color w:val="000000"/>
                <w:sz w:val="21"/>
                <w:szCs w:val="21"/>
              </w:rPr>
            </w:pPr>
            <w:r>
              <w:rPr>
                <w:rFonts w:ascii="Times New Roman" w:eastAsia="宋体"/>
                <w:color w:val="000000"/>
                <w:sz w:val="21"/>
                <w:szCs w:val="21"/>
              </w:rPr>
              <w:t>冠状动脉粥样硬化性心脏病、</w:t>
            </w:r>
          </w:p>
          <w:p w:rsidR="002D3004" w:rsidRDefault="0093795E">
            <w:pPr>
              <w:widowControl/>
              <w:spacing w:line="280" w:lineRule="exact"/>
              <w:jc w:val="left"/>
              <w:textAlignment w:val="center"/>
              <w:rPr>
                <w:rFonts w:ascii="Times New Roman" w:eastAsia="宋体"/>
                <w:bCs/>
                <w:color w:val="000000"/>
                <w:sz w:val="21"/>
                <w:szCs w:val="21"/>
              </w:rPr>
            </w:pPr>
            <w:r>
              <w:rPr>
                <w:rFonts w:ascii="Times New Roman" w:eastAsia="宋体"/>
                <w:color w:val="000000"/>
                <w:sz w:val="21"/>
                <w:szCs w:val="21"/>
              </w:rPr>
              <w:t>脑卒中合并器官功能障碍</w:t>
            </w:r>
          </w:p>
        </w:tc>
      </w:tr>
      <w:tr w:rsidR="002D3004">
        <w:trPr>
          <w:trHeight w:val="4344"/>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hint="eastAsia"/>
                <w:bCs/>
                <w:color w:val="000000"/>
                <w:sz w:val="21"/>
                <w:szCs w:val="21"/>
              </w:rPr>
              <w:lastRenderedPageBreak/>
              <w:t>7</w:t>
            </w:r>
          </w:p>
        </w:tc>
        <w:tc>
          <w:tcPr>
            <w:tcW w:w="1013"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color w:val="000000"/>
                <w:sz w:val="21"/>
                <w:szCs w:val="21"/>
              </w:rPr>
              <w:t>阿利西尤单抗注射液</w:t>
            </w:r>
          </w:p>
        </w:tc>
        <w:tc>
          <w:tcPr>
            <w:tcW w:w="50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注射剂</w:t>
            </w:r>
          </w:p>
        </w:tc>
        <w:tc>
          <w:tcPr>
            <w:tcW w:w="2340" w:type="pct"/>
            <w:noWrap/>
            <w:vAlign w:val="center"/>
          </w:tcPr>
          <w:p w:rsidR="002D3004" w:rsidRDefault="0093795E">
            <w:pPr>
              <w:widowControl/>
              <w:spacing w:line="260" w:lineRule="exact"/>
              <w:textAlignment w:val="top"/>
              <w:rPr>
                <w:rFonts w:ascii="Times New Roman" w:eastAsia="宋体"/>
                <w:bCs/>
                <w:color w:val="000000"/>
                <w:sz w:val="18"/>
                <w:szCs w:val="21"/>
              </w:rPr>
            </w:pPr>
            <w:r>
              <w:rPr>
                <w:rFonts w:ascii="Times New Roman" w:eastAsia="宋体"/>
                <w:color w:val="000000"/>
                <w:sz w:val="18"/>
                <w:szCs w:val="21"/>
              </w:rPr>
              <w:t>1.</w:t>
            </w:r>
            <w:r>
              <w:rPr>
                <w:rFonts w:ascii="Times New Roman" w:eastAsia="宋体" w:hint="eastAsia"/>
                <w:color w:val="000000"/>
                <w:sz w:val="18"/>
                <w:szCs w:val="21"/>
              </w:rPr>
              <w:t xml:space="preserve"> </w:t>
            </w:r>
            <w:r>
              <w:rPr>
                <w:rFonts w:ascii="Times New Roman" w:eastAsia="宋体"/>
                <w:color w:val="000000"/>
                <w:sz w:val="18"/>
                <w:szCs w:val="21"/>
              </w:rPr>
              <w:t>心血管事件预防：在确诊为动脉粥样硬化性心血管疾病的成人患者中，降低心肌梗死、卒中、需要住院的不稳定性心绞痛的风险。通</w:t>
            </w:r>
            <w:r>
              <w:rPr>
                <w:rFonts w:ascii="Times New Roman" w:eastAsia="宋体"/>
                <w:color w:val="000000"/>
                <w:sz w:val="18"/>
                <w:szCs w:val="21"/>
              </w:rPr>
              <w:t xml:space="preserve"> </w:t>
            </w:r>
            <w:r>
              <w:rPr>
                <w:rFonts w:ascii="Times New Roman" w:eastAsia="宋体"/>
                <w:color w:val="000000"/>
                <w:sz w:val="18"/>
                <w:szCs w:val="21"/>
              </w:rPr>
              <w:t>过：与最大耐受剂量的他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类药物联合用药，伴随或不伴随其他降脂疗法，或者在他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w:t>
            </w:r>
            <w:proofErr w:type="gramStart"/>
            <w:r>
              <w:rPr>
                <w:rFonts w:ascii="Times New Roman" w:eastAsia="宋体"/>
                <w:color w:val="000000"/>
                <w:sz w:val="18"/>
                <w:szCs w:val="21"/>
              </w:rPr>
              <w:t>不</w:t>
            </w:r>
            <w:proofErr w:type="gramEnd"/>
            <w:r>
              <w:rPr>
                <w:rFonts w:ascii="Times New Roman" w:eastAsia="宋体"/>
                <w:color w:val="000000"/>
                <w:sz w:val="18"/>
                <w:szCs w:val="21"/>
              </w:rPr>
              <w:t>耐受或禁忌使用的患者中，单独用药或与其他降脂疗法联合用药。</w:t>
            </w:r>
            <w:r>
              <w:rPr>
                <w:rFonts w:ascii="Times New Roman" w:eastAsia="宋体"/>
                <w:color w:val="000000"/>
                <w:sz w:val="18"/>
                <w:szCs w:val="21"/>
              </w:rPr>
              <w:t>2.</w:t>
            </w:r>
            <w:r>
              <w:rPr>
                <w:rFonts w:ascii="Times New Roman" w:eastAsia="宋体" w:hint="eastAsia"/>
                <w:color w:val="000000"/>
                <w:sz w:val="18"/>
                <w:szCs w:val="21"/>
              </w:rPr>
              <w:t xml:space="preserve"> </w:t>
            </w:r>
            <w:r>
              <w:rPr>
                <w:rFonts w:ascii="Times New Roman" w:eastAsia="宋体"/>
                <w:color w:val="000000"/>
                <w:sz w:val="18"/>
                <w:szCs w:val="21"/>
              </w:rPr>
              <w:t>原发性高胆固醇血症（包括杂合子型家族性和非家族性）和混合型血脂异常：可作为饮食的辅助疗法，用于成人原发性高胆固醇血症（杂合子型家族性和非家族性）或混合型血脂异常患者的治疗，以降低低密度脂蛋白胆固醇（</w:t>
            </w:r>
            <w:r>
              <w:rPr>
                <w:rFonts w:ascii="Times New Roman" w:eastAsia="宋体"/>
                <w:color w:val="000000"/>
                <w:sz w:val="18"/>
                <w:szCs w:val="21"/>
              </w:rPr>
              <w:t>LDL-C</w:t>
            </w:r>
            <w:r>
              <w:rPr>
                <w:rFonts w:ascii="Times New Roman" w:eastAsia="宋体"/>
                <w:color w:val="000000"/>
                <w:sz w:val="18"/>
                <w:szCs w:val="21"/>
              </w:rPr>
              <w:t>）水</w:t>
            </w:r>
            <w:r>
              <w:rPr>
                <w:rFonts w:ascii="Times New Roman" w:eastAsia="宋体"/>
                <w:color w:val="000000"/>
                <w:sz w:val="18"/>
                <w:szCs w:val="21"/>
              </w:rPr>
              <w:t>平。在接受最大耐受剂量的他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类药物治疗仍无法达到</w:t>
            </w:r>
            <w:r>
              <w:rPr>
                <w:rFonts w:ascii="Times New Roman" w:eastAsia="宋体"/>
                <w:color w:val="000000"/>
                <w:sz w:val="18"/>
                <w:szCs w:val="21"/>
              </w:rPr>
              <w:t>LDL-C</w:t>
            </w:r>
            <w:r>
              <w:rPr>
                <w:rFonts w:ascii="Times New Roman" w:eastAsia="宋体"/>
                <w:color w:val="000000"/>
                <w:sz w:val="18"/>
                <w:szCs w:val="21"/>
              </w:rPr>
              <w:t>目标的患者中，与他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类药物、或者与他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类药物及其他降脂疗法联合用药，或者在他</w:t>
            </w:r>
            <w:proofErr w:type="gramStart"/>
            <w:r>
              <w:rPr>
                <w:rFonts w:ascii="Times New Roman" w:eastAsia="宋体"/>
                <w:color w:val="000000"/>
                <w:sz w:val="18"/>
                <w:szCs w:val="21"/>
              </w:rPr>
              <w:t>汀</w:t>
            </w:r>
            <w:proofErr w:type="gramEnd"/>
            <w:r>
              <w:rPr>
                <w:rFonts w:ascii="Times New Roman" w:eastAsia="宋体"/>
                <w:color w:val="000000"/>
                <w:sz w:val="18"/>
                <w:szCs w:val="21"/>
              </w:rPr>
              <w:t>类药物</w:t>
            </w:r>
            <w:proofErr w:type="gramStart"/>
            <w:r>
              <w:rPr>
                <w:rFonts w:ascii="Times New Roman" w:eastAsia="宋体"/>
                <w:color w:val="000000"/>
                <w:sz w:val="18"/>
                <w:szCs w:val="21"/>
              </w:rPr>
              <w:t>不</w:t>
            </w:r>
            <w:proofErr w:type="gramEnd"/>
            <w:r>
              <w:rPr>
                <w:rFonts w:ascii="Times New Roman" w:eastAsia="宋体"/>
                <w:color w:val="000000"/>
                <w:sz w:val="18"/>
                <w:szCs w:val="21"/>
              </w:rPr>
              <w:t>耐受或禁忌使用的患者中，单独用药或与其他降脂疗法联合用药。</w:t>
            </w:r>
          </w:p>
        </w:tc>
        <w:tc>
          <w:tcPr>
            <w:tcW w:w="757" w:type="pct"/>
            <w:noWrap/>
            <w:vAlign w:val="center"/>
          </w:tcPr>
          <w:p w:rsidR="002D3004" w:rsidRDefault="0093795E">
            <w:pPr>
              <w:widowControl/>
              <w:spacing w:line="280" w:lineRule="exact"/>
              <w:jc w:val="left"/>
              <w:textAlignment w:val="center"/>
              <w:rPr>
                <w:rFonts w:ascii="Times New Roman" w:eastAsia="宋体"/>
                <w:color w:val="000000"/>
                <w:sz w:val="21"/>
                <w:szCs w:val="21"/>
              </w:rPr>
            </w:pPr>
            <w:r>
              <w:rPr>
                <w:rFonts w:ascii="Times New Roman" w:eastAsia="宋体"/>
                <w:color w:val="000000"/>
                <w:sz w:val="21"/>
                <w:szCs w:val="21"/>
              </w:rPr>
              <w:t>冠状动脉粥样硬化性心脏病、</w:t>
            </w:r>
          </w:p>
          <w:p w:rsidR="002D3004" w:rsidRDefault="0093795E">
            <w:pPr>
              <w:widowControl/>
              <w:spacing w:line="280" w:lineRule="exact"/>
              <w:jc w:val="left"/>
              <w:textAlignment w:val="center"/>
              <w:rPr>
                <w:rFonts w:ascii="Times New Roman" w:eastAsia="宋体"/>
                <w:bCs/>
                <w:color w:val="000000"/>
                <w:sz w:val="21"/>
                <w:szCs w:val="21"/>
              </w:rPr>
            </w:pPr>
            <w:r>
              <w:rPr>
                <w:rFonts w:ascii="Times New Roman" w:eastAsia="宋体"/>
                <w:color w:val="000000"/>
                <w:sz w:val="21"/>
                <w:szCs w:val="21"/>
              </w:rPr>
              <w:t>脑卒中合并器官功能障碍</w:t>
            </w:r>
          </w:p>
        </w:tc>
      </w:tr>
      <w:tr w:rsidR="002D3004">
        <w:trPr>
          <w:trHeight w:val="332"/>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hint="eastAsia"/>
                <w:bCs/>
                <w:color w:val="000000"/>
                <w:sz w:val="21"/>
                <w:szCs w:val="21"/>
              </w:rPr>
              <w:t>8</w:t>
            </w:r>
          </w:p>
        </w:tc>
        <w:tc>
          <w:tcPr>
            <w:tcW w:w="1013"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color w:val="000000"/>
                <w:sz w:val="21"/>
                <w:szCs w:val="21"/>
              </w:rPr>
              <w:t>艾米</w:t>
            </w:r>
            <w:proofErr w:type="gramStart"/>
            <w:r>
              <w:rPr>
                <w:rFonts w:ascii="Times New Roman" w:eastAsia="宋体"/>
                <w:color w:val="000000"/>
                <w:sz w:val="21"/>
                <w:szCs w:val="21"/>
              </w:rPr>
              <w:t>替诺福韦片</w:t>
            </w:r>
            <w:proofErr w:type="gramEnd"/>
          </w:p>
        </w:tc>
        <w:tc>
          <w:tcPr>
            <w:tcW w:w="50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片剂</w:t>
            </w:r>
          </w:p>
        </w:tc>
        <w:tc>
          <w:tcPr>
            <w:tcW w:w="2340" w:type="pct"/>
            <w:noWrap/>
            <w:vAlign w:val="center"/>
          </w:tcPr>
          <w:p w:rsidR="002D3004" w:rsidRDefault="0093795E">
            <w:pPr>
              <w:widowControl/>
              <w:spacing w:line="240" w:lineRule="exact"/>
              <w:textAlignment w:val="top"/>
              <w:rPr>
                <w:rFonts w:ascii="Times New Roman" w:eastAsia="宋体"/>
                <w:bCs/>
                <w:color w:val="000000"/>
                <w:sz w:val="18"/>
                <w:szCs w:val="21"/>
              </w:rPr>
            </w:pPr>
            <w:r>
              <w:rPr>
                <w:rFonts w:ascii="Times New Roman" w:eastAsia="宋体"/>
                <w:color w:val="000000"/>
                <w:sz w:val="18"/>
                <w:szCs w:val="21"/>
              </w:rPr>
              <w:t>本品适用于慢性乙型肝炎成人患者的治疗。</w:t>
            </w:r>
          </w:p>
        </w:tc>
        <w:tc>
          <w:tcPr>
            <w:tcW w:w="757"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color w:val="000000"/>
                <w:sz w:val="21"/>
                <w:szCs w:val="21"/>
              </w:rPr>
              <w:t>慢性肝炎（中、重度）</w:t>
            </w:r>
          </w:p>
        </w:tc>
      </w:tr>
      <w:tr w:rsidR="002D3004">
        <w:trPr>
          <w:trHeight w:val="2018"/>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hint="eastAsia"/>
                <w:bCs/>
                <w:color w:val="000000"/>
                <w:sz w:val="21"/>
                <w:szCs w:val="21"/>
              </w:rPr>
              <w:t>9</w:t>
            </w:r>
          </w:p>
        </w:tc>
        <w:tc>
          <w:tcPr>
            <w:tcW w:w="1013" w:type="pct"/>
            <w:noWrap/>
            <w:vAlign w:val="center"/>
          </w:tcPr>
          <w:p w:rsidR="002D3004" w:rsidRDefault="0093795E">
            <w:pPr>
              <w:widowControl/>
              <w:spacing w:line="280" w:lineRule="exact"/>
              <w:ind w:left="-57" w:right="-57"/>
              <w:jc w:val="center"/>
              <w:textAlignment w:val="center"/>
              <w:rPr>
                <w:rFonts w:ascii="Times New Roman" w:eastAsia="宋体"/>
                <w:bCs/>
                <w:sz w:val="21"/>
                <w:szCs w:val="21"/>
              </w:rPr>
            </w:pPr>
            <w:r>
              <w:rPr>
                <w:rFonts w:ascii="Times New Roman" w:eastAsia="宋体"/>
                <w:color w:val="0D0D0D"/>
                <w:sz w:val="21"/>
                <w:szCs w:val="21"/>
              </w:rPr>
              <w:t>恩</w:t>
            </w:r>
            <w:proofErr w:type="gramStart"/>
            <w:r>
              <w:rPr>
                <w:rFonts w:ascii="Times New Roman" w:eastAsia="宋体"/>
                <w:color w:val="0D0D0D"/>
                <w:sz w:val="21"/>
                <w:szCs w:val="21"/>
              </w:rPr>
              <w:t>替卡韦</w:t>
            </w:r>
            <w:proofErr w:type="gramEnd"/>
            <w:r>
              <w:rPr>
                <w:rFonts w:ascii="Times New Roman" w:eastAsia="宋体"/>
                <w:color w:val="000000"/>
                <w:sz w:val="21"/>
                <w:szCs w:val="21"/>
              </w:rPr>
              <w:t>口服</w:t>
            </w:r>
            <w:r>
              <w:rPr>
                <w:rFonts w:ascii="Times New Roman" w:eastAsia="宋体"/>
                <w:color w:val="0D0D0D"/>
                <w:sz w:val="21"/>
                <w:szCs w:val="21"/>
              </w:rPr>
              <w:t>溶液</w:t>
            </w:r>
          </w:p>
        </w:tc>
        <w:tc>
          <w:tcPr>
            <w:tcW w:w="503" w:type="pct"/>
            <w:noWrap/>
            <w:vAlign w:val="center"/>
          </w:tcPr>
          <w:p w:rsidR="002D3004" w:rsidRDefault="0093795E">
            <w:pPr>
              <w:widowControl/>
              <w:spacing w:line="280" w:lineRule="exact"/>
              <w:jc w:val="center"/>
              <w:textAlignment w:val="center"/>
              <w:rPr>
                <w:rFonts w:ascii="Times New Roman" w:eastAsia="宋体"/>
                <w:color w:val="0D0D0D"/>
                <w:sz w:val="21"/>
                <w:szCs w:val="21"/>
              </w:rPr>
            </w:pPr>
            <w:r>
              <w:rPr>
                <w:rFonts w:ascii="Times New Roman" w:eastAsia="宋体" w:hint="eastAsia"/>
                <w:color w:val="0D0D0D"/>
                <w:sz w:val="21"/>
                <w:szCs w:val="21"/>
              </w:rPr>
              <w:t>口服溶液剂</w:t>
            </w:r>
          </w:p>
        </w:tc>
        <w:tc>
          <w:tcPr>
            <w:tcW w:w="2340" w:type="pct"/>
            <w:noWrap/>
            <w:vAlign w:val="center"/>
          </w:tcPr>
          <w:p w:rsidR="002D3004" w:rsidRDefault="0093795E">
            <w:pPr>
              <w:widowControl/>
              <w:spacing w:line="240" w:lineRule="exact"/>
              <w:textAlignment w:val="top"/>
              <w:rPr>
                <w:rFonts w:ascii="Times New Roman" w:eastAsia="宋体"/>
                <w:bCs/>
                <w:color w:val="000000"/>
                <w:sz w:val="18"/>
                <w:szCs w:val="21"/>
              </w:rPr>
            </w:pPr>
            <w:r>
              <w:rPr>
                <w:rFonts w:ascii="Times New Roman" w:eastAsia="宋体"/>
                <w:color w:val="000000"/>
                <w:sz w:val="18"/>
                <w:szCs w:val="21"/>
              </w:rPr>
              <w:t>恩</w:t>
            </w:r>
            <w:proofErr w:type="gramStart"/>
            <w:r>
              <w:rPr>
                <w:rFonts w:ascii="Times New Roman" w:eastAsia="宋体"/>
                <w:color w:val="000000"/>
                <w:sz w:val="18"/>
                <w:szCs w:val="21"/>
              </w:rPr>
              <w:t>替卡韦</w:t>
            </w:r>
            <w:proofErr w:type="gramEnd"/>
            <w:r>
              <w:rPr>
                <w:rFonts w:ascii="Times New Roman" w:eastAsia="宋体"/>
                <w:color w:val="000000"/>
                <w:sz w:val="18"/>
                <w:szCs w:val="21"/>
              </w:rPr>
              <w:t>适用于病毒复制活跃，血清丙氨酸氨基转移酶（</w:t>
            </w:r>
            <w:r>
              <w:rPr>
                <w:rFonts w:ascii="Times New Roman" w:eastAsia="宋体"/>
                <w:color w:val="000000"/>
                <w:sz w:val="18"/>
                <w:szCs w:val="21"/>
              </w:rPr>
              <w:t>ALT</w:t>
            </w:r>
            <w:r>
              <w:rPr>
                <w:rFonts w:ascii="Times New Roman" w:eastAsia="宋体"/>
                <w:color w:val="000000"/>
                <w:sz w:val="18"/>
                <w:szCs w:val="21"/>
              </w:rPr>
              <w:t>）持续升高或肝脏组织学显示有活动性病变的慢性成人乙型肝炎的治疗（包括代偿及失代偿期肝病患者）。也适用于治疗</w:t>
            </w:r>
            <w:r>
              <w:rPr>
                <w:rFonts w:ascii="Times New Roman" w:eastAsia="宋体"/>
                <w:color w:val="000000"/>
                <w:sz w:val="18"/>
                <w:szCs w:val="21"/>
              </w:rPr>
              <w:t>2</w:t>
            </w:r>
            <w:r>
              <w:rPr>
                <w:rFonts w:ascii="Times New Roman" w:eastAsia="宋体"/>
                <w:color w:val="000000"/>
                <w:sz w:val="18"/>
                <w:szCs w:val="21"/>
              </w:rPr>
              <w:t>岁至</w:t>
            </w:r>
            <w:r>
              <w:rPr>
                <w:rFonts w:ascii="Times New Roman" w:eastAsia="宋体"/>
                <w:color w:val="000000"/>
                <w:sz w:val="18"/>
                <w:szCs w:val="21"/>
              </w:rPr>
              <w:t>&lt;18</w:t>
            </w:r>
            <w:r>
              <w:rPr>
                <w:rFonts w:ascii="Times New Roman" w:eastAsia="宋体"/>
                <w:color w:val="000000"/>
                <w:sz w:val="18"/>
                <w:szCs w:val="21"/>
              </w:rPr>
              <w:t>岁慢性</w:t>
            </w:r>
            <w:r>
              <w:rPr>
                <w:rFonts w:ascii="Times New Roman" w:eastAsia="宋体"/>
                <w:color w:val="000000"/>
                <w:sz w:val="18"/>
                <w:szCs w:val="21"/>
              </w:rPr>
              <w:t>HBV</w:t>
            </w:r>
            <w:r>
              <w:rPr>
                <w:rFonts w:ascii="Times New Roman" w:eastAsia="宋体"/>
                <w:color w:val="000000"/>
                <w:sz w:val="18"/>
                <w:szCs w:val="21"/>
              </w:rPr>
              <w:t>感染代偿性肝病的核苷初治儿童患者，有病毒复制活跃和血清</w:t>
            </w:r>
            <w:r>
              <w:rPr>
                <w:rFonts w:ascii="Times New Roman" w:eastAsia="宋体"/>
                <w:color w:val="000000"/>
                <w:sz w:val="18"/>
                <w:szCs w:val="21"/>
              </w:rPr>
              <w:t>ALT</w:t>
            </w:r>
            <w:r>
              <w:rPr>
                <w:rFonts w:ascii="Times New Roman" w:eastAsia="宋体"/>
                <w:color w:val="000000"/>
                <w:sz w:val="18"/>
                <w:szCs w:val="21"/>
              </w:rPr>
              <w:t>水平持续升高的证据或中度至重度炎症和</w:t>
            </w:r>
            <w:r>
              <w:rPr>
                <w:rFonts w:ascii="Times New Roman" w:eastAsia="宋体"/>
                <w:color w:val="000000"/>
                <w:sz w:val="18"/>
                <w:szCs w:val="21"/>
              </w:rPr>
              <w:t>/</w:t>
            </w:r>
            <w:r>
              <w:rPr>
                <w:rFonts w:ascii="Times New Roman" w:eastAsia="宋体"/>
                <w:color w:val="000000"/>
                <w:sz w:val="18"/>
                <w:szCs w:val="21"/>
              </w:rPr>
              <w:t>或纤维化的组织学证据。</w:t>
            </w:r>
          </w:p>
        </w:tc>
        <w:tc>
          <w:tcPr>
            <w:tcW w:w="757"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color w:val="000000"/>
                <w:sz w:val="21"/>
                <w:szCs w:val="21"/>
              </w:rPr>
              <w:t>慢性肝炎（中、重度）</w:t>
            </w:r>
          </w:p>
        </w:tc>
      </w:tr>
      <w:tr w:rsidR="002D3004">
        <w:trPr>
          <w:trHeight w:val="989"/>
          <w:jc w:val="center"/>
        </w:trPr>
        <w:tc>
          <w:tcPr>
            <w:tcW w:w="386" w:type="pct"/>
            <w:noWrap/>
            <w:vAlign w:val="center"/>
          </w:tcPr>
          <w:p w:rsidR="002D3004" w:rsidRDefault="0093795E">
            <w:pPr>
              <w:widowControl/>
              <w:spacing w:line="280" w:lineRule="exact"/>
              <w:jc w:val="center"/>
              <w:textAlignment w:val="center"/>
              <w:rPr>
                <w:rFonts w:ascii="Times New Roman" w:eastAsia="宋体"/>
                <w:bCs/>
                <w:sz w:val="21"/>
                <w:szCs w:val="21"/>
              </w:rPr>
            </w:pPr>
            <w:r>
              <w:rPr>
                <w:rFonts w:ascii="Times New Roman" w:eastAsia="宋体"/>
                <w:bCs/>
                <w:color w:val="000000"/>
                <w:sz w:val="21"/>
                <w:szCs w:val="21"/>
              </w:rPr>
              <w:t>1</w:t>
            </w:r>
            <w:r>
              <w:rPr>
                <w:rFonts w:ascii="Times New Roman" w:eastAsia="宋体" w:hint="eastAsia"/>
                <w:bCs/>
                <w:color w:val="000000"/>
                <w:sz w:val="21"/>
                <w:szCs w:val="21"/>
              </w:rPr>
              <w:t>0</w:t>
            </w:r>
          </w:p>
        </w:tc>
        <w:tc>
          <w:tcPr>
            <w:tcW w:w="1013"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color w:val="000000"/>
                <w:sz w:val="21"/>
                <w:szCs w:val="21"/>
              </w:rPr>
              <w:t>环硅酸</w:t>
            </w:r>
            <w:proofErr w:type="gramStart"/>
            <w:r>
              <w:rPr>
                <w:rFonts w:ascii="Times New Roman" w:eastAsia="宋体"/>
                <w:color w:val="000000"/>
                <w:sz w:val="21"/>
                <w:szCs w:val="21"/>
              </w:rPr>
              <w:t>锆钠散</w:t>
            </w:r>
            <w:proofErr w:type="gramEnd"/>
          </w:p>
        </w:tc>
        <w:tc>
          <w:tcPr>
            <w:tcW w:w="50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散剂</w:t>
            </w:r>
          </w:p>
        </w:tc>
        <w:tc>
          <w:tcPr>
            <w:tcW w:w="2340" w:type="pct"/>
            <w:noWrap/>
            <w:vAlign w:val="center"/>
          </w:tcPr>
          <w:p w:rsidR="002D3004" w:rsidRDefault="0093795E">
            <w:pPr>
              <w:widowControl/>
              <w:spacing w:line="240" w:lineRule="exact"/>
              <w:textAlignment w:val="top"/>
              <w:rPr>
                <w:rFonts w:ascii="Times New Roman" w:eastAsia="宋体"/>
                <w:bCs/>
                <w:color w:val="000000"/>
                <w:sz w:val="18"/>
                <w:szCs w:val="21"/>
              </w:rPr>
            </w:pPr>
            <w:r>
              <w:rPr>
                <w:rFonts w:ascii="Times New Roman" w:eastAsia="宋体"/>
                <w:color w:val="000000"/>
                <w:sz w:val="18"/>
                <w:szCs w:val="21"/>
              </w:rPr>
              <w:t>本品适用于治疗成人高钾血症。使用限制：因起效迟缓，本品不应该用于危及生命的高钾血症的紧急治疗。</w:t>
            </w:r>
          </w:p>
        </w:tc>
        <w:tc>
          <w:tcPr>
            <w:tcW w:w="757"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color w:val="000000"/>
                <w:sz w:val="21"/>
                <w:szCs w:val="21"/>
              </w:rPr>
              <w:t>慢性肾炎（中、重度）</w:t>
            </w:r>
          </w:p>
        </w:tc>
      </w:tr>
      <w:tr w:rsidR="002D3004">
        <w:trPr>
          <w:trHeight w:val="525"/>
          <w:jc w:val="center"/>
        </w:trPr>
        <w:tc>
          <w:tcPr>
            <w:tcW w:w="386"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hint="eastAsia"/>
                <w:bCs/>
                <w:color w:val="000000"/>
                <w:sz w:val="21"/>
                <w:szCs w:val="21"/>
              </w:rPr>
              <w:t>11</w:t>
            </w:r>
          </w:p>
        </w:tc>
        <w:tc>
          <w:tcPr>
            <w:tcW w:w="101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color w:val="000000"/>
                <w:sz w:val="21"/>
                <w:szCs w:val="21"/>
              </w:rPr>
              <w:t>阿齐沙坦片</w:t>
            </w:r>
          </w:p>
        </w:tc>
        <w:tc>
          <w:tcPr>
            <w:tcW w:w="50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片剂</w:t>
            </w:r>
          </w:p>
        </w:tc>
        <w:tc>
          <w:tcPr>
            <w:tcW w:w="234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高血压。</w:t>
            </w:r>
          </w:p>
        </w:tc>
        <w:tc>
          <w:tcPr>
            <w:tcW w:w="757"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color w:val="000000"/>
                <w:sz w:val="21"/>
                <w:szCs w:val="21"/>
              </w:rPr>
              <w:t>高血压</w:t>
            </w:r>
          </w:p>
        </w:tc>
      </w:tr>
      <w:tr w:rsidR="002D3004">
        <w:trPr>
          <w:trHeight w:val="525"/>
          <w:jc w:val="center"/>
        </w:trPr>
        <w:tc>
          <w:tcPr>
            <w:tcW w:w="386" w:type="pct"/>
            <w:noWrap/>
            <w:vAlign w:val="center"/>
          </w:tcPr>
          <w:p w:rsidR="002D3004" w:rsidRDefault="0093795E">
            <w:pPr>
              <w:widowControl/>
              <w:spacing w:line="280" w:lineRule="exact"/>
              <w:jc w:val="center"/>
              <w:textAlignment w:val="center"/>
              <w:rPr>
                <w:rFonts w:ascii="Times New Roman" w:eastAsia="宋体"/>
                <w:bCs/>
                <w:color w:val="000000"/>
                <w:sz w:val="21"/>
                <w:szCs w:val="21"/>
              </w:rPr>
            </w:pPr>
            <w:r>
              <w:rPr>
                <w:rFonts w:ascii="Times New Roman" w:eastAsia="宋体" w:hint="eastAsia"/>
                <w:bCs/>
                <w:color w:val="000000"/>
                <w:sz w:val="21"/>
                <w:szCs w:val="21"/>
              </w:rPr>
              <w:t>12</w:t>
            </w:r>
          </w:p>
        </w:tc>
        <w:tc>
          <w:tcPr>
            <w:tcW w:w="101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color w:val="000000"/>
                <w:sz w:val="21"/>
                <w:szCs w:val="21"/>
              </w:rPr>
              <w:t>海博麦布片</w:t>
            </w:r>
          </w:p>
        </w:tc>
        <w:tc>
          <w:tcPr>
            <w:tcW w:w="503" w:type="pct"/>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片剂</w:t>
            </w:r>
          </w:p>
        </w:tc>
        <w:tc>
          <w:tcPr>
            <w:tcW w:w="2340" w:type="pct"/>
            <w:noWrap/>
            <w:vAlign w:val="center"/>
          </w:tcPr>
          <w:p w:rsidR="002D3004" w:rsidRDefault="0093795E">
            <w:pPr>
              <w:widowControl/>
              <w:spacing w:line="240" w:lineRule="exact"/>
              <w:textAlignment w:val="top"/>
              <w:rPr>
                <w:rFonts w:ascii="Times New Roman" w:eastAsia="宋体"/>
                <w:color w:val="000000"/>
                <w:sz w:val="18"/>
                <w:szCs w:val="21"/>
              </w:rPr>
            </w:pPr>
            <w:r>
              <w:rPr>
                <w:rFonts w:ascii="Times New Roman" w:eastAsia="宋体"/>
                <w:color w:val="000000"/>
                <w:sz w:val="18"/>
                <w:szCs w:val="21"/>
              </w:rPr>
              <w:t>本品作为饮食控制以外的辅助治疗，可单独或与</w:t>
            </w:r>
            <w:r>
              <w:rPr>
                <w:rFonts w:ascii="Times New Roman" w:eastAsia="宋体"/>
                <w:color w:val="000000"/>
                <w:sz w:val="18"/>
                <w:szCs w:val="21"/>
              </w:rPr>
              <w:t>HMG-CoA</w:t>
            </w:r>
            <w:r>
              <w:rPr>
                <w:rFonts w:ascii="Times New Roman" w:eastAsia="宋体"/>
                <w:color w:val="000000"/>
                <w:sz w:val="18"/>
                <w:szCs w:val="21"/>
              </w:rPr>
              <w:t>还原酶抑制剂（他</w:t>
            </w:r>
            <w:proofErr w:type="gramStart"/>
            <w:r>
              <w:rPr>
                <w:rFonts w:ascii="Times New Roman" w:eastAsia="宋体"/>
                <w:color w:val="000000"/>
                <w:sz w:val="18"/>
                <w:szCs w:val="21"/>
              </w:rPr>
              <w:t>汀</w:t>
            </w:r>
            <w:proofErr w:type="gramEnd"/>
            <w:r>
              <w:rPr>
                <w:rFonts w:ascii="Times New Roman" w:eastAsia="宋体"/>
                <w:color w:val="000000"/>
                <w:sz w:val="18"/>
                <w:szCs w:val="21"/>
              </w:rPr>
              <w:t>类）联合用于治疗原发性（杂合子家族性或非家族性）高胆固醇血症，可降低总胆固醇（</w:t>
            </w:r>
            <w:r>
              <w:rPr>
                <w:rFonts w:ascii="Times New Roman" w:eastAsia="宋体"/>
                <w:color w:val="000000"/>
                <w:sz w:val="18"/>
                <w:szCs w:val="21"/>
              </w:rPr>
              <w:t>TC</w:t>
            </w:r>
            <w:r>
              <w:rPr>
                <w:rFonts w:ascii="Times New Roman" w:eastAsia="宋体"/>
                <w:color w:val="000000"/>
                <w:sz w:val="18"/>
                <w:szCs w:val="21"/>
              </w:rPr>
              <w:t>）、低密度脂蛋白胆固醇（</w:t>
            </w:r>
            <w:r>
              <w:rPr>
                <w:rFonts w:ascii="Times New Roman" w:eastAsia="宋体"/>
                <w:color w:val="000000"/>
                <w:sz w:val="18"/>
                <w:szCs w:val="21"/>
              </w:rPr>
              <w:t>LDL-C</w:t>
            </w:r>
            <w:r>
              <w:rPr>
                <w:rFonts w:ascii="Times New Roman" w:eastAsia="宋体"/>
                <w:color w:val="000000"/>
                <w:sz w:val="18"/>
                <w:szCs w:val="21"/>
              </w:rPr>
              <w:t>）、载脂蛋白</w:t>
            </w:r>
            <w:r>
              <w:rPr>
                <w:rFonts w:ascii="Times New Roman" w:eastAsia="宋体"/>
                <w:color w:val="000000"/>
                <w:sz w:val="18"/>
                <w:szCs w:val="21"/>
              </w:rPr>
              <w:t>B</w:t>
            </w:r>
            <w:r>
              <w:rPr>
                <w:rFonts w:ascii="Times New Roman" w:eastAsia="宋体"/>
                <w:color w:val="000000"/>
                <w:sz w:val="18"/>
                <w:szCs w:val="21"/>
              </w:rPr>
              <w:t>（</w:t>
            </w:r>
            <w:r>
              <w:rPr>
                <w:rFonts w:ascii="Times New Roman" w:eastAsia="宋体"/>
                <w:color w:val="000000"/>
                <w:sz w:val="18"/>
                <w:szCs w:val="21"/>
              </w:rPr>
              <w:t>Apo B</w:t>
            </w:r>
            <w:r>
              <w:rPr>
                <w:rFonts w:ascii="Times New Roman" w:eastAsia="宋体"/>
                <w:color w:val="000000"/>
                <w:sz w:val="18"/>
                <w:szCs w:val="21"/>
              </w:rPr>
              <w:t>）水平。</w:t>
            </w:r>
          </w:p>
        </w:tc>
        <w:tc>
          <w:tcPr>
            <w:tcW w:w="757" w:type="pct"/>
            <w:noWrap/>
            <w:vAlign w:val="center"/>
          </w:tcPr>
          <w:p w:rsidR="002D3004" w:rsidRDefault="0093795E">
            <w:pPr>
              <w:widowControl/>
              <w:spacing w:line="280" w:lineRule="exact"/>
              <w:jc w:val="left"/>
              <w:textAlignment w:val="center"/>
              <w:rPr>
                <w:rFonts w:ascii="Times New Roman" w:eastAsia="宋体"/>
                <w:color w:val="000000"/>
                <w:sz w:val="21"/>
                <w:szCs w:val="21"/>
              </w:rPr>
            </w:pPr>
            <w:r>
              <w:rPr>
                <w:rFonts w:ascii="Times New Roman" w:eastAsia="宋体"/>
                <w:color w:val="000000"/>
                <w:sz w:val="21"/>
                <w:szCs w:val="21"/>
              </w:rPr>
              <w:t>冠状动脉粥样硬化性心脏病</w:t>
            </w:r>
          </w:p>
        </w:tc>
      </w:tr>
    </w:tbl>
    <w:p w:rsidR="002D3004" w:rsidRDefault="002D3004">
      <w:pPr>
        <w:spacing w:line="570" w:lineRule="exact"/>
        <w:rPr>
          <w:rFonts w:hAnsi="宋体"/>
        </w:rPr>
      </w:pPr>
    </w:p>
    <w:p w:rsidR="002D3004" w:rsidRDefault="0093795E">
      <w:pPr>
        <w:overflowPunct w:val="0"/>
        <w:autoSpaceDE w:val="0"/>
        <w:autoSpaceDN w:val="0"/>
        <w:adjustRightInd w:val="0"/>
        <w:snapToGrid w:val="0"/>
        <w:spacing w:line="570" w:lineRule="exact"/>
        <w:rPr>
          <w:rFonts w:ascii="Times New Roman" w:eastAsia="黑体"/>
        </w:rPr>
      </w:pPr>
      <w:r>
        <w:rPr>
          <w:rFonts w:hAnsi="宋体"/>
        </w:rPr>
        <w:br w:type="page"/>
      </w:r>
      <w:r>
        <w:rPr>
          <w:rFonts w:ascii="Times New Roman" w:eastAsia="黑体" w:hAnsi="黑体"/>
        </w:rPr>
        <w:lastRenderedPageBreak/>
        <w:t>附件</w:t>
      </w:r>
      <w:r>
        <w:rPr>
          <w:rFonts w:ascii="Times New Roman" w:eastAsia="黑体" w:hint="eastAsia"/>
        </w:rPr>
        <w:t>4</w:t>
      </w:r>
    </w:p>
    <w:p w:rsidR="002D3004" w:rsidRDefault="0093795E">
      <w:pPr>
        <w:overflowPunct w:val="0"/>
        <w:autoSpaceDE w:val="0"/>
        <w:autoSpaceDN w:val="0"/>
        <w:adjustRightInd w:val="0"/>
        <w:snapToGrid w:val="0"/>
        <w:spacing w:before="120" w:line="56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新增基本医疗保险特定病待遇</w:t>
      </w:r>
    </w:p>
    <w:p w:rsidR="002D3004" w:rsidRDefault="0093795E">
      <w:pPr>
        <w:overflowPunct w:val="0"/>
        <w:autoSpaceDE w:val="0"/>
        <w:autoSpaceDN w:val="0"/>
        <w:adjustRightInd w:val="0"/>
        <w:snapToGrid w:val="0"/>
        <w:spacing w:before="120" w:after="360" w:line="56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（不含特定病药品）药品管理范围</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11"/>
        <w:gridCol w:w="685"/>
        <w:gridCol w:w="2361"/>
        <w:gridCol w:w="3754"/>
        <w:gridCol w:w="1649"/>
      </w:tblGrid>
      <w:tr w:rsidR="002D3004">
        <w:trPr>
          <w:trHeight w:val="870"/>
          <w:jc w:val="center"/>
        </w:trPr>
        <w:tc>
          <w:tcPr>
            <w:tcW w:w="337" w:type="pct"/>
            <w:noWrap/>
            <w:vAlign w:val="center"/>
          </w:tcPr>
          <w:p w:rsidR="002D3004" w:rsidRDefault="0093795E">
            <w:pPr>
              <w:widowControl/>
              <w:adjustRightInd w:val="0"/>
              <w:snapToGrid w:val="0"/>
              <w:spacing w:line="290" w:lineRule="exact"/>
              <w:jc w:val="center"/>
              <w:rPr>
                <w:rFonts w:ascii="Times New Roman" w:eastAsia="黑体"/>
                <w:color w:val="000000"/>
                <w:sz w:val="21"/>
                <w:szCs w:val="21"/>
              </w:rPr>
            </w:pPr>
            <w:r>
              <w:rPr>
                <w:rFonts w:ascii="Times New Roman" w:eastAsia="黑体"/>
                <w:color w:val="000000"/>
                <w:sz w:val="21"/>
                <w:szCs w:val="21"/>
              </w:rPr>
              <w:t>序号</w:t>
            </w:r>
          </w:p>
        </w:tc>
        <w:tc>
          <w:tcPr>
            <w:tcW w:w="378" w:type="pct"/>
            <w:noWrap/>
            <w:vAlign w:val="center"/>
          </w:tcPr>
          <w:p w:rsidR="002D3004" w:rsidRDefault="0093795E">
            <w:pPr>
              <w:widowControl/>
              <w:adjustRightInd w:val="0"/>
              <w:snapToGrid w:val="0"/>
              <w:spacing w:line="290" w:lineRule="exact"/>
              <w:jc w:val="center"/>
              <w:rPr>
                <w:rFonts w:ascii="Times New Roman" w:eastAsia="黑体"/>
                <w:color w:val="000000"/>
                <w:sz w:val="21"/>
                <w:szCs w:val="21"/>
              </w:rPr>
            </w:pPr>
            <w:r>
              <w:rPr>
                <w:rFonts w:ascii="Times New Roman" w:eastAsia="黑体"/>
                <w:color w:val="000000"/>
                <w:sz w:val="21"/>
                <w:szCs w:val="21"/>
              </w:rPr>
              <w:t>支付</w:t>
            </w:r>
          </w:p>
          <w:p w:rsidR="002D3004" w:rsidRDefault="0093795E">
            <w:pPr>
              <w:widowControl/>
              <w:adjustRightInd w:val="0"/>
              <w:snapToGrid w:val="0"/>
              <w:spacing w:line="290" w:lineRule="exact"/>
              <w:jc w:val="center"/>
              <w:rPr>
                <w:rFonts w:ascii="Times New Roman" w:eastAsia="黑体"/>
                <w:color w:val="000000"/>
                <w:sz w:val="21"/>
                <w:szCs w:val="21"/>
              </w:rPr>
            </w:pPr>
            <w:r>
              <w:rPr>
                <w:rFonts w:ascii="Times New Roman" w:eastAsia="黑体"/>
                <w:color w:val="000000"/>
                <w:sz w:val="21"/>
                <w:szCs w:val="21"/>
              </w:rPr>
              <w:t>类别</w:t>
            </w:r>
          </w:p>
        </w:tc>
        <w:tc>
          <w:tcPr>
            <w:tcW w:w="1302" w:type="pct"/>
            <w:noWrap/>
            <w:vAlign w:val="center"/>
          </w:tcPr>
          <w:p w:rsidR="002D3004" w:rsidRDefault="0093795E">
            <w:pPr>
              <w:widowControl/>
              <w:adjustRightInd w:val="0"/>
              <w:snapToGrid w:val="0"/>
              <w:spacing w:line="290" w:lineRule="exact"/>
              <w:jc w:val="center"/>
              <w:rPr>
                <w:rFonts w:ascii="Times New Roman" w:eastAsia="黑体"/>
                <w:color w:val="000000"/>
                <w:sz w:val="21"/>
                <w:szCs w:val="21"/>
              </w:rPr>
            </w:pPr>
            <w:r>
              <w:rPr>
                <w:rFonts w:ascii="Times New Roman" w:eastAsia="黑体"/>
                <w:color w:val="000000"/>
                <w:sz w:val="21"/>
                <w:szCs w:val="21"/>
              </w:rPr>
              <w:t>药品名称</w:t>
            </w:r>
          </w:p>
        </w:tc>
        <w:tc>
          <w:tcPr>
            <w:tcW w:w="2071" w:type="pct"/>
            <w:noWrap/>
            <w:vAlign w:val="center"/>
          </w:tcPr>
          <w:p w:rsidR="002D3004" w:rsidRDefault="0093795E">
            <w:pPr>
              <w:widowControl/>
              <w:adjustRightInd w:val="0"/>
              <w:snapToGrid w:val="0"/>
              <w:spacing w:line="290" w:lineRule="exact"/>
              <w:jc w:val="center"/>
              <w:rPr>
                <w:rFonts w:ascii="Times New Roman" w:eastAsia="黑体"/>
                <w:color w:val="000000"/>
                <w:sz w:val="21"/>
                <w:szCs w:val="21"/>
              </w:rPr>
            </w:pPr>
            <w:r>
              <w:rPr>
                <w:rFonts w:ascii="Times New Roman" w:eastAsia="黑体"/>
                <w:color w:val="000000"/>
                <w:sz w:val="21"/>
                <w:szCs w:val="21"/>
              </w:rPr>
              <w:t>备注</w:t>
            </w:r>
          </w:p>
        </w:tc>
        <w:tc>
          <w:tcPr>
            <w:tcW w:w="910" w:type="pct"/>
            <w:noWrap/>
            <w:vAlign w:val="center"/>
          </w:tcPr>
          <w:p w:rsidR="002D3004" w:rsidRDefault="0093795E">
            <w:pPr>
              <w:widowControl/>
              <w:adjustRightInd w:val="0"/>
              <w:snapToGrid w:val="0"/>
              <w:spacing w:line="290" w:lineRule="exact"/>
              <w:jc w:val="center"/>
              <w:rPr>
                <w:rFonts w:ascii="Times New Roman" w:eastAsia="黑体"/>
                <w:color w:val="000000"/>
                <w:sz w:val="21"/>
                <w:szCs w:val="21"/>
              </w:rPr>
            </w:pPr>
            <w:r>
              <w:rPr>
                <w:rFonts w:ascii="Times New Roman" w:eastAsia="黑体" w:hint="eastAsia"/>
                <w:color w:val="000000"/>
                <w:sz w:val="21"/>
                <w:szCs w:val="21"/>
              </w:rPr>
              <w:t>特定</w:t>
            </w:r>
            <w:proofErr w:type="gramStart"/>
            <w:r>
              <w:rPr>
                <w:rFonts w:ascii="Times New Roman" w:eastAsia="黑体" w:hint="eastAsia"/>
                <w:color w:val="000000"/>
                <w:sz w:val="21"/>
                <w:szCs w:val="21"/>
              </w:rPr>
              <w:t>病</w:t>
            </w:r>
            <w:r>
              <w:rPr>
                <w:rFonts w:ascii="Times New Roman" w:eastAsia="黑体"/>
                <w:color w:val="000000"/>
                <w:sz w:val="21"/>
                <w:szCs w:val="21"/>
              </w:rPr>
              <w:t>标志</w:t>
            </w:r>
            <w:proofErr w:type="gramEnd"/>
          </w:p>
        </w:tc>
      </w:tr>
      <w:tr w:rsidR="002D3004">
        <w:trPr>
          <w:trHeight w:val="934"/>
          <w:jc w:val="center"/>
        </w:trPr>
        <w:tc>
          <w:tcPr>
            <w:tcW w:w="337" w:type="pct"/>
            <w:noWrap/>
            <w:vAlign w:val="center"/>
          </w:tcPr>
          <w:p w:rsidR="002D3004" w:rsidRDefault="0093795E">
            <w:pPr>
              <w:widowControl/>
              <w:spacing w:line="290" w:lineRule="exact"/>
              <w:jc w:val="center"/>
              <w:textAlignment w:val="center"/>
              <w:rPr>
                <w:rFonts w:ascii="Times New Roman" w:eastAsia="宋体"/>
                <w:bCs/>
                <w:color w:val="000000"/>
                <w:sz w:val="21"/>
                <w:szCs w:val="21"/>
              </w:rPr>
            </w:pPr>
            <w:r>
              <w:rPr>
                <w:rFonts w:ascii="Times New Roman" w:eastAsia="宋体"/>
                <w:bCs/>
                <w:color w:val="000000"/>
                <w:sz w:val="21"/>
                <w:szCs w:val="21"/>
              </w:rPr>
              <w:t>1</w:t>
            </w:r>
          </w:p>
        </w:tc>
        <w:tc>
          <w:tcPr>
            <w:tcW w:w="378" w:type="pct"/>
            <w:noWrap/>
            <w:vAlign w:val="center"/>
          </w:tcPr>
          <w:p w:rsidR="002D3004" w:rsidRDefault="0093795E">
            <w:pPr>
              <w:widowControl/>
              <w:spacing w:line="29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1302" w:type="pct"/>
            <w:noWrap/>
            <w:vAlign w:val="center"/>
          </w:tcPr>
          <w:p w:rsidR="002D3004" w:rsidRDefault="0093795E">
            <w:pPr>
              <w:widowControl/>
              <w:spacing w:line="29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苯达莫司汀</w:t>
            </w:r>
          </w:p>
        </w:tc>
        <w:tc>
          <w:tcPr>
            <w:tcW w:w="2071" w:type="pct"/>
            <w:noWrap/>
            <w:vAlign w:val="center"/>
          </w:tcPr>
          <w:p w:rsidR="002D3004" w:rsidRDefault="002D3004">
            <w:pPr>
              <w:widowControl/>
              <w:spacing w:line="290" w:lineRule="exact"/>
              <w:jc w:val="left"/>
              <w:rPr>
                <w:rFonts w:ascii="Times New Roman" w:eastAsia="宋体"/>
                <w:bCs/>
                <w:color w:val="000000"/>
                <w:sz w:val="21"/>
                <w:szCs w:val="21"/>
              </w:rPr>
            </w:pPr>
          </w:p>
        </w:tc>
        <w:tc>
          <w:tcPr>
            <w:tcW w:w="910" w:type="pct"/>
            <w:noWrap/>
            <w:vAlign w:val="center"/>
          </w:tcPr>
          <w:p w:rsidR="002D3004" w:rsidRDefault="0093795E">
            <w:pPr>
              <w:widowControl/>
              <w:spacing w:line="290" w:lineRule="exact"/>
              <w:jc w:val="center"/>
              <w:textAlignment w:val="top"/>
              <w:rPr>
                <w:rFonts w:ascii="Times New Roman" w:eastAsia="宋体"/>
                <w:bCs/>
                <w:color w:val="000000"/>
                <w:sz w:val="21"/>
                <w:szCs w:val="21"/>
              </w:rPr>
            </w:pPr>
            <w:r>
              <w:rPr>
                <w:rFonts w:ascii="Times New Roman" w:eastAsia="宋体"/>
                <w:bCs/>
                <w:color w:val="000000"/>
                <w:sz w:val="21"/>
                <w:szCs w:val="21"/>
              </w:rPr>
              <w:t>恶性肿瘤</w:t>
            </w:r>
          </w:p>
        </w:tc>
      </w:tr>
      <w:tr w:rsidR="002D3004">
        <w:trPr>
          <w:trHeight w:val="1440"/>
          <w:jc w:val="center"/>
        </w:trPr>
        <w:tc>
          <w:tcPr>
            <w:tcW w:w="337" w:type="pct"/>
            <w:noWrap/>
            <w:vAlign w:val="center"/>
          </w:tcPr>
          <w:p w:rsidR="002D3004" w:rsidRDefault="0093795E">
            <w:pPr>
              <w:widowControl/>
              <w:spacing w:line="290" w:lineRule="exact"/>
              <w:jc w:val="center"/>
              <w:textAlignment w:val="center"/>
              <w:rPr>
                <w:rFonts w:ascii="Times New Roman" w:eastAsia="宋体"/>
                <w:bCs/>
                <w:color w:val="000000"/>
                <w:sz w:val="21"/>
                <w:szCs w:val="21"/>
              </w:rPr>
            </w:pPr>
            <w:r>
              <w:rPr>
                <w:rFonts w:ascii="Times New Roman" w:eastAsia="宋体" w:hint="eastAsia"/>
                <w:bCs/>
                <w:color w:val="000000"/>
                <w:sz w:val="21"/>
                <w:szCs w:val="21"/>
              </w:rPr>
              <w:t>2</w:t>
            </w:r>
          </w:p>
        </w:tc>
        <w:tc>
          <w:tcPr>
            <w:tcW w:w="378" w:type="pct"/>
            <w:noWrap/>
            <w:vAlign w:val="center"/>
          </w:tcPr>
          <w:p w:rsidR="002D3004" w:rsidRDefault="0093795E">
            <w:pPr>
              <w:widowControl/>
              <w:spacing w:line="290" w:lineRule="exact"/>
              <w:jc w:val="center"/>
              <w:textAlignment w:val="center"/>
              <w:rPr>
                <w:rFonts w:ascii="Times New Roman" w:eastAsia="宋体"/>
                <w:bCs/>
                <w:color w:val="000000"/>
                <w:sz w:val="21"/>
                <w:szCs w:val="21"/>
              </w:rPr>
            </w:pPr>
            <w:r>
              <w:rPr>
                <w:rFonts w:ascii="Times New Roman" w:eastAsia="宋体" w:hAnsi="宋体"/>
                <w:bCs/>
                <w:color w:val="000000"/>
                <w:sz w:val="21"/>
                <w:szCs w:val="21"/>
              </w:rPr>
              <w:t>乙类</w:t>
            </w:r>
          </w:p>
        </w:tc>
        <w:tc>
          <w:tcPr>
            <w:tcW w:w="1302" w:type="pct"/>
            <w:noWrap/>
            <w:vAlign w:val="center"/>
          </w:tcPr>
          <w:p w:rsidR="002D3004" w:rsidRDefault="0093795E">
            <w:pPr>
              <w:widowControl/>
              <w:spacing w:line="290" w:lineRule="exact"/>
              <w:jc w:val="left"/>
              <w:textAlignment w:val="center"/>
              <w:rPr>
                <w:rFonts w:ascii="Times New Roman" w:eastAsia="宋体"/>
                <w:bCs/>
                <w:color w:val="000000"/>
                <w:sz w:val="21"/>
                <w:szCs w:val="21"/>
              </w:rPr>
            </w:pPr>
            <w:r>
              <w:rPr>
                <w:rFonts w:ascii="Times New Roman" w:eastAsia="宋体" w:hAnsi="宋体"/>
                <w:color w:val="0D0D0D"/>
                <w:sz w:val="21"/>
                <w:szCs w:val="21"/>
              </w:rPr>
              <w:t>注射用</w:t>
            </w:r>
            <w:proofErr w:type="gramStart"/>
            <w:r>
              <w:rPr>
                <w:rFonts w:ascii="Times New Roman" w:eastAsia="宋体" w:hAnsi="宋体"/>
                <w:color w:val="0D0D0D"/>
                <w:sz w:val="21"/>
                <w:szCs w:val="21"/>
              </w:rPr>
              <w:t>利培酮</w:t>
            </w:r>
            <w:proofErr w:type="gramEnd"/>
            <w:r>
              <w:rPr>
                <w:rFonts w:ascii="Times New Roman" w:eastAsia="宋体" w:hAnsi="宋体"/>
                <w:color w:val="0D0D0D"/>
                <w:sz w:val="21"/>
                <w:szCs w:val="21"/>
              </w:rPr>
              <w:t>微球（</w:t>
            </w:r>
            <w:r>
              <w:rPr>
                <w:rFonts w:ascii="Times New Roman" w:eastAsia="宋体"/>
                <w:color w:val="0D0D0D"/>
                <w:sz w:val="21"/>
                <w:szCs w:val="21"/>
              </w:rPr>
              <w:t>II</w:t>
            </w:r>
            <w:r>
              <w:rPr>
                <w:rFonts w:ascii="Times New Roman" w:eastAsia="宋体" w:hAnsi="宋体"/>
                <w:color w:val="0D0D0D"/>
                <w:sz w:val="21"/>
                <w:szCs w:val="21"/>
              </w:rPr>
              <w:t>）</w:t>
            </w:r>
          </w:p>
        </w:tc>
        <w:tc>
          <w:tcPr>
            <w:tcW w:w="2071" w:type="pct"/>
            <w:noWrap/>
          </w:tcPr>
          <w:p w:rsidR="002D3004" w:rsidRDefault="0093795E">
            <w:pPr>
              <w:widowControl/>
              <w:spacing w:line="290" w:lineRule="exact"/>
              <w:textAlignment w:val="top"/>
              <w:rPr>
                <w:rFonts w:ascii="Times New Roman" w:eastAsia="宋体"/>
                <w:bCs/>
                <w:color w:val="000000"/>
                <w:sz w:val="21"/>
                <w:szCs w:val="21"/>
              </w:rPr>
            </w:pPr>
            <w:r>
              <w:rPr>
                <w:rFonts w:ascii="Times New Roman" w:eastAsia="宋体" w:hAnsi="宋体"/>
                <w:color w:val="000000"/>
                <w:sz w:val="21"/>
                <w:szCs w:val="21"/>
              </w:rPr>
              <w:t>用于治疗急性和慢性精神分裂症以及其它各种精神病性状态的明显的阳性症状和明显的阴性症状。可减轻与精神分裂症有关的情感症状。</w:t>
            </w:r>
          </w:p>
        </w:tc>
        <w:tc>
          <w:tcPr>
            <w:tcW w:w="910" w:type="pct"/>
            <w:noWrap/>
            <w:vAlign w:val="center"/>
          </w:tcPr>
          <w:p w:rsidR="002D3004" w:rsidRDefault="0093795E">
            <w:pPr>
              <w:widowControl/>
              <w:spacing w:line="290" w:lineRule="exact"/>
              <w:textAlignment w:val="top"/>
              <w:rPr>
                <w:rFonts w:ascii="Times New Roman" w:eastAsia="宋体"/>
                <w:bCs/>
                <w:color w:val="000000"/>
                <w:sz w:val="21"/>
                <w:szCs w:val="21"/>
              </w:rPr>
            </w:pPr>
            <w:r>
              <w:rPr>
                <w:rFonts w:ascii="Times New Roman" w:eastAsia="宋体"/>
                <w:bCs/>
                <w:color w:val="000000"/>
                <w:sz w:val="21"/>
                <w:szCs w:val="21"/>
              </w:rPr>
              <w:t>重症精神病以及癫痫伴发精神障碍</w:t>
            </w:r>
          </w:p>
        </w:tc>
      </w:tr>
    </w:tbl>
    <w:p w:rsidR="002D3004" w:rsidRDefault="0093795E">
      <w:pPr>
        <w:widowControl/>
        <w:jc w:val="left"/>
        <w:rPr>
          <w:rFonts w:ascii="Times New Roman" w:eastAsia="方正仿宋_GBK"/>
          <w:bCs/>
        </w:rPr>
      </w:pPr>
      <w:r>
        <w:rPr>
          <w:rFonts w:ascii="Times New Roman" w:eastAsia="方正仿宋_GBK"/>
          <w:bCs/>
        </w:rPr>
        <w:br w:type="page"/>
      </w:r>
    </w:p>
    <w:p w:rsidR="002D3004" w:rsidRDefault="002D3004">
      <w:pPr>
        <w:spacing w:line="560" w:lineRule="exact"/>
        <w:rPr>
          <w:rFonts w:ascii="Times New Roman" w:eastAsia="黑体" w:hAnsi="黑体"/>
        </w:rPr>
        <w:sectPr w:rsidR="002D3004">
          <w:pgSz w:w="11906" w:h="16838"/>
          <w:pgMar w:top="2098" w:right="1531" w:bottom="1985" w:left="1531" w:header="709" w:footer="1361" w:gutter="0"/>
          <w:cols w:space="720"/>
          <w:docGrid w:type="lines" w:linePitch="579" w:charSpace="-849"/>
        </w:sectPr>
      </w:pPr>
    </w:p>
    <w:p w:rsidR="002D3004" w:rsidRDefault="0093795E">
      <w:pPr>
        <w:rPr>
          <w:rFonts w:ascii="方正仿宋_GBK" w:eastAsia="方正仿宋_GBK"/>
        </w:rPr>
      </w:pPr>
      <w:r>
        <w:rPr>
          <w:rFonts w:ascii="Times New Roman" w:eastAsia="黑体" w:hAnsi="黑体" w:hint="eastAsia"/>
        </w:rPr>
        <w:lastRenderedPageBreak/>
        <w:t>附件</w:t>
      </w:r>
      <w:r>
        <w:rPr>
          <w:rFonts w:ascii="Times New Roman" w:eastAsia="黑体" w:hAnsi="黑体" w:hint="eastAsia"/>
        </w:rPr>
        <w:t>5</w:t>
      </w:r>
    </w:p>
    <w:p w:rsidR="002D3004" w:rsidRDefault="0093795E">
      <w:pPr>
        <w:overflowPunct w:val="0"/>
        <w:autoSpaceDE w:val="0"/>
        <w:autoSpaceDN w:val="0"/>
        <w:adjustRightInd w:val="0"/>
        <w:snapToGrid w:val="0"/>
        <w:spacing w:before="120"/>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三级公立定点医疗</w:t>
      </w:r>
      <w:proofErr w:type="gramStart"/>
      <w:r>
        <w:rPr>
          <w:rFonts w:ascii="方正小标宋简体" w:eastAsia="方正小标宋简体" w:hAnsi="宋体" w:hint="eastAsia"/>
          <w:color w:val="000000"/>
          <w:sz w:val="44"/>
          <w:szCs w:val="44"/>
        </w:rPr>
        <w:t>机构国谈药</w:t>
      </w:r>
      <w:proofErr w:type="gramEnd"/>
      <w:r>
        <w:rPr>
          <w:rFonts w:ascii="方正小标宋简体" w:eastAsia="方正小标宋简体" w:hAnsi="宋体" w:hint="eastAsia"/>
          <w:color w:val="000000"/>
          <w:sz w:val="44"/>
          <w:szCs w:val="44"/>
        </w:rPr>
        <w:t>采购情况统计表</w:t>
      </w:r>
    </w:p>
    <w:p w:rsidR="002D3004" w:rsidRDefault="0093795E">
      <w:pPr>
        <w:spacing w:line="640" w:lineRule="exact"/>
        <w:rPr>
          <w:rFonts w:ascii="方正楷体_GBK" w:eastAsia="方正楷体_GBK"/>
        </w:rPr>
      </w:pPr>
      <w:r>
        <w:rPr>
          <w:rFonts w:ascii="方正楷体_GBK" w:eastAsia="方正楷体_GBK" w:hAnsi="宋体" w:cs="宋体" w:hint="eastAsia"/>
          <w:color w:val="000000"/>
        </w:rPr>
        <w:t>填报单位：</w:t>
      </w:r>
      <w:r>
        <w:rPr>
          <w:rFonts w:ascii="方正楷体_GBK" w:eastAsia="方正楷体_GBK" w:hAnsi="宋体" w:cs="宋体" w:hint="eastAsia"/>
          <w:color w:val="000000"/>
        </w:rPr>
        <w:t xml:space="preserve">                       </w:t>
      </w:r>
      <w:r>
        <w:rPr>
          <w:rFonts w:ascii="方正楷体_GBK" w:eastAsia="方正楷体_GBK" w:hAnsi="宋体" w:cs="宋体" w:hint="eastAsia"/>
          <w:color w:val="000000"/>
        </w:rPr>
        <w:t>统计月份：</w:t>
      </w:r>
      <w:r>
        <w:rPr>
          <w:rFonts w:ascii="方正楷体_GBK" w:eastAsia="方正楷体_GBK" w:hAnsi="宋体" w:cs="宋体" w:hint="eastAsia"/>
          <w:color w:val="000000"/>
        </w:rPr>
        <w:t>2022</w:t>
      </w:r>
      <w:r>
        <w:rPr>
          <w:rFonts w:ascii="方正楷体_GBK" w:eastAsia="方正楷体_GBK" w:hAnsi="宋体" w:cs="宋体" w:hint="eastAsia"/>
          <w:color w:val="000000"/>
        </w:rPr>
        <w:t>年</w:t>
      </w:r>
      <w:r>
        <w:rPr>
          <w:rFonts w:ascii="方正楷体_GBK" w:eastAsia="方正楷体_GBK" w:hAnsi="宋体" w:cs="宋体" w:hint="eastAsia"/>
          <w:color w:val="000000"/>
        </w:rPr>
        <w:t xml:space="preserve"> </w:t>
      </w:r>
      <w:r>
        <w:rPr>
          <w:rFonts w:ascii="方正楷体_GBK" w:eastAsia="方正楷体_GBK" w:hAnsi="宋体" w:cs="宋体" w:hint="eastAsia"/>
          <w:color w:val="000000"/>
        </w:rPr>
        <w:t>月</w:t>
      </w:r>
    </w:p>
    <w:tbl>
      <w:tblPr>
        <w:tblpPr w:leftFromText="180" w:rightFromText="180" w:vertAnchor="text" w:horzAnchor="page" w:tblpX="1480" w:tblpY="124"/>
        <w:tblOverlap w:val="never"/>
        <w:tblW w:w="4875"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94"/>
        <w:gridCol w:w="1304"/>
        <w:gridCol w:w="2385"/>
        <w:gridCol w:w="2505"/>
        <w:gridCol w:w="1846"/>
      </w:tblGrid>
      <w:tr w:rsidR="002D3004">
        <w:trPr>
          <w:trHeight w:hRule="exact" w:val="1335"/>
        </w:trPr>
        <w:tc>
          <w:tcPr>
            <w:tcW w:w="4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4"/>
                <w:szCs w:val="24"/>
              </w:rPr>
            </w:pPr>
            <w:r>
              <w:rPr>
                <w:rFonts w:ascii="方正黑体_GBK" w:eastAsia="方正黑体_GBK" w:hAnsi="等线" w:cs="宋体" w:hint="eastAsia"/>
                <w:sz w:val="24"/>
                <w:szCs w:val="24"/>
              </w:rPr>
              <w:t>序号</w:t>
            </w:r>
          </w:p>
        </w:tc>
        <w:tc>
          <w:tcPr>
            <w:tcW w:w="738" w:type="pct"/>
            <w:shd w:val="clear" w:color="auto" w:fill="auto"/>
            <w:noWrap/>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医疗机构名称</w:t>
            </w:r>
          </w:p>
        </w:tc>
        <w:tc>
          <w:tcPr>
            <w:tcW w:w="1349" w:type="pct"/>
            <w:shd w:val="clear" w:color="auto" w:fill="auto"/>
            <w:noWrap/>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是否</w:t>
            </w:r>
            <w:proofErr w:type="gramStart"/>
            <w:r>
              <w:rPr>
                <w:rFonts w:ascii="方正黑体_GBK" w:eastAsia="方正黑体_GBK" w:hAnsi="等线" w:cs="宋体" w:hint="eastAsia"/>
                <w:sz w:val="24"/>
                <w:szCs w:val="24"/>
              </w:rPr>
              <w:t>召开国谈药</w:t>
            </w:r>
            <w:proofErr w:type="gramEnd"/>
            <w:r>
              <w:rPr>
                <w:rFonts w:ascii="方正黑体_GBK" w:eastAsia="方正黑体_GBK" w:hAnsi="等线" w:cs="宋体" w:hint="eastAsia"/>
                <w:sz w:val="24"/>
                <w:szCs w:val="24"/>
              </w:rPr>
              <w:t>进医院专题药事委员会</w:t>
            </w:r>
          </w:p>
          <w:p w:rsidR="002D3004" w:rsidRDefault="0093795E">
            <w:pPr>
              <w:widowControl/>
              <w:spacing w:line="360" w:lineRule="exact"/>
              <w:jc w:val="center"/>
              <w:rPr>
                <w:rFonts w:ascii="宋体" w:eastAsia="宋体" w:hAnsi="宋体" w:cs="宋体"/>
                <w:color w:val="000000"/>
                <w:sz w:val="24"/>
                <w:szCs w:val="24"/>
              </w:rPr>
            </w:pPr>
            <w:r>
              <w:rPr>
                <w:rFonts w:ascii="方正黑体_GBK" w:eastAsia="方正黑体_GBK" w:hAnsi="等线" w:cs="宋体" w:hint="eastAsia"/>
                <w:sz w:val="24"/>
                <w:szCs w:val="24"/>
              </w:rPr>
              <w:t>（召开时间）</w:t>
            </w:r>
          </w:p>
        </w:tc>
        <w:tc>
          <w:tcPr>
            <w:tcW w:w="1417" w:type="pct"/>
            <w:shd w:val="clear" w:color="auto" w:fill="auto"/>
            <w:noWrap/>
            <w:vAlign w:val="center"/>
          </w:tcPr>
          <w:p w:rsidR="002D3004" w:rsidRDefault="0093795E">
            <w:pPr>
              <w:widowControl/>
              <w:spacing w:line="360" w:lineRule="exact"/>
              <w:jc w:val="center"/>
              <w:rPr>
                <w:rFonts w:ascii="方正黑体_GBK" w:eastAsia="方正黑体_GBK" w:hAnsi="等线" w:cs="宋体"/>
                <w:color w:val="000000"/>
                <w:sz w:val="24"/>
                <w:szCs w:val="24"/>
              </w:rPr>
            </w:pPr>
            <w:r>
              <w:rPr>
                <w:rFonts w:ascii="方正黑体_GBK" w:eastAsia="方正黑体_GBK" w:hAnsi="等线" w:cs="宋体" w:hint="eastAsia"/>
                <w:color w:val="000000"/>
                <w:sz w:val="24"/>
                <w:szCs w:val="24"/>
              </w:rPr>
              <w:t>纳入医院基本用药</w:t>
            </w:r>
          </w:p>
          <w:p w:rsidR="002D3004" w:rsidRDefault="0093795E">
            <w:pPr>
              <w:widowControl/>
              <w:spacing w:line="360" w:lineRule="exact"/>
              <w:jc w:val="center"/>
              <w:rPr>
                <w:rFonts w:ascii="宋体" w:eastAsia="宋体" w:hAnsi="宋体" w:cs="宋体"/>
                <w:color w:val="000000"/>
                <w:sz w:val="24"/>
                <w:szCs w:val="24"/>
              </w:rPr>
            </w:pPr>
            <w:r>
              <w:rPr>
                <w:rFonts w:ascii="方正黑体_GBK" w:eastAsia="方正黑体_GBK" w:hAnsi="等线" w:cs="宋体" w:hint="eastAsia"/>
                <w:color w:val="000000"/>
                <w:sz w:val="24"/>
                <w:szCs w:val="24"/>
              </w:rPr>
              <w:t>供应目录数量及品种</w:t>
            </w:r>
            <w:r>
              <w:rPr>
                <w:rFonts w:ascii="宋体" w:eastAsia="宋体" w:hAnsi="宋体" w:cs="宋体" w:hint="eastAsia"/>
                <w:color w:val="000000"/>
                <w:sz w:val="24"/>
                <w:szCs w:val="24"/>
              </w:rPr>
              <w:t xml:space="preserve">　</w:t>
            </w:r>
          </w:p>
        </w:tc>
        <w:tc>
          <w:tcPr>
            <w:tcW w:w="1044" w:type="pct"/>
            <w:shd w:val="clear" w:color="auto" w:fill="auto"/>
            <w:noWrap/>
            <w:vAlign w:val="center"/>
          </w:tcPr>
          <w:p w:rsidR="002D3004" w:rsidRDefault="0093795E">
            <w:pPr>
              <w:widowControl/>
              <w:spacing w:line="360" w:lineRule="exact"/>
              <w:jc w:val="center"/>
              <w:rPr>
                <w:rFonts w:ascii="宋体" w:eastAsia="宋体" w:hAnsi="宋体" w:cs="宋体"/>
                <w:color w:val="000000"/>
                <w:sz w:val="24"/>
                <w:szCs w:val="24"/>
              </w:rPr>
            </w:pPr>
            <w:r>
              <w:rPr>
                <w:rFonts w:ascii="方正黑体_GBK" w:eastAsia="方正黑体_GBK" w:hAnsi="等线" w:cs="宋体" w:hint="eastAsia"/>
                <w:sz w:val="24"/>
                <w:szCs w:val="24"/>
              </w:rPr>
              <w:t>临时采购数量及品种</w:t>
            </w:r>
            <w:r>
              <w:rPr>
                <w:rFonts w:ascii="宋体" w:eastAsia="宋体" w:hAnsi="宋体" w:cs="宋体" w:hint="eastAsia"/>
                <w:color w:val="000000"/>
                <w:sz w:val="24"/>
                <w:szCs w:val="24"/>
              </w:rPr>
              <w:t xml:space="preserve">　</w:t>
            </w:r>
          </w:p>
        </w:tc>
      </w:tr>
      <w:tr w:rsidR="002D3004">
        <w:trPr>
          <w:trHeight w:hRule="exact" w:val="734"/>
        </w:trPr>
        <w:tc>
          <w:tcPr>
            <w:tcW w:w="4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1</w:t>
            </w:r>
          </w:p>
        </w:tc>
        <w:tc>
          <w:tcPr>
            <w:tcW w:w="738"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349"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41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44"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684"/>
        </w:trPr>
        <w:tc>
          <w:tcPr>
            <w:tcW w:w="4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2</w:t>
            </w:r>
          </w:p>
        </w:tc>
        <w:tc>
          <w:tcPr>
            <w:tcW w:w="738"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3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41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44"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773"/>
        </w:trPr>
        <w:tc>
          <w:tcPr>
            <w:tcW w:w="4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738"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3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41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44"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668"/>
        </w:trPr>
        <w:tc>
          <w:tcPr>
            <w:tcW w:w="4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738"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3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41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44"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839"/>
        </w:trPr>
        <w:tc>
          <w:tcPr>
            <w:tcW w:w="4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738"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3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41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44"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959"/>
        </w:trPr>
        <w:tc>
          <w:tcPr>
            <w:tcW w:w="4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738"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3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41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44"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949"/>
        </w:trPr>
        <w:tc>
          <w:tcPr>
            <w:tcW w:w="4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738"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3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41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44"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949"/>
        </w:trPr>
        <w:tc>
          <w:tcPr>
            <w:tcW w:w="44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738"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349"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417"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c>
          <w:tcPr>
            <w:tcW w:w="1044" w:type="pct"/>
            <w:shd w:val="clear" w:color="auto" w:fill="auto"/>
            <w:noWrap/>
            <w:vAlign w:val="center"/>
          </w:tcPr>
          <w:p w:rsidR="002D3004" w:rsidRDefault="002D3004">
            <w:pPr>
              <w:widowControl/>
              <w:spacing w:line="360" w:lineRule="exact"/>
              <w:jc w:val="center"/>
              <w:rPr>
                <w:rFonts w:ascii="宋体" w:eastAsia="宋体" w:hAnsi="宋体" w:cs="宋体"/>
                <w:color w:val="000000"/>
                <w:sz w:val="22"/>
              </w:rPr>
            </w:pPr>
          </w:p>
        </w:tc>
      </w:tr>
    </w:tbl>
    <w:p w:rsidR="002D3004" w:rsidRDefault="002D3004">
      <w:pPr>
        <w:rPr>
          <w:sz w:val="24"/>
          <w:szCs w:val="24"/>
        </w:rPr>
      </w:pPr>
    </w:p>
    <w:p w:rsidR="002D3004" w:rsidRDefault="0093795E">
      <w:pPr>
        <w:rPr>
          <w:rFonts w:ascii="方正楷体_GBK" w:eastAsia="方正楷体_GBK" w:hAnsi="宋体" w:cs="宋体"/>
          <w:color w:val="000000"/>
          <w:sz w:val="24"/>
          <w:szCs w:val="24"/>
        </w:rPr>
      </w:pPr>
      <w:r>
        <w:rPr>
          <w:rFonts w:ascii="方正楷体_GBK" w:eastAsia="方正楷体_GBK" w:hAnsi="宋体" w:cs="宋体" w:hint="eastAsia"/>
          <w:color w:val="000000"/>
          <w:sz w:val="24"/>
          <w:szCs w:val="24"/>
        </w:rPr>
        <w:t>此表由各辖市（区）汇总所辖各三级公立医院报表形成。</w:t>
      </w:r>
    </w:p>
    <w:p w:rsidR="002D3004" w:rsidRDefault="0093795E">
      <w:pPr>
        <w:spacing w:line="640" w:lineRule="exact"/>
        <w:ind w:firstLineChars="100" w:firstLine="320"/>
        <w:jc w:val="left"/>
        <w:rPr>
          <w:rFonts w:ascii="方正楷体_GBK" w:eastAsia="方正楷体_GBK" w:hAnsi="宋体" w:cs="宋体"/>
          <w:color w:val="000000"/>
        </w:rPr>
      </w:pPr>
      <w:r>
        <w:rPr>
          <w:rFonts w:ascii="方正楷体_GBK" w:eastAsia="方正楷体_GBK" w:hAnsi="宋体" w:cs="宋体" w:hint="eastAsia"/>
          <w:color w:val="000000"/>
        </w:rPr>
        <w:t>填报人：</w:t>
      </w:r>
      <w:r>
        <w:rPr>
          <w:rFonts w:ascii="方正楷体_GBK" w:eastAsia="方正楷体_GBK" w:hAnsi="宋体" w:cs="宋体" w:hint="eastAsia"/>
          <w:color w:val="000000"/>
        </w:rPr>
        <w:t xml:space="preserve">                         </w:t>
      </w:r>
      <w:r>
        <w:rPr>
          <w:rFonts w:ascii="方正楷体_GBK" w:eastAsia="方正楷体_GBK" w:hAnsi="宋体" w:cs="宋体" w:hint="eastAsia"/>
          <w:color w:val="000000"/>
        </w:rPr>
        <w:t>联系方式：</w:t>
      </w:r>
    </w:p>
    <w:p w:rsidR="002D3004" w:rsidRDefault="002D3004">
      <w:pPr>
        <w:spacing w:line="560" w:lineRule="exact"/>
        <w:rPr>
          <w:rFonts w:ascii="Times New Roman" w:eastAsia="黑体" w:hAnsi="黑体"/>
        </w:rPr>
        <w:sectPr w:rsidR="002D3004">
          <w:pgSz w:w="11906" w:h="16838"/>
          <w:pgMar w:top="2098" w:right="1531" w:bottom="1985" w:left="1531" w:header="709" w:footer="1361" w:gutter="0"/>
          <w:cols w:space="720"/>
          <w:docGrid w:type="lines" w:linePitch="579" w:charSpace="-849"/>
        </w:sectPr>
      </w:pPr>
    </w:p>
    <w:p w:rsidR="002D3004" w:rsidRDefault="0093795E">
      <w:pPr>
        <w:spacing w:line="560" w:lineRule="exact"/>
        <w:rPr>
          <w:rFonts w:ascii="Times New Roman" w:eastAsia="黑体"/>
        </w:rPr>
      </w:pPr>
      <w:r>
        <w:rPr>
          <w:rFonts w:ascii="Times New Roman" w:eastAsia="黑体" w:hAnsi="黑体"/>
        </w:rPr>
        <w:lastRenderedPageBreak/>
        <w:t>附件</w:t>
      </w:r>
      <w:r>
        <w:rPr>
          <w:rFonts w:ascii="Times New Roman" w:eastAsia="黑体" w:hint="eastAsia"/>
        </w:rPr>
        <w:t>6</w:t>
      </w:r>
    </w:p>
    <w:p w:rsidR="002D3004" w:rsidRDefault="0093795E">
      <w:pPr>
        <w:overflowPunct w:val="0"/>
        <w:autoSpaceDE w:val="0"/>
        <w:autoSpaceDN w:val="0"/>
        <w:adjustRightInd w:val="0"/>
        <w:snapToGrid w:val="0"/>
        <w:spacing w:before="120"/>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三级公立定点医疗</w:t>
      </w:r>
      <w:proofErr w:type="gramStart"/>
      <w:r>
        <w:rPr>
          <w:rFonts w:ascii="方正小标宋简体" w:eastAsia="方正小标宋简体" w:hAnsi="宋体" w:hint="eastAsia"/>
          <w:color w:val="000000"/>
          <w:sz w:val="44"/>
          <w:szCs w:val="44"/>
        </w:rPr>
        <w:t>机构国谈药</w:t>
      </w:r>
      <w:proofErr w:type="gramEnd"/>
      <w:r>
        <w:rPr>
          <w:rFonts w:ascii="方正小标宋简体" w:eastAsia="方正小标宋简体" w:hAnsi="宋体" w:hint="eastAsia"/>
          <w:color w:val="000000"/>
          <w:sz w:val="44"/>
          <w:szCs w:val="44"/>
        </w:rPr>
        <w:t>月度</w:t>
      </w:r>
    </w:p>
    <w:p w:rsidR="002D3004" w:rsidRDefault="0093795E">
      <w:pPr>
        <w:overflowPunct w:val="0"/>
        <w:autoSpaceDE w:val="0"/>
        <w:autoSpaceDN w:val="0"/>
        <w:adjustRightInd w:val="0"/>
        <w:snapToGrid w:val="0"/>
        <w:spacing w:before="120"/>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采购量统计表</w:t>
      </w:r>
    </w:p>
    <w:p w:rsidR="002D3004" w:rsidRDefault="002D3004">
      <w:pPr>
        <w:spacing w:line="320" w:lineRule="exact"/>
        <w:jc w:val="left"/>
        <w:rPr>
          <w:rFonts w:ascii="方正楷体_GBK" w:eastAsia="方正楷体_GBK" w:hAnsi="宋体" w:cs="宋体"/>
          <w:color w:val="000000"/>
        </w:rPr>
      </w:pPr>
    </w:p>
    <w:p w:rsidR="002D3004" w:rsidRDefault="0093795E">
      <w:pPr>
        <w:spacing w:line="640" w:lineRule="exact"/>
        <w:jc w:val="left"/>
        <w:rPr>
          <w:rFonts w:ascii="Times New Roman" w:eastAsia="楷体_GB2312"/>
          <w:sz w:val="28"/>
          <w:szCs w:val="28"/>
        </w:rPr>
      </w:pPr>
      <w:r>
        <w:rPr>
          <w:rFonts w:ascii="Times New Roman" w:eastAsia="楷体_GB2312"/>
          <w:color w:val="000000"/>
          <w:sz w:val="28"/>
          <w:szCs w:val="28"/>
        </w:rPr>
        <w:t>医疗机构名称：</w:t>
      </w:r>
      <w:r>
        <w:rPr>
          <w:rFonts w:ascii="Times New Roman" w:eastAsia="楷体_GB2312"/>
          <w:color w:val="000000"/>
          <w:sz w:val="28"/>
          <w:szCs w:val="28"/>
        </w:rPr>
        <w:t xml:space="preserve">                            </w:t>
      </w:r>
      <w:r>
        <w:rPr>
          <w:rFonts w:ascii="Times New Roman" w:eastAsia="楷体_GB2312"/>
          <w:color w:val="000000"/>
          <w:sz w:val="28"/>
          <w:szCs w:val="28"/>
        </w:rPr>
        <w:t>统计月份：</w:t>
      </w:r>
      <w:r>
        <w:rPr>
          <w:rFonts w:ascii="Times New Roman" w:eastAsia="楷体_GB2312"/>
          <w:color w:val="000000"/>
          <w:sz w:val="28"/>
          <w:szCs w:val="28"/>
        </w:rPr>
        <w:t>2022</w:t>
      </w:r>
      <w:r>
        <w:rPr>
          <w:rFonts w:ascii="Times New Roman" w:eastAsia="楷体_GB2312"/>
          <w:color w:val="000000"/>
          <w:sz w:val="28"/>
          <w:szCs w:val="28"/>
        </w:rPr>
        <w:t>年</w:t>
      </w:r>
      <w:r>
        <w:rPr>
          <w:rFonts w:ascii="Times New Roman" w:eastAsia="楷体_GB2312"/>
          <w:color w:val="000000"/>
          <w:sz w:val="28"/>
          <w:szCs w:val="28"/>
        </w:rPr>
        <w:t xml:space="preserve">  </w:t>
      </w:r>
      <w:r>
        <w:rPr>
          <w:rFonts w:ascii="Times New Roman" w:eastAsia="楷体_GB2312"/>
          <w:color w:val="000000"/>
          <w:sz w:val="28"/>
          <w:szCs w:val="28"/>
        </w:rPr>
        <w:t>月</w:t>
      </w:r>
    </w:p>
    <w:tbl>
      <w:tblPr>
        <w:tblW w:w="494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03"/>
        <w:gridCol w:w="912"/>
        <w:gridCol w:w="765"/>
        <w:gridCol w:w="1824"/>
        <w:gridCol w:w="855"/>
        <w:gridCol w:w="1038"/>
        <w:gridCol w:w="1004"/>
        <w:gridCol w:w="764"/>
        <w:gridCol w:w="1199"/>
      </w:tblGrid>
      <w:tr w:rsidR="002D3004">
        <w:trPr>
          <w:trHeight w:val="600"/>
          <w:tblHeader/>
        </w:trPr>
        <w:tc>
          <w:tcPr>
            <w:tcW w:w="336" w:type="pct"/>
            <w:vMerge w:val="restart"/>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序号</w:t>
            </w:r>
          </w:p>
        </w:tc>
        <w:tc>
          <w:tcPr>
            <w:tcW w:w="508" w:type="pct"/>
            <w:vMerge w:val="restart"/>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药品名称</w:t>
            </w:r>
          </w:p>
        </w:tc>
        <w:tc>
          <w:tcPr>
            <w:tcW w:w="426" w:type="pct"/>
            <w:vMerge w:val="restart"/>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规格</w:t>
            </w:r>
          </w:p>
        </w:tc>
        <w:tc>
          <w:tcPr>
            <w:tcW w:w="1493" w:type="pct"/>
            <w:gridSpan w:val="2"/>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采购方式</w:t>
            </w:r>
          </w:p>
        </w:tc>
        <w:tc>
          <w:tcPr>
            <w:tcW w:w="1139" w:type="pct"/>
            <w:gridSpan w:val="2"/>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采购总量</w:t>
            </w:r>
          </w:p>
        </w:tc>
        <w:tc>
          <w:tcPr>
            <w:tcW w:w="426" w:type="pct"/>
            <w:vMerge w:val="restart"/>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proofErr w:type="gramStart"/>
            <w:r>
              <w:rPr>
                <w:rFonts w:ascii="方正黑体_GBK" w:eastAsia="方正黑体_GBK" w:hAnsi="等线" w:cs="宋体" w:hint="eastAsia"/>
                <w:sz w:val="24"/>
                <w:szCs w:val="24"/>
              </w:rPr>
              <w:t>采购总</w:t>
            </w:r>
            <w:proofErr w:type="gramEnd"/>
            <w:r>
              <w:rPr>
                <w:rFonts w:ascii="方正黑体_GBK" w:eastAsia="方正黑体_GBK" w:hAnsi="等线" w:cs="宋体" w:hint="eastAsia"/>
                <w:sz w:val="24"/>
                <w:szCs w:val="24"/>
              </w:rPr>
              <w:t>费用</w:t>
            </w:r>
          </w:p>
        </w:tc>
        <w:tc>
          <w:tcPr>
            <w:tcW w:w="669" w:type="pct"/>
            <w:vMerge w:val="restart"/>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院内使用总数</w:t>
            </w:r>
          </w:p>
        </w:tc>
      </w:tr>
      <w:tr w:rsidR="002D3004">
        <w:trPr>
          <w:trHeight w:val="772"/>
          <w:tblHeader/>
        </w:trPr>
        <w:tc>
          <w:tcPr>
            <w:tcW w:w="336" w:type="pct"/>
            <w:vMerge/>
            <w:vAlign w:val="center"/>
          </w:tcPr>
          <w:p w:rsidR="002D3004" w:rsidRDefault="002D3004">
            <w:pPr>
              <w:widowControl/>
              <w:spacing w:line="360" w:lineRule="exact"/>
              <w:jc w:val="left"/>
              <w:rPr>
                <w:rFonts w:ascii="方正黑体_GBK" w:eastAsia="方正黑体_GBK" w:hAnsi="等线" w:cs="宋体"/>
                <w:sz w:val="24"/>
                <w:szCs w:val="24"/>
              </w:rPr>
            </w:pPr>
          </w:p>
        </w:tc>
        <w:tc>
          <w:tcPr>
            <w:tcW w:w="508" w:type="pct"/>
            <w:vMerge/>
            <w:vAlign w:val="center"/>
          </w:tcPr>
          <w:p w:rsidR="002D3004" w:rsidRDefault="002D3004">
            <w:pPr>
              <w:widowControl/>
              <w:spacing w:line="360" w:lineRule="exact"/>
              <w:jc w:val="left"/>
              <w:rPr>
                <w:rFonts w:ascii="方正黑体_GBK" w:eastAsia="方正黑体_GBK" w:hAnsi="等线" w:cs="宋体"/>
                <w:sz w:val="24"/>
                <w:szCs w:val="24"/>
              </w:rPr>
            </w:pPr>
          </w:p>
        </w:tc>
        <w:tc>
          <w:tcPr>
            <w:tcW w:w="426" w:type="pct"/>
            <w:vMerge/>
            <w:vAlign w:val="center"/>
          </w:tcPr>
          <w:p w:rsidR="002D3004" w:rsidRDefault="002D3004">
            <w:pPr>
              <w:widowControl/>
              <w:spacing w:line="360" w:lineRule="exact"/>
              <w:jc w:val="left"/>
              <w:rPr>
                <w:rFonts w:ascii="方正黑体_GBK" w:eastAsia="方正黑体_GBK" w:hAnsi="等线" w:cs="宋体"/>
                <w:sz w:val="24"/>
                <w:szCs w:val="24"/>
              </w:rPr>
            </w:pPr>
          </w:p>
        </w:tc>
        <w:tc>
          <w:tcPr>
            <w:tcW w:w="1016" w:type="pct"/>
            <w:shd w:val="clear" w:color="auto" w:fill="auto"/>
            <w:vAlign w:val="center"/>
          </w:tcPr>
          <w:p w:rsidR="002D3004" w:rsidRDefault="0093795E">
            <w:pPr>
              <w:widowControl/>
              <w:spacing w:line="360" w:lineRule="exact"/>
              <w:jc w:val="center"/>
              <w:rPr>
                <w:rFonts w:ascii="方正黑体_GBK" w:eastAsia="方正黑体_GBK" w:hAnsi="等线" w:cs="宋体"/>
                <w:color w:val="000000"/>
                <w:sz w:val="24"/>
                <w:szCs w:val="24"/>
              </w:rPr>
            </w:pPr>
            <w:r>
              <w:rPr>
                <w:rFonts w:ascii="方正黑体_GBK" w:eastAsia="方正黑体_GBK" w:hAnsi="等线" w:cs="宋体" w:hint="eastAsia"/>
                <w:color w:val="000000"/>
                <w:sz w:val="24"/>
                <w:szCs w:val="24"/>
              </w:rPr>
              <w:t>是否纳入基本用药供应目录</w:t>
            </w:r>
          </w:p>
        </w:tc>
        <w:tc>
          <w:tcPr>
            <w:tcW w:w="477" w:type="pct"/>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临时采购</w:t>
            </w:r>
          </w:p>
        </w:tc>
        <w:tc>
          <w:tcPr>
            <w:tcW w:w="579" w:type="pct"/>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本月采购数</w:t>
            </w:r>
          </w:p>
        </w:tc>
        <w:tc>
          <w:tcPr>
            <w:tcW w:w="559" w:type="pct"/>
            <w:shd w:val="clear" w:color="auto" w:fill="auto"/>
            <w:vAlign w:val="center"/>
          </w:tcPr>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上月末</w:t>
            </w:r>
          </w:p>
          <w:p w:rsidR="002D3004" w:rsidRDefault="0093795E">
            <w:pPr>
              <w:widowControl/>
              <w:spacing w:line="360" w:lineRule="exact"/>
              <w:jc w:val="center"/>
              <w:rPr>
                <w:rFonts w:ascii="方正黑体_GBK" w:eastAsia="方正黑体_GBK" w:hAnsi="等线" w:cs="宋体"/>
                <w:sz w:val="24"/>
                <w:szCs w:val="24"/>
              </w:rPr>
            </w:pPr>
            <w:r>
              <w:rPr>
                <w:rFonts w:ascii="方正黑体_GBK" w:eastAsia="方正黑体_GBK" w:hAnsi="等线" w:cs="宋体" w:hint="eastAsia"/>
                <w:sz w:val="24"/>
                <w:szCs w:val="24"/>
              </w:rPr>
              <w:t>库存数</w:t>
            </w:r>
          </w:p>
        </w:tc>
        <w:tc>
          <w:tcPr>
            <w:tcW w:w="426" w:type="pct"/>
            <w:vMerge/>
            <w:vAlign w:val="center"/>
          </w:tcPr>
          <w:p w:rsidR="002D3004" w:rsidRDefault="002D3004">
            <w:pPr>
              <w:widowControl/>
              <w:spacing w:line="360" w:lineRule="exact"/>
              <w:jc w:val="left"/>
              <w:rPr>
                <w:rFonts w:ascii="方正黑体_GBK" w:eastAsia="方正黑体_GBK" w:hAnsi="等线" w:cs="宋体"/>
                <w:sz w:val="24"/>
                <w:szCs w:val="24"/>
              </w:rPr>
            </w:pPr>
          </w:p>
        </w:tc>
        <w:tc>
          <w:tcPr>
            <w:tcW w:w="669" w:type="pct"/>
            <w:vMerge/>
            <w:vAlign w:val="center"/>
          </w:tcPr>
          <w:p w:rsidR="002D3004" w:rsidRDefault="002D3004">
            <w:pPr>
              <w:widowControl/>
              <w:spacing w:line="360" w:lineRule="exact"/>
              <w:jc w:val="left"/>
              <w:rPr>
                <w:rFonts w:ascii="方正黑体_GBK" w:eastAsia="方正黑体_GBK" w:hAnsi="等线" w:cs="宋体"/>
                <w:sz w:val="24"/>
                <w:szCs w:val="24"/>
              </w:rPr>
            </w:pP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color w:val="000000"/>
                <w:sz w:val="22"/>
              </w:rPr>
              <w:t>1</w:t>
            </w:r>
          </w:p>
        </w:tc>
        <w:tc>
          <w:tcPr>
            <w:tcW w:w="508"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color w:val="000000"/>
                <w:sz w:val="22"/>
              </w:rPr>
              <w:t>2</w:t>
            </w:r>
          </w:p>
        </w:tc>
        <w:tc>
          <w:tcPr>
            <w:tcW w:w="508"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w:t>
            </w:r>
          </w:p>
        </w:tc>
        <w:tc>
          <w:tcPr>
            <w:tcW w:w="508" w:type="pct"/>
            <w:shd w:val="clear" w:color="auto" w:fill="auto"/>
            <w:noWrap/>
            <w:vAlign w:val="center"/>
          </w:tcPr>
          <w:p w:rsidR="002D3004" w:rsidRDefault="0093795E">
            <w:pPr>
              <w:widowControl/>
              <w:spacing w:line="360" w:lineRule="exact"/>
              <w:jc w:val="center"/>
              <w:rPr>
                <w:rFonts w:ascii="宋体" w:eastAsia="宋体" w:hAnsi="宋体" w:cs="宋体"/>
                <w:color w:val="000000"/>
                <w:sz w:val="22"/>
              </w:rPr>
            </w:pPr>
            <w:r>
              <w:rPr>
                <w:rFonts w:ascii="宋体" w:eastAsia="宋体" w:hAnsi="宋体"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等线" w:eastAsia="等线" w:hAnsi="等线" w:cs="宋体"/>
                <w:color w:val="000000"/>
                <w:sz w:val="22"/>
              </w:rPr>
            </w:pPr>
            <w:r>
              <w:rPr>
                <w:rFonts w:ascii="等线" w:eastAsia="等线" w:hAnsi="等线" w:cs="宋体" w:hint="eastAsia"/>
                <w:color w:val="000000"/>
                <w:sz w:val="22"/>
              </w:rPr>
              <w:t xml:space="preserve">　</w:t>
            </w:r>
          </w:p>
        </w:tc>
      </w:tr>
      <w:tr w:rsidR="002D3004">
        <w:trPr>
          <w:trHeight w:hRule="exact" w:val="510"/>
        </w:trPr>
        <w:tc>
          <w:tcPr>
            <w:tcW w:w="336"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color w:val="000000"/>
                <w:sz w:val="22"/>
              </w:rPr>
              <w:t>275</w:t>
            </w:r>
          </w:p>
        </w:tc>
        <w:tc>
          <w:tcPr>
            <w:tcW w:w="508" w:type="pct"/>
            <w:shd w:val="clear" w:color="auto" w:fill="auto"/>
            <w:noWrap/>
            <w:vAlign w:val="center"/>
          </w:tcPr>
          <w:p w:rsidR="002D3004" w:rsidRDefault="0093795E">
            <w:pPr>
              <w:widowControl/>
              <w:spacing w:line="360" w:lineRule="exact"/>
              <w:jc w:val="center"/>
              <w:rPr>
                <w:rFonts w:ascii="Times New Roman" w:eastAsia="宋体"/>
                <w:color w:val="000000"/>
                <w:sz w:val="22"/>
              </w:rPr>
            </w:pPr>
            <w:r>
              <w:rPr>
                <w:rFonts w:ascii="Times New Roman" w:eastAsia="宋体" w:hAnsi="宋体"/>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Times New Roman" w:eastAsia="等线"/>
                <w:color w:val="000000"/>
                <w:sz w:val="22"/>
              </w:rPr>
            </w:pPr>
            <w:r>
              <w:rPr>
                <w:rFonts w:ascii="Times New Roman" w:eastAsia="等线" w:hAnsi="等线"/>
                <w:color w:val="000000"/>
                <w:sz w:val="22"/>
              </w:rPr>
              <w:t xml:space="preserve">　</w:t>
            </w:r>
          </w:p>
        </w:tc>
        <w:tc>
          <w:tcPr>
            <w:tcW w:w="1016" w:type="pct"/>
            <w:shd w:val="clear" w:color="auto" w:fill="auto"/>
            <w:noWrap/>
            <w:vAlign w:val="center"/>
          </w:tcPr>
          <w:p w:rsidR="002D3004" w:rsidRDefault="0093795E">
            <w:pPr>
              <w:widowControl/>
              <w:spacing w:line="360" w:lineRule="exact"/>
              <w:jc w:val="center"/>
              <w:rPr>
                <w:rFonts w:ascii="Times New Roman" w:eastAsia="等线"/>
                <w:color w:val="000000"/>
                <w:sz w:val="22"/>
              </w:rPr>
            </w:pPr>
            <w:r>
              <w:rPr>
                <w:rFonts w:ascii="Times New Roman" w:eastAsia="等线" w:hAnsi="等线"/>
                <w:color w:val="000000"/>
                <w:sz w:val="22"/>
              </w:rPr>
              <w:t xml:space="preserve">　</w:t>
            </w:r>
          </w:p>
        </w:tc>
        <w:tc>
          <w:tcPr>
            <w:tcW w:w="477" w:type="pct"/>
            <w:shd w:val="clear" w:color="auto" w:fill="auto"/>
            <w:noWrap/>
            <w:vAlign w:val="center"/>
          </w:tcPr>
          <w:p w:rsidR="002D3004" w:rsidRDefault="0093795E">
            <w:pPr>
              <w:widowControl/>
              <w:spacing w:line="360" w:lineRule="exact"/>
              <w:jc w:val="center"/>
              <w:rPr>
                <w:rFonts w:ascii="Times New Roman" w:eastAsia="等线"/>
                <w:color w:val="000000"/>
                <w:sz w:val="22"/>
              </w:rPr>
            </w:pPr>
            <w:r>
              <w:rPr>
                <w:rFonts w:ascii="Times New Roman" w:eastAsia="等线" w:hAnsi="等线"/>
                <w:color w:val="000000"/>
                <w:sz w:val="22"/>
              </w:rPr>
              <w:t xml:space="preserve">　</w:t>
            </w:r>
          </w:p>
        </w:tc>
        <w:tc>
          <w:tcPr>
            <w:tcW w:w="579" w:type="pct"/>
            <w:shd w:val="clear" w:color="auto" w:fill="auto"/>
            <w:noWrap/>
            <w:vAlign w:val="center"/>
          </w:tcPr>
          <w:p w:rsidR="002D3004" w:rsidRDefault="0093795E">
            <w:pPr>
              <w:widowControl/>
              <w:spacing w:line="360" w:lineRule="exact"/>
              <w:jc w:val="center"/>
              <w:rPr>
                <w:rFonts w:ascii="Times New Roman" w:eastAsia="等线"/>
                <w:color w:val="000000"/>
                <w:sz w:val="22"/>
              </w:rPr>
            </w:pPr>
            <w:r>
              <w:rPr>
                <w:rFonts w:ascii="Times New Roman" w:eastAsia="等线" w:hAnsi="等线"/>
                <w:color w:val="000000"/>
                <w:sz w:val="22"/>
              </w:rPr>
              <w:t xml:space="preserve">　</w:t>
            </w:r>
          </w:p>
        </w:tc>
        <w:tc>
          <w:tcPr>
            <w:tcW w:w="559" w:type="pct"/>
            <w:shd w:val="clear" w:color="auto" w:fill="auto"/>
            <w:noWrap/>
            <w:vAlign w:val="center"/>
          </w:tcPr>
          <w:p w:rsidR="002D3004" w:rsidRDefault="0093795E">
            <w:pPr>
              <w:widowControl/>
              <w:spacing w:line="360" w:lineRule="exact"/>
              <w:jc w:val="center"/>
              <w:rPr>
                <w:rFonts w:ascii="Times New Roman" w:eastAsia="等线"/>
                <w:color w:val="000000"/>
                <w:sz w:val="22"/>
              </w:rPr>
            </w:pPr>
            <w:r>
              <w:rPr>
                <w:rFonts w:ascii="Times New Roman" w:eastAsia="等线" w:hAnsi="等线"/>
                <w:color w:val="000000"/>
                <w:sz w:val="22"/>
              </w:rPr>
              <w:t xml:space="preserve">　</w:t>
            </w:r>
          </w:p>
        </w:tc>
        <w:tc>
          <w:tcPr>
            <w:tcW w:w="426" w:type="pct"/>
            <w:shd w:val="clear" w:color="auto" w:fill="auto"/>
            <w:noWrap/>
            <w:vAlign w:val="center"/>
          </w:tcPr>
          <w:p w:rsidR="002D3004" w:rsidRDefault="0093795E">
            <w:pPr>
              <w:widowControl/>
              <w:spacing w:line="360" w:lineRule="exact"/>
              <w:jc w:val="center"/>
              <w:rPr>
                <w:rFonts w:ascii="Times New Roman" w:eastAsia="等线"/>
                <w:color w:val="000000"/>
                <w:sz w:val="22"/>
              </w:rPr>
            </w:pPr>
            <w:r>
              <w:rPr>
                <w:rFonts w:ascii="Times New Roman" w:eastAsia="等线" w:hAnsi="等线"/>
                <w:color w:val="000000"/>
                <w:sz w:val="22"/>
              </w:rPr>
              <w:t xml:space="preserve">　</w:t>
            </w:r>
          </w:p>
        </w:tc>
        <w:tc>
          <w:tcPr>
            <w:tcW w:w="669" w:type="pct"/>
            <w:shd w:val="clear" w:color="auto" w:fill="auto"/>
            <w:noWrap/>
            <w:vAlign w:val="center"/>
          </w:tcPr>
          <w:p w:rsidR="002D3004" w:rsidRDefault="0093795E">
            <w:pPr>
              <w:widowControl/>
              <w:spacing w:line="360" w:lineRule="exact"/>
              <w:jc w:val="center"/>
              <w:rPr>
                <w:rFonts w:ascii="Times New Roman" w:eastAsia="等线"/>
                <w:color w:val="000000"/>
                <w:sz w:val="22"/>
              </w:rPr>
            </w:pPr>
            <w:r>
              <w:rPr>
                <w:rFonts w:ascii="Times New Roman" w:eastAsia="等线" w:hAnsi="等线"/>
                <w:color w:val="000000"/>
                <w:sz w:val="22"/>
              </w:rPr>
              <w:t xml:space="preserve">　</w:t>
            </w:r>
          </w:p>
        </w:tc>
      </w:tr>
    </w:tbl>
    <w:p w:rsidR="002D3004" w:rsidRDefault="0093795E">
      <w:pPr>
        <w:spacing w:line="640" w:lineRule="exact"/>
        <w:jc w:val="left"/>
        <w:rPr>
          <w:rFonts w:ascii="Times New Roman" w:eastAsia="黑体"/>
        </w:rPr>
      </w:pPr>
      <w:r>
        <w:rPr>
          <w:rFonts w:ascii="方正楷体_GBK" w:eastAsia="方正楷体_GBK" w:hAnsi="宋体" w:cs="宋体" w:hint="eastAsia"/>
          <w:color w:val="000000"/>
        </w:rPr>
        <w:t>填报人：</w:t>
      </w:r>
      <w:r>
        <w:rPr>
          <w:rFonts w:ascii="方正楷体_GBK" w:eastAsia="方正楷体_GBK" w:hAnsi="宋体" w:cs="宋体" w:hint="eastAsia"/>
          <w:color w:val="000000"/>
        </w:rPr>
        <w:t xml:space="preserve">                            </w:t>
      </w:r>
      <w:r>
        <w:rPr>
          <w:rFonts w:ascii="方正楷体_GBK" w:eastAsia="方正楷体_GBK" w:hAnsi="宋体" w:cs="宋体" w:hint="eastAsia"/>
          <w:color w:val="000000"/>
        </w:rPr>
        <w:t>联系方式：</w:t>
      </w:r>
    </w:p>
    <w:p w:rsidR="002D3004" w:rsidRDefault="002D3004">
      <w:pPr>
        <w:spacing w:line="560" w:lineRule="exact"/>
        <w:rPr>
          <w:rFonts w:ascii="Times New Roman" w:eastAsia="黑体" w:hAnsi="黑体"/>
        </w:rPr>
        <w:sectPr w:rsidR="002D3004">
          <w:pgSz w:w="11906" w:h="16838"/>
          <w:pgMar w:top="2098" w:right="1531" w:bottom="1985" w:left="1531" w:header="709" w:footer="1361" w:gutter="0"/>
          <w:cols w:space="720"/>
          <w:docGrid w:type="lines" w:linePitch="579" w:charSpace="-849"/>
        </w:sectPr>
      </w:pPr>
    </w:p>
    <w:p w:rsidR="002D3004" w:rsidRDefault="0093795E">
      <w:pPr>
        <w:spacing w:line="560" w:lineRule="exact"/>
        <w:rPr>
          <w:rFonts w:ascii="Times New Roman" w:eastAsia="黑体"/>
        </w:rPr>
      </w:pPr>
      <w:r>
        <w:rPr>
          <w:rFonts w:ascii="Times New Roman" w:eastAsia="黑体" w:hAnsi="黑体"/>
        </w:rPr>
        <w:lastRenderedPageBreak/>
        <w:t>附件</w:t>
      </w:r>
      <w:r>
        <w:rPr>
          <w:rFonts w:ascii="Times New Roman" w:eastAsia="黑体" w:hint="eastAsia"/>
        </w:rPr>
        <w:t>7</w:t>
      </w:r>
    </w:p>
    <w:p w:rsidR="002D3004" w:rsidRDefault="0093795E">
      <w:pPr>
        <w:overflowPunct w:val="0"/>
        <w:autoSpaceDE w:val="0"/>
        <w:autoSpaceDN w:val="0"/>
        <w:adjustRightInd w:val="0"/>
        <w:snapToGrid w:val="0"/>
        <w:spacing w:before="240" w:after="240" w:line="200" w:lineRule="atLeas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新增双通道管理及单独支付药品管理范围</w:t>
      </w:r>
    </w:p>
    <w:tbl>
      <w:tblPr>
        <w:tblW w:w="495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95"/>
        <w:gridCol w:w="2452"/>
        <w:gridCol w:w="5822"/>
      </w:tblGrid>
      <w:tr w:rsidR="002D3004">
        <w:trPr>
          <w:trHeight w:val="534"/>
          <w:tblHeader/>
          <w:jc w:val="center"/>
        </w:trPr>
        <w:tc>
          <w:tcPr>
            <w:tcW w:w="669" w:type="dxa"/>
            <w:shd w:val="clear" w:color="000000" w:fill="FFFFFF"/>
            <w:noWrap/>
            <w:vAlign w:val="center"/>
          </w:tcPr>
          <w:p w:rsidR="002D3004" w:rsidRDefault="0093795E">
            <w:pPr>
              <w:widowControl/>
              <w:adjustRightInd w:val="0"/>
              <w:snapToGrid w:val="0"/>
              <w:spacing w:line="280" w:lineRule="exact"/>
              <w:jc w:val="center"/>
              <w:rPr>
                <w:rFonts w:ascii="Times New Roman" w:eastAsia="黑体"/>
                <w:color w:val="000000"/>
                <w:sz w:val="21"/>
                <w:szCs w:val="21"/>
              </w:rPr>
            </w:pPr>
            <w:r>
              <w:rPr>
                <w:rFonts w:ascii="Times New Roman" w:eastAsia="黑体"/>
                <w:color w:val="000000"/>
                <w:sz w:val="21"/>
                <w:szCs w:val="21"/>
              </w:rPr>
              <w:t>序号</w:t>
            </w:r>
          </w:p>
        </w:tc>
        <w:tc>
          <w:tcPr>
            <w:tcW w:w="2360" w:type="dxa"/>
            <w:shd w:val="clear" w:color="000000" w:fill="FFFFFF"/>
            <w:noWrap/>
            <w:vAlign w:val="center"/>
          </w:tcPr>
          <w:p w:rsidR="002D3004" w:rsidRDefault="0093795E">
            <w:pPr>
              <w:widowControl/>
              <w:adjustRightInd w:val="0"/>
              <w:snapToGrid w:val="0"/>
              <w:spacing w:line="280" w:lineRule="exact"/>
              <w:jc w:val="center"/>
              <w:rPr>
                <w:rFonts w:ascii="Times New Roman" w:eastAsia="黑体"/>
                <w:color w:val="000000"/>
                <w:sz w:val="21"/>
                <w:szCs w:val="21"/>
              </w:rPr>
            </w:pPr>
            <w:r>
              <w:rPr>
                <w:rFonts w:ascii="Times New Roman" w:eastAsia="黑体"/>
                <w:color w:val="000000"/>
                <w:sz w:val="21"/>
                <w:szCs w:val="21"/>
              </w:rPr>
              <w:t>药品名称</w:t>
            </w:r>
          </w:p>
        </w:tc>
        <w:tc>
          <w:tcPr>
            <w:tcW w:w="5603" w:type="dxa"/>
            <w:shd w:val="clear" w:color="000000" w:fill="FFFFFF"/>
            <w:noWrap/>
            <w:vAlign w:val="center"/>
          </w:tcPr>
          <w:p w:rsidR="002D3004" w:rsidRDefault="0093795E">
            <w:pPr>
              <w:widowControl/>
              <w:adjustRightInd w:val="0"/>
              <w:snapToGrid w:val="0"/>
              <w:spacing w:line="280" w:lineRule="exact"/>
              <w:jc w:val="center"/>
              <w:rPr>
                <w:rFonts w:ascii="Times New Roman" w:eastAsia="黑体"/>
                <w:color w:val="000000"/>
                <w:sz w:val="21"/>
                <w:szCs w:val="21"/>
              </w:rPr>
            </w:pPr>
            <w:r>
              <w:rPr>
                <w:rFonts w:ascii="Times New Roman" w:eastAsia="黑体"/>
                <w:color w:val="000000"/>
                <w:sz w:val="21"/>
                <w:szCs w:val="21"/>
              </w:rPr>
              <w:t>备注</w:t>
            </w:r>
          </w:p>
        </w:tc>
      </w:tr>
      <w:tr w:rsidR="002D3004">
        <w:trPr>
          <w:trHeight w:val="879"/>
          <w:jc w:val="center"/>
        </w:trPr>
        <w:tc>
          <w:tcPr>
            <w:tcW w:w="669" w:type="dxa"/>
            <w:noWrap/>
            <w:vAlign w:val="center"/>
          </w:tcPr>
          <w:p w:rsidR="002D3004" w:rsidRDefault="0093795E">
            <w:pPr>
              <w:widowControl/>
              <w:spacing w:line="280" w:lineRule="exact"/>
              <w:jc w:val="center"/>
              <w:textAlignment w:val="center"/>
              <w:rPr>
                <w:rFonts w:ascii="Times New Roman" w:eastAsia="宋体"/>
                <w:sz w:val="21"/>
                <w:szCs w:val="21"/>
              </w:rPr>
            </w:pPr>
            <w:r>
              <w:rPr>
                <w:rFonts w:ascii="Times New Roman" w:eastAsia="宋体" w:hint="eastAsia"/>
                <w:color w:val="000000"/>
                <w:sz w:val="21"/>
                <w:szCs w:val="21"/>
              </w:rPr>
              <w:t>1</w:t>
            </w:r>
          </w:p>
        </w:tc>
        <w:tc>
          <w:tcPr>
            <w:tcW w:w="2360" w:type="dxa"/>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Ansi="宋体"/>
                <w:color w:val="000000"/>
                <w:sz w:val="21"/>
                <w:szCs w:val="21"/>
              </w:rPr>
              <w:t>甲苯磺酸多纳非尼片</w:t>
            </w:r>
          </w:p>
        </w:tc>
        <w:tc>
          <w:tcPr>
            <w:tcW w:w="5603" w:type="dxa"/>
            <w:noWrap/>
            <w:vAlign w:val="center"/>
          </w:tcPr>
          <w:p w:rsidR="002D3004" w:rsidRDefault="0093795E">
            <w:pPr>
              <w:widowControl/>
              <w:spacing w:line="280" w:lineRule="exact"/>
              <w:textAlignment w:val="top"/>
              <w:rPr>
                <w:rFonts w:ascii="Times New Roman" w:eastAsia="宋体"/>
                <w:color w:val="000000"/>
                <w:sz w:val="21"/>
                <w:szCs w:val="21"/>
              </w:rPr>
            </w:pPr>
            <w:r>
              <w:rPr>
                <w:rFonts w:ascii="Times New Roman" w:eastAsia="宋体" w:hAnsi="宋体"/>
                <w:color w:val="000000"/>
                <w:sz w:val="21"/>
                <w:szCs w:val="21"/>
              </w:rPr>
              <w:t>本品用于</w:t>
            </w:r>
            <w:proofErr w:type="gramStart"/>
            <w:r>
              <w:rPr>
                <w:rFonts w:ascii="Times New Roman" w:eastAsia="宋体" w:hAnsi="宋体"/>
                <w:color w:val="000000"/>
                <w:sz w:val="21"/>
                <w:szCs w:val="21"/>
              </w:rPr>
              <w:t>既往未</w:t>
            </w:r>
            <w:proofErr w:type="gramEnd"/>
            <w:r>
              <w:rPr>
                <w:rFonts w:ascii="Times New Roman" w:eastAsia="宋体" w:hAnsi="宋体"/>
                <w:color w:val="000000"/>
                <w:sz w:val="21"/>
                <w:szCs w:val="21"/>
              </w:rPr>
              <w:t>接受过全身系统性治疗的不可切除肝细胞癌患者。</w:t>
            </w:r>
          </w:p>
        </w:tc>
      </w:tr>
      <w:tr w:rsidR="002D3004">
        <w:trPr>
          <w:trHeight w:val="1005"/>
          <w:jc w:val="center"/>
        </w:trPr>
        <w:tc>
          <w:tcPr>
            <w:tcW w:w="669" w:type="dxa"/>
            <w:noWrap/>
            <w:vAlign w:val="center"/>
          </w:tcPr>
          <w:p w:rsidR="002D3004" w:rsidRDefault="0093795E">
            <w:pPr>
              <w:widowControl/>
              <w:spacing w:line="280" w:lineRule="exact"/>
              <w:jc w:val="center"/>
              <w:textAlignment w:val="center"/>
              <w:rPr>
                <w:rFonts w:ascii="Times New Roman" w:eastAsia="宋体"/>
                <w:sz w:val="21"/>
                <w:szCs w:val="21"/>
              </w:rPr>
            </w:pPr>
            <w:r>
              <w:rPr>
                <w:rFonts w:ascii="Times New Roman" w:eastAsia="宋体" w:hint="eastAsia"/>
                <w:color w:val="000000"/>
                <w:sz w:val="21"/>
                <w:szCs w:val="21"/>
              </w:rPr>
              <w:t>2</w:t>
            </w:r>
          </w:p>
        </w:tc>
        <w:tc>
          <w:tcPr>
            <w:tcW w:w="2360" w:type="dxa"/>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Ansi="宋体"/>
                <w:color w:val="000000"/>
                <w:sz w:val="21"/>
                <w:szCs w:val="21"/>
              </w:rPr>
              <w:t>盐酸</w:t>
            </w:r>
            <w:proofErr w:type="gramStart"/>
            <w:r>
              <w:rPr>
                <w:rFonts w:ascii="Times New Roman" w:eastAsia="宋体" w:hAnsi="宋体"/>
                <w:color w:val="000000"/>
                <w:sz w:val="21"/>
                <w:szCs w:val="21"/>
              </w:rPr>
              <w:t>恩沙替尼</w:t>
            </w:r>
            <w:proofErr w:type="gramEnd"/>
            <w:r>
              <w:rPr>
                <w:rFonts w:ascii="Times New Roman" w:eastAsia="宋体" w:hAnsi="宋体"/>
                <w:color w:val="000000"/>
                <w:sz w:val="21"/>
                <w:szCs w:val="21"/>
              </w:rPr>
              <w:t>胶囊</w:t>
            </w:r>
          </w:p>
        </w:tc>
        <w:tc>
          <w:tcPr>
            <w:tcW w:w="5603" w:type="dxa"/>
            <w:noWrap/>
            <w:vAlign w:val="center"/>
          </w:tcPr>
          <w:p w:rsidR="002D3004" w:rsidRDefault="0093795E">
            <w:pPr>
              <w:widowControl/>
              <w:spacing w:line="280" w:lineRule="exact"/>
              <w:textAlignment w:val="top"/>
              <w:rPr>
                <w:rFonts w:ascii="Times New Roman" w:eastAsia="宋体"/>
                <w:color w:val="000000"/>
                <w:sz w:val="21"/>
                <w:szCs w:val="21"/>
              </w:rPr>
            </w:pPr>
            <w:r>
              <w:rPr>
                <w:rFonts w:ascii="Times New Roman" w:eastAsia="宋体" w:hAnsi="宋体"/>
                <w:color w:val="000000"/>
                <w:sz w:val="21"/>
                <w:szCs w:val="21"/>
              </w:rPr>
              <w:t>适用于此前接受过克</w:t>
            </w:r>
            <w:proofErr w:type="gramStart"/>
            <w:r>
              <w:rPr>
                <w:rFonts w:ascii="Times New Roman" w:eastAsia="宋体" w:hAnsi="宋体"/>
                <w:color w:val="000000"/>
                <w:sz w:val="21"/>
                <w:szCs w:val="21"/>
              </w:rPr>
              <w:t>唑替尼治疗</w:t>
            </w:r>
            <w:proofErr w:type="gramEnd"/>
            <w:r>
              <w:rPr>
                <w:rFonts w:ascii="Times New Roman" w:eastAsia="宋体" w:hAnsi="宋体"/>
                <w:color w:val="000000"/>
                <w:sz w:val="21"/>
                <w:szCs w:val="21"/>
              </w:rPr>
              <w:t>后进展的或者对克</w:t>
            </w:r>
            <w:proofErr w:type="gramStart"/>
            <w:r>
              <w:rPr>
                <w:rFonts w:ascii="Times New Roman" w:eastAsia="宋体" w:hAnsi="宋体"/>
                <w:color w:val="000000"/>
                <w:sz w:val="21"/>
                <w:szCs w:val="21"/>
              </w:rPr>
              <w:t>唑</w:t>
            </w:r>
            <w:proofErr w:type="gramEnd"/>
            <w:r>
              <w:rPr>
                <w:rFonts w:ascii="Times New Roman" w:eastAsia="宋体" w:hAnsi="宋体"/>
                <w:color w:val="000000"/>
                <w:sz w:val="21"/>
                <w:szCs w:val="21"/>
              </w:rPr>
              <w:t>替尼</w:t>
            </w:r>
            <w:proofErr w:type="gramStart"/>
            <w:r>
              <w:rPr>
                <w:rFonts w:ascii="Times New Roman" w:eastAsia="宋体" w:hAnsi="宋体"/>
                <w:color w:val="000000"/>
                <w:sz w:val="21"/>
                <w:szCs w:val="21"/>
              </w:rPr>
              <w:t>不</w:t>
            </w:r>
            <w:proofErr w:type="gramEnd"/>
            <w:r>
              <w:rPr>
                <w:rFonts w:ascii="Times New Roman" w:eastAsia="宋体" w:hAnsi="宋体"/>
                <w:color w:val="000000"/>
                <w:sz w:val="21"/>
                <w:szCs w:val="21"/>
              </w:rPr>
              <w:t>耐受的间变性淋巴瘤激酶（</w:t>
            </w:r>
            <w:r>
              <w:rPr>
                <w:rFonts w:ascii="Times New Roman" w:eastAsia="宋体"/>
                <w:color w:val="000000"/>
                <w:sz w:val="21"/>
                <w:szCs w:val="21"/>
              </w:rPr>
              <w:t>ALK</w:t>
            </w:r>
            <w:r>
              <w:rPr>
                <w:rFonts w:ascii="Times New Roman" w:eastAsia="宋体" w:hAnsi="宋体"/>
                <w:color w:val="000000"/>
                <w:sz w:val="21"/>
                <w:szCs w:val="21"/>
              </w:rPr>
              <w:t>）阳性的局部晚期或转移性非小细胞肺癌（</w:t>
            </w:r>
            <w:r>
              <w:rPr>
                <w:rFonts w:ascii="Times New Roman" w:eastAsia="宋体"/>
                <w:color w:val="000000"/>
                <w:sz w:val="21"/>
                <w:szCs w:val="21"/>
              </w:rPr>
              <w:t>NSCLC</w:t>
            </w:r>
            <w:r>
              <w:rPr>
                <w:rFonts w:ascii="Times New Roman" w:eastAsia="宋体" w:hAnsi="宋体"/>
                <w:color w:val="000000"/>
                <w:sz w:val="21"/>
                <w:szCs w:val="21"/>
              </w:rPr>
              <w:t>）患者的治疗。</w:t>
            </w:r>
          </w:p>
        </w:tc>
      </w:tr>
      <w:tr w:rsidR="002D3004">
        <w:trPr>
          <w:trHeight w:val="2645"/>
          <w:jc w:val="center"/>
        </w:trPr>
        <w:tc>
          <w:tcPr>
            <w:tcW w:w="669" w:type="dxa"/>
            <w:noWrap/>
            <w:vAlign w:val="center"/>
          </w:tcPr>
          <w:p w:rsidR="002D3004" w:rsidRDefault="0093795E">
            <w:pPr>
              <w:widowControl/>
              <w:spacing w:line="280" w:lineRule="exact"/>
              <w:jc w:val="center"/>
              <w:textAlignment w:val="center"/>
              <w:rPr>
                <w:rFonts w:ascii="Times New Roman" w:eastAsia="宋体"/>
                <w:sz w:val="21"/>
                <w:szCs w:val="21"/>
              </w:rPr>
            </w:pPr>
            <w:r>
              <w:rPr>
                <w:rFonts w:ascii="Times New Roman" w:eastAsia="宋体" w:hint="eastAsia"/>
                <w:color w:val="000000"/>
                <w:sz w:val="21"/>
                <w:szCs w:val="21"/>
              </w:rPr>
              <w:t>3</w:t>
            </w:r>
          </w:p>
        </w:tc>
        <w:tc>
          <w:tcPr>
            <w:tcW w:w="2360" w:type="dxa"/>
            <w:noWrap/>
            <w:vAlign w:val="center"/>
          </w:tcPr>
          <w:p w:rsidR="002D3004" w:rsidRDefault="0093795E">
            <w:pPr>
              <w:widowControl/>
              <w:spacing w:line="280" w:lineRule="exact"/>
              <w:jc w:val="center"/>
              <w:textAlignment w:val="center"/>
              <w:rPr>
                <w:rFonts w:ascii="Times New Roman" w:eastAsia="宋体"/>
                <w:sz w:val="21"/>
                <w:szCs w:val="21"/>
              </w:rPr>
            </w:pPr>
            <w:r>
              <w:rPr>
                <w:rFonts w:ascii="Times New Roman" w:eastAsia="宋体" w:hAnsi="宋体"/>
                <w:color w:val="000000"/>
                <w:sz w:val="21"/>
                <w:szCs w:val="21"/>
              </w:rPr>
              <w:t>甲磺酸</w:t>
            </w:r>
            <w:proofErr w:type="gramStart"/>
            <w:r>
              <w:rPr>
                <w:rFonts w:ascii="Times New Roman" w:eastAsia="宋体" w:hAnsi="宋体"/>
                <w:color w:val="000000"/>
                <w:sz w:val="21"/>
                <w:szCs w:val="21"/>
              </w:rPr>
              <w:t>伏美替尼片</w:t>
            </w:r>
            <w:proofErr w:type="gramEnd"/>
          </w:p>
        </w:tc>
        <w:tc>
          <w:tcPr>
            <w:tcW w:w="5603" w:type="dxa"/>
            <w:noWrap/>
            <w:vAlign w:val="center"/>
          </w:tcPr>
          <w:p w:rsidR="002D3004" w:rsidRDefault="0093795E">
            <w:pPr>
              <w:widowControl/>
              <w:spacing w:line="280" w:lineRule="exact"/>
              <w:textAlignment w:val="top"/>
              <w:rPr>
                <w:rFonts w:ascii="Times New Roman" w:eastAsia="宋体"/>
                <w:color w:val="000000"/>
                <w:sz w:val="21"/>
                <w:szCs w:val="21"/>
              </w:rPr>
            </w:pPr>
            <w:r>
              <w:rPr>
                <w:rFonts w:ascii="Times New Roman" w:eastAsia="宋体" w:hAnsi="宋体"/>
                <w:color w:val="000000"/>
                <w:sz w:val="21"/>
                <w:szCs w:val="21"/>
              </w:rPr>
              <w:t>本品用于既往经表皮生长因子受体（</w:t>
            </w:r>
            <w:r>
              <w:rPr>
                <w:rFonts w:ascii="Times New Roman" w:eastAsia="宋体"/>
                <w:color w:val="000000"/>
                <w:sz w:val="21"/>
                <w:szCs w:val="21"/>
              </w:rPr>
              <w:t>EGFR</w:t>
            </w:r>
            <w:r>
              <w:rPr>
                <w:rFonts w:ascii="Times New Roman" w:eastAsia="宋体" w:hAnsi="宋体"/>
                <w:color w:val="000000"/>
                <w:sz w:val="21"/>
                <w:szCs w:val="21"/>
              </w:rPr>
              <w:t>）酪氨酸激酶抑制剂（</w:t>
            </w:r>
            <w:r>
              <w:rPr>
                <w:rFonts w:ascii="Times New Roman" w:eastAsia="宋体"/>
                <w:color w:val="000000"/>
                <w:sz w:val="21"/>
                <w:szCs w:val="21"/>
              </w:rPr>
              <w:t>TKI</w:t>
            </w:r>
            <w:r>
              <w:rPr>
                <w:rFonts w:ascii="Times New Roman" w:eastAsia="宋体" w:hAnsi="宋体"/>
                <w:color w:val="000000"/>
                <w:sz w:val="21"/>
                <w:szCs w:val="21"/>
              </w:rPr>
              <w:t>）治疗时或治疗后出现疾病进展，并且经检测确认存在</w:t>
            </w:r>
            <w:r>
              <w:rPr>
                <w:rFonts w:ascii="Times New Roman" w:eastAsia="宋体"/>
                <w:color w:val="000000"/>
                <w:sz w:val="21"/>
                <w:szCs w:val="21"/>
              </w:rPr>
              <w:t>EGFR T790M</w:t>
            </w:r>
            <w:r>
              <w:rPr>
                <w:rFonts w:ascii="Times New Roman" w:eastAsia="宋体" w:hAnsi="宋体"/>
                <w:color w:val="000000"/>
                <w:sz w:val="21"/>
                <w:szCs w:val="21"/>
              </w:rPr>
              <w:t>突变阳性的局部晚期或转移性非小细胞性肺癌（</w:t>
            </w:r>
            <w:r>
              <w:rPr>
                <w:rFonts w:ascii="Times New Roman" w:eastAsia="宋体"/>
                <w:color w:val="000000"/>
                <w:sz w:val="21"/>
                <w:szCs w:val="21"/>
              </w:rPr>
              <w:t>NSCLC</w:t>
            </w:r>
            <w:r>
              <w:rPr>
                <w:rFonts w:ascii="Times New Roman" w:eastAsia="宋体" w:hAnsi="宋体"/>
                <w:color w:val="000000"/>
                <w:sz w:val="21"/>
                <w:szCs w:val="21"/>
              </w:rPr>
              <w:t>）成人患者的治疗。该适应症是基于一项包括</w:t>
            </w:r>
            <w:r>
              <w:rPr>
                <w:rFonts w:ascii="Times New Roman" w:eastAsia="宋体"/>
                <w:color w:val="000000"/>
                <w:sz w:val="21"/>
                <w:szCs w:val="21"/>
              </w:rPr>
              <w:t>220</w:t>
            </w:r>
            <w:proofErr w:type="gramStart"/>
            <w:r>
              <w:rPr>
                <w:rFonts w:ascii="Times New Roman" w:eastAsia="宋体" w:hAnsi="宋体"/>
                <w:color w:val="000000"/>
                <w:sz w:val="21"/>
                <w:szCs w:val="21"/>
              </w:rPr>
              <w:t>例不可</w:t>
            </w:r>
            <w:proofErr w:type="gramEnd"/>
            <w:r>
              <w:rPr>
                <w:rFonts w:ascii="Times New Roman" w:eastAsia="宋体" w:hAnsi="宋体"/>
                <w:color w:val="000000"/>
                <w:sz w:val="21"/>
                <w:szCs w:val="21"/>
              </w:rPr>
              <w:t>手术切除的局部晚期或转移性、经第一</w:t>
            </w:r>
            <w:r>
              <w:rPr>
                <w:rFonts w:ascii="Times New Roman" w:eastAsia="宋体"/>
                <w:color w:val="000000"/>
                <w:spacing w:val="-6"/>
                <w:sz w:val="21"/>
                <w:szCs w:val="21"/>
              </w:rPr>
              <w:t>/</w:t>
            </w:r>
            <w:r>
              <w:rPr>
                <w:rFonts w:ascii="Times New Roman" w:eastAsia="宋体" w:hAnsi="宋体"/>
                <w:color w:val="000000"/>
                <w:spacing w:val="-6"/>
                <w:sz w:val="21"/>
                <w:szCs w:val="21"/>
              </w:rPr>
              <w:t>第二代</w:t>
            </w:r>
            <w:r>
              <w:rPr>
                <w:rFonts w:ascii="Times New Roman" w:eastAsia="宋体"/>
                <w:color w:val="000000"/>
                <w:spacing w:val="-6"/>
                <w:sz w:val="21"/>
                <w:szCs w:val="21"/>
              </w:rPr>
              <w:t>EGFR TKI</w:t>
            </w:r>
            <w:r>
              <w:rPr>
                <w:rFonts w:ascii="Times New Roman" w:eastAsia="宋体" w:hAnsi="宋体"/>
                <w:color w:val="000000"/>
                <w:spacing w:val="-6"/>
                <w:sz w:val="21"/>
                <w:szCs w:val="21"/>
              </w:rPr>
              <w:t>治疗进展并伴有</w:t>
            </w:r>
            <w:r>
              <w:rPr>
                <w:rFonts w:ascii="Times New Roman" w:eastAsia="宋体"/>
                <w:color w:val="000000"/>
                <w:spacing w:val="-6"/>
                <w:sz w:val="21"/>
                <w:szCs w:val="21"/>
              </w:rPr>
              <w:t>EGFR T790M</w:t>
            </w:r>
            <w:r>
              <w:rPr>
                <w:rFonts w:ascii="Times New Roman" w:eastAsia="宋体" w:hAnsi="宋体"/>
                <w:color w:val="000000"/>
                <w:spacing w:val="-6"/>
                <w:sz w:val="21"/>
                <w:szCs w:val="21"/>
              </w:rPr>
              <w:t>突变阳性、或原发性</w:t>
            </w:r>
            <w:r>
              <w:rPr>
                <w:rFonts w:ascii="Times New Roman" w:eastAsia="宋体"/>
                <w:color w:val="000000"/>
                <w:spacing w:val="-6"/>
                <w:sz w:val="21"/>
                <w:szCs w:val="21"/>
              </w:rPr>
              <w:t>EGFR T790M</w:t>
            </w:r>
            <w:r>
              <w:rPr>
                <w:rFonts w:ascii="Times New Roman" w:eastAsia="宋体" w:hAnsi="宋体"/>
                <w:color w:val="000000"/>
                <w:spacing w:val="-6"/>
                <w:sz w:val="21"/>
                <w:szCs w:val="21"/>
              </w:rPr>
              <w:t>突变阳性</w:t>
            </w:r>
            <w:r>
              <w:rPr>
                <w:rFonts w:ascii="Times New Roman" w:eastAsia="宋体"/>
                <w:color w:val="000000"/>
                <w:spacing w:val="-6"/>
                <w:sz w:val="21"/>
                <w:szCs w:val="21"/>
              </w:rPr>
              <w:t>NSCLC</w:t>
            </w:r>
            <w:r>
              <w:rPr>
                <w:rFonts w:ascii="Times New Roman" w:eastAsia="宋体" w:hAnsi="宋体"/>
                <w:color w:val="000000"/>
                <w:spacing w:val="-6"/>
                <w:sz w:val="21"/>
                <w:szCs w:val="21"/>
              </w:rPr>
              <w:t>患者的</w:t>
            </w:r>
            <w:proofErr w:type="spellStart"/>
            <w:r>
              <w:rPr>
                <w:rFonts w:ascii="Times New Roman" w:eastAsia="宋体"/>
                <w:color w:val="000000"/>
                <w:spacing w:val="-6"/>
                <w:sz w:val="21"/>
                <w:szCs w:val="21"/>
              </w:rPr>
              <w:t>IIb</w:t>
            </w:r>
            <w:proofErr w:type="spellEnd"/>
            <w:r>
              <w:rPr>
                <w:rFonts w:ascii="Times New Roman" w:eastAsia="宋体" w:hAnsi="宋体"/>
                <w:color w:val="000000"/>
                <w:spacing w:val="-6"/>
                <w:sz w:val="21"/>
                <w:szCs w:val="21"/>
              </w:rPr>
              <w:t>期临床试验的结果给予的附条件批准。该适应症的完全批准将取决于正在进行的确证性随机对照试验证实本品的临床获益。</w:t>
            </w:r>
          </w:p>
        </w:tc>
      </w:tr>
      <w:tr w:rsidR="002D3004">
        <w:trPr>
          <w:trHeight w:val="1015"/>
          <w:jc w:val="center"/>
        </w:trPr>
        <w:tc>
          <w:tcPr>
            <w:tcW w:w="669" w:type="dxa"/>
            <w:noWrap/>
            <w:vAlign w:val="center"/>
          </w:tcPr>
          <w:p w:rsidR="002D3004" w:rsidRDefault="0093795E">
            <w:pPr>
              <w:widowControl/>
              <w:spacing w:line="280" w:lineRule="exact"/>
              <w:jc w:val="center"/>
              <w:textAlignment w:val="center"/>
              <w:rPr>
                <w:rFonts w:ascii="Times New Roman" w:eastAsia="宋体"/>
                <w:sz w:val="21"/>
                <w:szCs w:val="21"/>
              </w:rPr>
            </w:pPr>
            <w:r>
              <w:rPr>
                <w:rFonts w:ascii="Times New Roman" w:eastAsia="宋体" w:hint="eastAsia"/>
                <w:color w:val="000000"/>
                <w:sz w:val="21"/>
                <w:szCs w:val="21"/>
              </w:rPr>
              <w:t>4</w:t>
            </w:r>
          </w:p>
        </w:tc>
        <w:tc>
          <w:tcPr>
            <w:tcW w:w="2360" w:type="dxa"/>
            <w:noWrap/>
            <w:vAlign w:val="center"/>
          </w:tcPr>
          <w:p w:rsidR="002D3004" w:rsidRDefault="0093795E">
            <w:pPr>
              <w:widowControl/>
              <w:spacing w:line="280" w:lineRule="exact"/>
              <w:jc w:val="center"/>
              <w:textAlignment w:val="center"/>
              <w:rPr>
                <w:rFonts w:ascii="Times New Roman" w:eastAsia="宋体"/>
                <w:sz w:val="21"/>
                <w:szCs w:val="21"/>
              </w:rPr>
            </w:pPr>
            <w:proofErr w:type="gramStart"/>
            <w:r>
              <w:rPr>
                <w:rFonts w:ascii="Times New Roman" w:eastAsia="宋体" w:hAnsi="宋体"/>
                <w:color w:val="000000"/>
                <w:sz w:val="21"/>
                <w:szCs w:val="21"/>
              </w:rPr>
              <w:t>达可替尼片</w:t>
            </w:r>
            <w:proofErr w:type="gramEnd"/>
          </w:p>
        </w:tc>
        <w:tc>
          <w:tcPr>
            <w:tcW w:w="5603" w:type="dxa"/>
            <w:noWrap/>
            <w:vAlign w:val="center"/>
          </w:tcPr>
          <w:p w:rsidR="002D3004" w:rsidRDefault="0093795E">
            <w:pPr>
              <w:widowControl/>
              <w:spacing w:line="280" w:lineRule="exact"/>
              <w:textAlignment w:val="top"/>
              <w:rPr>
                <w:rFonts w:ascii="Times New Roman" w:eastAsia="宋体"/>
                <w:sz w:val="21"/>
                <w:szCs w:val="21"/>
              </w:rPr>
            </w:pPr>
            <w:r>
              <w:rPr>
                <w:rFonts w:ascii="Times New Roman" w:eastAsia="宋体" w:hAnsi="宋体"/>
                <w:color w:val="000000"/>
                <w:sz w:val="21"/>
                <w:szCs w:val="21"/>
              </w:rPr>
              <w:t>单药用于表皮生长因子受体（</w:t>
            </w:r>
            <w:r>
              <w:rPr>
                <w:rFonts w:ascii="Times New Roman" w:eastAsia="宋体"/>
                <w:color w:val="000000"/>
                <w:sz w:val="21"/>
                <w:szCs w:val="21"/>
              </w:rPr>
              <w:t>EGFR</w:t>
            </w:r>
            <w:r>
              <w:rPr>
                <w:rFonts w:ascii="Times New Roman" w:eastAsia="宋体" w:hAnsi="宋体"/>
                <w:color w:val="000000"/>
                <w:sz w:val="21"/>
                <w:szCs w:val="21"/>
              </w:rPr>
              <w:t>）</w:t>
            </w:r>
            <w:r>
              <w:rPr>
                <w:rFonts w:ascii="Times New Roman" w:eastAsia="宋体"/>
                <w:color w:val="000000"/>
                <w:sz w:val="21"/>
                <w:szCs w:val="21"/>
              </w:rPr>
              <w:t>19</w:t>
            </w:r>
            <w:r>
              <w:rPr>
                <w:rFonts w:ascii="Times New Roman" w:eastAsia="宋体" w:hAnsi="宋体"/>
                <w:color w:val="000000"/>
                <w:sz w:val="21"/>
                <w:szCs w:val="21"/>
              </w:rPr>
              <w:t>号外显子缺失突变或</w:t>
            </w:r>
            <w:r>
              <w:rPr>
                <w:rFonts w:ascii="Times New Roman" w:eastAsia="宋体"/>
                <w:color w:val="000000"/>
                <w:sz w:val="21"/>
                <w:szCs w:val="21"/>
              </w:rPr>
              <w:t>21</w:t>
            </w:r>
            <w:r>
              <w:rPr>
                <w:rFonts w:ascii="Times New Roman" w:eastAsia="宋体" w:hAnsi="宋体"/>
                <w:color w:val="000000"/>
                <w:sz w:val="21"/>
                <w:szCs w:val="21"/>
              </w:rPr>
              <w:t>号外显子</w:t>
            </w:r>
            <w:r>
              <w:rPr>
                <w:rFonts w:ascii="Times New Roman" w:eastAsia="宋体"/>
                <w:color w:val="000000"/>
                <w:sz w:val="21"/>
                <w:szCs w:val="21"/>
              </w:rPr>
              <w:t>L858R</w:t>
            </w:r>
            <w:r>
              <w:rPr>
                <w:rFonts w:ascii="Times New Roman" w:eastAsia="宋体" w:hAnsi="宋体"/>
                <w:color w:val="000000"/>
                <w:sz w:val="21"/>
                <w:szCs w:val="21"/>
              </w:rPr>
              <w:t>置换突变的局部晚期或转移性非小细胞肺癌（</w:t>
            </w:r>
            <w:r>
              <w:rPr>
                <w:rFonts w:ascii="Times New Roman" w:eastAsia="宋体"/>
                <w:color w:val="000000"/>
                <w:sz w:val="21"/>
                <w:szCs w:val="21"/>
              </w:rPr>
              <w:t>NSCLC</w:t>
            </w:r>
            <w:r>
              <w:rPr>
                <w:rFonts w:ascii="Times New Roman" w:eastAsia="宋体" w:hAnsi="宋体"/>
                <w:color w:val="000000"/>
                <w:sz w:val="21"/>
                <w:szCs w:val="21"/>
              </w:rPr>
              <w:t>）患者的一线治疗。</w:t>
            </w:r>
          </w:p>
        </w:tc>
      </w:tr>
      <w:tr w:rsidR="002D3004">
        <w:trPr>
          <w:trHeight w:val="1795"/>
          <w:jc w:val="center"/>
        </w:trPr>
        <w:tc>
          <w:tcPr>
            <w:tcW w:w="669" w:type="dxa"/>
            <w:noWrap/>
            <w:vAlign w:val="center"/>
          </w:tcPr>
          <w:p w:rsidR="002D3004" w:rsidRDefault="0093795E">
            <w:pPr>
              <w:widowControl/>
              <w:spacing w:line="280" w:lineRule="exact"/>
              <w:jc w:val="center"/>
              <w:textAlignment w:val="center"/>
              <w:rPr>
                <w:rFonts w:ascii="Times New Roman" w:eastAsia="宋体"/>
                <w:sz w:val="21"/>
                <w:szCs w:val="21"/>
              </w:rPr>
            </w:pPr>
            <w:r>
              <w:rPr>
                <w:rFonts w:ascii="Times New Roman" w:eastAsia="宋体" w:hint="eastAsia"/>
                <w:color w:val="000000"/>
                <w:sz w:val="21"/>
                <w:szCs w:val="21"/>
              </w:rPr>
              <w:t>5</w:t>
            </w:r>
          </w:p>
        </w:tc>
        <w:tc>
          <w:tcPr>
            <w:tcW w:w="2360" w:type="dxa"/>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Ansi="宋体"/>
                <w:color w:val="000000"/>
                <w:sz w:val="21"/>
                <w:szCs w:val="21"/>
              </w:rPr>
              <w:t>奥</w:t>
            </w:r>
            <w:proofErr w:type="gramStart"/>
            <w:r>
              <w:rPr>
                <w:rFonts w:ascii="Times New Roman" w:eastAsia="宋体" w:hAnsi="宋体"/>
                <w:color w:val="000000"/>
                <w:sz w:val="21"/>
                <w:szCs w:val="21"/>
              </w:rPr>
              <w:t>布替尼片</w:t>
            </w:r>
            <w:proofErr w:type="gramEnd"/>
          </w:p>
        </w:tc>
        <w:tc>
          <w:tcPr>
            <w:tcW w:w="5603" w:type="dxa"/>
            <w:noWrap/>
            <w:vAlign w:val="center"/>
          </w:tcPr>
          <w:p w:rsidR="002D3004" w:rsidRDefault="0093795E">
            <w:pPr>
              <w:widowControl/>
              <w:spacing w:line="280" w:lineRule="exact"/>
              <w:textAlignment w:val="top"/>
              <w:rPr>
                <w:rFonts w:ascii="Times New Roman" w:eastAsia="宋体"/>
                <w:color w:val="000000"/>
                <w:sz w:val="21"/>
                <w:szCs w:val="21"/>
              </w:rPr>
            </w:pPr>
            <w:r>
              <w:rPr>
                <w:rFonts w:ascii="Times New Roman" w:eastAsia="宋体" w:hAnsi="宋体"/>
                <w:color w:val="000000"/>
                <w:sz w:val="21"/>
                <w:szCs w:val="21"/>
              </w:rPr>
              <w:t>本品适用于治疗：</w:t>
            </w:r>
            <w:r>
              <w:rPr>
                <w:rFonts w:ascii="Times New Roman" w:eastAsia="宋体"/>
                <w:color w:val="000000"/>
                <w:sz w:val="21"/>
                <w:szCs w:val="21"/>
              </w:rPr>
              <w:t>1.</w:t>
            </w:r>
            <w:r>
              <w:rPr>
                <w:rFonts w:ascii="Times New Roman" w:eastAsia="宋体" w:hAnsi="宋体"/>
                <w:color w:val="000000"/>
                <w:sz w:val="21"/>
                <w:szCs w:val="21"/>
              </w:rPr>
              <w:t>既往至少接受过一种治疗的成人套细胞淋巴瘤（</w:t>
            </w:r>
            <w:r>
              <w:rPr>
                <w:rFonts w:ascii="Times New Roman" w:eastAsia="宋体"/>
                <w:color w:val="000000"/>
                <w:sz w:val="21"/>
                <w:szCs w:val="21"/>
              </w:rPr>
              <w:t>MCL</w:t>
            </w:r>
            <w:r>
              <w:rPr>
                <w:rFonts w:ascii="Times New Roman" w:eastAsia="宋体" w:hAnsi="宋体"/>
                <w:color w:val="000000"/>
                <w:sz w:val="21"/>
                <w:szCs w:val="21"/>
              </w:rPr>
              <w:t>）患者。</w:t>
            </w:r>
            <w:r>
              <w:rPr>
                <w:rFonts w:ascii="Times New Roman" w:eastAsia="宋体"/>
                <w:color w:val="000000"/>
                <w:sz w:val="21"/>
                <w:szCs w:val="21"/>
              </w:rPr>
              <w:t>2.</w:t>
            </w:r>
            <w:r>
              <w:rPr>
                <w:rFonts w:ascii="Times New Roman" w:eastAsia="宋体" w:hAnsi="宋体"/>
                <w:color w:val="000000"/>
                <w:sz w:val="21"/>
                <w:szCs w:val="21"/>
              </w:rPr>
              <w:t>既往至少接受过一种治疗的成人慢性淋巴细胞白血病（</w:t>
            </w:r>
            <w:r>
              <w:rPr>
                <w:rFonts w:ascii="Times New Roman" w:eastAsia="宋体"/>
                <w:color w:val="000000"/>
                <w:sz w:val="21"/>
                <w:szCs w:val="21"/>
              </w:rPr>
              <w:t>CLL</w:t>
            </w:r>
            <w:r>
              <w:rPr>
                <w:rFonts w:ascii="Times New Roman" w:eastAsia="宋体" w:hAnsi="宋体"/>
                <w:color w:val="000000"/>
                <w:sz w:val="21"/>
                <w:szCs w:val="21"/>
              </w:rPr>
              <w:t>）</w:t>
            </w:r>
            <w:r>
              <w:rPr>
                <w:rFonts w:ascii="Times New Roman" w:eastAsia="宋体"/>
                <w:color w:val="000000"/>
                <w:sz w:val="21"/>
                <w:szCs w:val="21"/>
              </w:rPr>
              <w:t>/</w:t>
            </w:r>
            <w:r>
              <w:rPr>
                <w:rFonts w:ascii="Times New Roman" w:eastAsia="宋体" w:hAnsi="宋体"/>
                <w:color w:val="000000"/>
                <w:sz w:val="21"/>
                <w:szCs w:val="21"/>
              </w:rPr>
              <w:t>小淋巴细胞淋巴瘤（</w:t>
            </w:r>
            <w:r>
              <w:rPr>
                <w:rFonts w:ascii="Times New Roman" w:eastAsia="宋体"/>
                <w:color w:val="000000"/>
                <w:sz w:val="21"/>
                <w:szCs w:val="21"/>
              </w:rPr>
              <w:t>SLL</w:t>
            </w:r>
            <w:r>
              <w:rPr>
                <w:rFonts w:ascii="Times New Roman" w:eastAsia="宋体" w:hAnsi="宋体"/>
                <w:color w:val="000000"/>
                <w:sz w:val="21"/>
                <w:szCs w:val="21"/>
              </w:rPr>
              <w:t>）患者。上述适应症分别基于一项单臂临床试验的客观缓解率结果给予的附条件批准。本品的完全批准将取决于正在开展中的确证性随机对照临床试验结果。</w:t>
            </w:r>
          </w:p>
        </w:tc>
      </w:tr>
      <w:tr w:rsidR="002D3004">
        <w:trPr>
          <w:trHeight w:val="975"/>
          <w:jc w:val="center"/>
        </w:trPr>
        <w:tc>
          <w:tcPr>
            <w:tcW w:w="669" w:type="dxa"/>
            <w:noWrap/>
            <w:vAlign w:val="center"/>
          </w:tcPr>
          <w:p w:rsidR="002D3004" w:rsidRDefault="0093795E">
            <w:pPr>
              <w:widowControl/>
              <w:spacing w:line="280" w:lineRule="exact"/>
              <w:jc w:val="center"/>
              <w:textAlignment w:val="center"/>
              <w:rPr>
                <w:rFonts w:ascii="Times New Roman" w:eastAsia="宋体"/>
                <w:sz w:val="21"/>
                <w:szCs w:val="21"/>
              </w:rPr>
            </w:pPr>
            <w:r>
              <w:rPr>
                <w:rFonts w:ascii="Times New Roman" w:eastAsia="宋体" w:hint="eastAsia"/>
                <w:color w:val="000000"/>
                <w:sz w:val="21"/>
                <w:szCs w:val="21"/>
              </w:rPr>
              <w:t>6</w:t>
            </w:r>
          </w:p>
        </w:tc>
        <w:tc>
          <w:tcPr>
            <w:tcW w:w="2360" w:type="dxa"/>
            <w:noWrap/>
            <w:vAlign w:val="center"/>
          </w:tcPr>
          <w:p w:rsidR="002D3004" w:rsidRDefault="0093795E">
            <w:pPr>
              <w:widowControl/>
              <w:spacing w:line="280" w:lineRule="exact"/>
              <w:jc w:val="center"/>
              <w:textAlignment w:val="center"/>
              <w:rPr>
                <w:rFonts w:ascii="Times New Roman" w:eastAsia="宋体"/>
                <w:sz w:val="21"/>
                <w:szCs w:val="21"/>
              </w:rPr>
            </w:pPr>
            <w:proofErr w:type="gramStart"/>
            <w:r>
              <w:rPr>
                <w:rFonts w:ascii="Times New Roman" w:eastAsia="宋体" w:hAnsi="宋体"/>
                <w:color w:val="000000"/>
                <w:sz w:val="21"/>
                <w:szCs w:val="21"/>
              </w:rPr>
              <w:t>奥妥珠单</w:t>
            </w:r>
            <w:proofErr w:type="gramEnd"/>
            <w:r>
              <w:rPr>
                <w:rFonts w:ascii="Times New Roman" w:eastAsia="宋体" w:hAnsi="宋体"/>
                <w:color w:val="000000"/>
                <w:sz w:val="21"/>
                <w:szCs w:val="21"/>
              </w:rPr>
              <w:t>抗注射液</w:t>
            </w:r>
          </w:p>
        </w:tc>
        <w:tc>
          <w:tcPr>
            <w:tcW w:w="5603" w:type="dxa"/>
            <w:noWrap/>
            <w:vAlign w:val="center"/>
          </w:tcPr>
          <w:p w:rsidR="002D3004" w:rsidRDefault="0093795E">
            <w:pPr>
              <w:widowControl/>
              <w:spacing w:line="280" w:lineRule="exact"/>
              <w:textAlignment w:val="top"/>
              <w:rPr>
                <w:rFonts w:ascii="Times New Roman" w:eastAsia="宋体"/>
                <w:sz w:val="21"/>
                <w:szCs w:val="21"/>
              </w:rPr>
            </w:pPr>
            <w:r>
              <w:rPr>
                <w:rFonts w:ascii="Times New Roman" w:eastAsia="宋体" w:hAnsi="宋体"/>
                <w:color w:val="000000"/>
                <w:sz w:val="21"/>
                <w:szCs w:val="21"/>
              </w:rPr>
              <w:t>本品与化疗联合，用于初治的</w:t>
            </w:r>
            <w:r>
              <w:rPr>
                <w:rFonts w:ascii="Times New Roman" w:eastAsia="宋体"/>
                <w:color w:val="000000"/>
                <w:sz w:val="21"/>
                <w:szCs w:val="21"/>
              </w:rPr>
              <w:t>II</w:t>
            </w:r>
            <w:r>
              <w:rPr>
                <w:rFonts w:ascii="Times New Roman" w:eastAsia="宋体" w:hAnsi="宋体"/>
                <w:color w:val="000000"/>
                <w:sz w:val="21"/>
                <w:szCs w:val="21"/>
              </w:rPr>
              <w:t>期伴有巨大肿块、</w:t>
            </w:r>
            <w:r>
              <w:rPr>
                <w:rFonts w:ascii="Times New Roman" w:eastAsia="宋体"/>
                <w:color w:val="000000"/>
                <w:sz w:val="21"/>
                <w:szCs w:val="21"/>
              </w:rPr>
              <w:t>III</w:t>
            </w:r>
            <w:r>
              <w:rPr>
                <w:rFonts w:ascii="Times New Roman" w:eastAsia="宋体" w:hAnsi="宋体"/>
                <w:color w:val="000000"/>
                <w:sz w:val="21"/>
                <w:szCs w:val="21"/>
              </w:rPr>
              <w:t>期或</w:t>
            </w:r>
            <w:r>
              <w:rPr>
                <w:rFonts w:ascii="Times New Roman" w:eastAsia="宋体"/>
                <w:color w:val="000000"/>
                <w:sz w:val="21"/>
                <w:szCs w:val="21"/>
              </w:rPr>
              <w:t>IV</w:t>
            </w:r>
            <w:r>
              <w:rPr>
                <w:rFonts w:ascii="Times New Roman" w:eastAsia="宋体" w:hAnsi="宋体"/>
                <w:color w:val="000000"/>
                <w:sz w:val="21"/>
                <w:szCs w:val="21"/>
              </w:rPr>
              <w:t>期滤泡性淋巴瘤成人患者，达到至少部分缓解的患者随后用</w:t>
            </w:r>
            <w:proofErr w:type="gramStart"/>
            <w:r>
              <w:rPr>
                <w:rFonts w:ascii="Times New Roman" w:eastAsia="宋体" w:hAnsi="宋体"/>
                <w:color w:val="000000"/>
                <w:sz w:val="21"/>
                <w:szCs w:val="21"/>
              </w:rPr>
              <w:t>奥妥珠单抗维持</w:t>
            </w:r>
            <w:proofErr w:type="gramEnd"/>
            <w:r>
              <w:rPr>
                <w:rFonts w:ascii="Times New Roman" w:eastAsia="宋体" w:hAnsi="宋体"/>
                <w:color w:val="000000"/>
                <w:sz w:val="21"/>
                <w:szCs w:val="21"/>
              </w:rPr>
              <w:t>治疗。</w:t>
            </w:r>
          </w:p>
        </w:tc>
      </w:tr>
      <w:tr w:rsidR="002D3004">
        <w:trPr>
          <w:trHeight w:val="1475"/>
          <w:jc w:val="center"/>
        </w:trPr>
        <w:tc>
          <w:tcPr>
            <w:tcW w:w="669" w:type="dxa"/>
            <w:noWrap/>
            <w:vAlign w:val="center"/>
          </w:tcPr>
          <w:p w:rsidR="002D3004" w:rsidRDefault="0093795E">
            <w:pPr>
              <w:widowControl/>
              <w:spacing w:line="260" w:lineRule="exact"/>
              <w:jc w:val="center"/>
              <w:textAlignment w:val="center"/>
              <w:rPr>
                <w:rFonts w:ascii="Times New Roman" w:eastAsia="宋体"/>
                <w:sz w:val="21"/>
                <w:szCs w:val="21"/>
              </w:rPr>
            </w:pPr>
            <w:r>
              <w:rPr>
                <w:rFonts w:ascii="Times New Roman" w:eastAsia="宋体" w:hint="eastAsia"/>
                <w:color w:val="000000"/>
                <w:sz w:val="21"/>
                <w:szCs w:val="21"/>
              </w:rPr>
              <w:t>7</w:t>
            </w:r>
          </w:p>
        </w:tc>
        <w:tc>
          <w:tcPr>
            <w:tcW w:w="2360" w:type="dxa"/>
            <w:noWrap/>
            <w:vAlign w:val="center"/>
          </w:tcPr>
          <w:p w:rsidR="002D3004" w:rsidRDefault="0093795E">
            <w:pPr>
              <w:widowControl/>
              <w:spacing w:line="260" w:lineRule="exact"/>
              <w:jc w:val="center"/>
              <w:textAlignment w:val="center"/>
              <w:rPr>
                <w:rFonts w:ascii="Times New Roman" w:eastAsia="宋体"/>
                <w:sz w:val="21"/>
                <w:szCs w:val="21"/>
              </w:rPr>
            </w:pPr>
            <w:r>
              <w:rPr>
                <w:rFonts w:ascii="Times New Roman" w:eastAsia="宋体" w:hAnsi="宋体"/>
                <w:color w:val="000000"/>
                <w:sz w:val="21"/>
                <w:szCs w:val="21"/>
              </w:rPr>
              <w:t>氟</w:t>
            </w:r>
            <w:proofErr w:type="gramStart"/>
            <w:r>
              <w:rPr>
                <w:rFonts w:ascii="Times New Roman" w:eastAsia="宋体" w:hAnsi="宋体"/>
                <w:color w:val="000000"/>
                <w:sz w:val="21"/>
                <w:szCs w:val="21"/>
              </w:rPr>
              <w:t>唑</w:t>
            </w:r>
            <w:proofErr w:type="gramEnd"/>
            <w:r>
              <w:rPr>
                <w:rFonts w:ascii="Times New Roman" w:eastAsia="宋体" w:hAnsi="宋体"/>
                <w:color w:val="000000"/>
                <w:sz w:val="21"/>
                <w:szCs w:val="21"/>
              </w:rPr>
              <w:t>帕利胶囊</w:t>
            </w:r>
          </w:p>
        </w:tc>
        <w:tc>
          <w:tcPr>
            <w:tcW w:w="5603" w:type="dxa"/>
            <w:noWrap/>
            <w:vAlign w:val="center"/>
          </w:tcPr>
          <w:p w:rsidR="002D3004" w:rsidRDefault="0093795E">
            <w:pPr>
              <w:widowControl/>
              <w:spacing w:line="260" w:lineRule="exact"/>
              <w:textAlignment w:val="top"/>
              <w:rPr>
                <w:rFonts w:ascii="Times New Roman" w:eastAsia="宋体"/>
                <w:color w:val="000000"/>
                <w:sz w:val="21"/>
                <w:szCs w:val="21"/>
              </w:rPr>
            </w:pPr>
            <w:r>
              <w:rPr>
                <w:rFonts w:ascii="Times New Roman" w:eastAsia="宋体"/>
                <w:color w:val="000000"/>
                <w:sz w:val="21"/>
                <w:szCs w:val="21"/>
              </w:rPr>
              <w:t>1.</w:t>
            </w:r>
            <w:r>
              <w:rPr>
                <w:rFonts w:ascii="Times New Roman" w:eastAsia="宋体" w:hint="eastAsia"/>
                <w:color w:val="000000"/>
                <w:sz w:val="21"/>
                <w:szCs w:val="21"/>
              </w:rPr>
              <w:t xml:space="preserve"> </w:t>
            </w:r>
            <w:r>
              <w:rPr>
                <w:rFonts w:ascii="Times New Roman" w:eastAsia="宋体" w:hAnsi="宋体"/>
                <w:color w:val="000000"/>
                <w:sz w:val="21"/>
                <w:szCs w:val="21"/>
              </w:rPr>
              <w:t>用于既往经过二线及以上化疗的伴有胚系</w:t>
            </w:r>
            <w:r>
              <w:rPr>
                <w:rFonts w:ascii="Times New Roman" w:eastAsia="宋体"/>
                <w:color w:val="000000"/>
                <w:sz w:val="21"/>
                <w:szCs w:val="21"/>
              </w:rPr>
              <w:t>BRCA</w:t>
            </w:r>
            <w:r>
              <w:rPr>
                <w:rFonts w:ascii="Times New Roman" w:eastAsia="宋体" w:hAnsi="宋体"/>
                <w:color w:val="000000"/>
                <w:sz w:val="21"/>
                <w:szCs w:val="21"/>
              </w:rPr>
              <w:t>突变（</w:t>
            </w:r>
            <w:proofErr w:type="spellStart"/>
            <w:r>
              <w:rPr>
                <w:rFonts w:ascii="Times New Roman" w:eastAsia="宋体"/>
                <w:color w:val="000000"/>
                <w:sz w:val="21"/>
                <w:szCs w:val="21"/>
              </w:rPr>
              <w:t>gBRCAm</w:t>
            </w:r>
            <w:proofErr w:type="spellEnd"/>
            <w:r>
              <w:rPr>
                <w:rFonts w:ascii="Times New Roman" w:eastAsia="宋体" w:hAnsi="宋体"/>
                <w:color w:val="000000"/>
                <w:sz w:val="21"/>
                <w:szCs w:val="21"/>
              </w:rPr>
              <w:t>）的铂敏感复发性卵巢癌、输卵管癌或原发性腹膜癌患者的治疗。</w:t>
            </w:r>
            <w:r>
              <w:rPr>
                <w:rFonts w:ascii="Times New Roman" w:eastAsia="宋体"/>
                <w:color w:val="000000"/>
                <w:sz w:val="21"/>
                <w:szCs w:val="21"/>
              </w:rPr>
              <w:t>2.</w:t>
            </w:r>
            <w:r>
              <w:rPr>
                <w:rFonts w:ascii="Times New Roman" w:eastAsia="宋体" w:hint="eastAsia"/>
                <w:color w:val="000000"/>
                <w:sz w:val="21"/>
                <w:szCs w:val="21"/>
              </w:rPr>
              <w:t xml:space="preserve"> </w:t>
            </w:r>
            <w:r>
              <w:rPr>
                <w:rFonts w:ascii="Times New Roman" w:eastAsia="宋体" w:hAnsi="宋体"/>
                <w:color w:val="000000"/>
                <w:sz w:val="21"/>
                <w:szCs w:val="21"/>
              </w:rPr>
              <w:t>用于</w:t>
            </w:r>
            <w:proofErr w:type="gramStart"/>
            <w:r>
              <w:rPr>
                <w:rFonts w:ascii="Times New Roman" w:eastAsia="宋体" w:hAnsi="宋体"/>
                <w:color w:val="000000"/>
                <w:sz w:val="21"/>
                <w:szCs w:val="21"/>
              </w:rPr>
              <w:t>铂</w:t>
            </w:r>
            <w:proofErr w:type="gramEnd"/>
            <w:r>
              <w:rPr>
                <w:rFonts w:ascii="Times New Roman" w:eastAsia="宋体" w:hAnsi="宋体"/>
                <w:color w:val="000000"/>
                <w:sz w:val="21"/>
                <w:szCs w:val="21"/>
              </w:rPr>
              <w:t>敏感的复发性上皮性卵巢癌、输卵管癌或原发性腹膜癌成人患者在含铂化疗达到完全缓解或部分缓解后的维持治疗。</w:t>
            </w:r>
          </w:p>
        </w:tc>
      </w:tr>
      <w:tr w:rsidR="002D3004">
        <w:trPr>
          <w:trHeight w:val="1905"/>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lastRenderedPageBreak/>
              <w:t>8</w:t>
            </w:r>
          </w:p>
        </w:tc>
        <w:tc>
          <w:tcPr>
            <w:tcW w:w="2360"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Ansi="宋体"/>
                <w:color w:val="000000"/>
                <w:sz w:val="21"/>
                <w:szCs w:val="21"/>
              </w:rPr>
              <w:t>帕米帕利胶囊</w:t>
            </w:r>
          </w:p>
        </w:tc>
        <w:tc>
          <w:tcPr>
            <w:tcW w:w="5603" w:type="dxa"/>
            <w:noWrap/>
            <w:vAlign w:val="center"/>
          </w:tcPr>
          <w:p w:rsidR="002D3004" w:rsidRDefault="0093795E">
            <w:pPr>
              <w:widowControl/>
              <w:spacing w:line="260" w:lineRule="exact"/>
              <w:textAlignment w:val="top"/>
              <w:rPr>
                <w:rFonts w:ascii="Times New Roman" w:eastAsia="宋体"/>
                <w:color w:val="000000"/>
                <w:sz w:val="21"/>
                <w:szCs w:val="21"/>
              </w:rPr>
            </w:pPr>
            <w:r>
              <w:rPr>
                <w:rFonts w:ascii="Times New Roman" w:eastAsia="宋体" w:hAnsi="宋体"/>
                <w:color w:val="000000"/>
                <w:sz w:val="21"/>
                <w:szCs w:val="21"/>
              </w:rPr>
              <w:t>用于既往经过二线及以上化疗的伴有胚系</w:t>
            </w:r>
            <w:r>
              <w:rPr>
                <w:rFonts w:ascii="Times New Roman" w:eastAsia="宋体"/>
                <w:color w:val="000000"/>
                <w:sz w:val="21"/>
                <w:szCs w:val="21"/>
              </w:rPr>
              <w:t>BRCA</w:t>
            </w:r>
            <w:r>
              <w:rPr>
                <w:rFonts w:ascii="Times New Roman" w:eastAsia="宋体" w:hAnsi="宋体"/>
                <w:color w:val="000000"/>
                <w:sz w:val="21"/>
                <w:szCs w:val="21"/>
              </w:rPr>
              <w:t>（</w:t>
            </w:r>
            <w:proofErr w:type="spellStart"/>
            <w:r>
              <w:rPr>
                <w:rFonts w:ascii="Times New Roman" w:eastAsia="宋体"/>
                <w:color w:val="000000"/>
                <w:sz w:val="21"/>
                <w:szCs w:val="21"/>
              </w:rPr>
              <w:t>gBRCA</w:t>
            </w:r>
            <w:proofErr w:type="spellEnd"/>
            <w:r>
              <w:rPr>
                <w:rFonts w:ascii="Times New Roman" w:eastAsia="宋体" w:hAnsi="宋体"/>
                <w:color w:val="000000"/>
                <w:sz w:val="21"/>
                <w:szCs w:val="21"/>
              </w:rPr>
              <w:t>）突变的复发性晚期卵巢癌、输卵管癌或原发性腹膜癌患者的治疗。该适应症是基于一项包括</w:t>
            </w:r>
            <w:r>
              <w:rPr>
                <w:rFonts w:ascii="Times New Roman" w:eastAsia="宋体"/>
                <w:color w:val="000000"/>
                <w:sz w:val="21"/>
                <w:szCs w:val="21"/>
              </w:rPr>
              <w:t>113</w:t>
            </w:r>
            <w:r>
              <w:rPr>
                <w:rFonts w:ascii="Times New Roman" w:eastAsia="宋体" w:hAnsi="宋体"/>
                <w:color w:val="000000"/>
                <w:sz w:val="21"/>
                <w:szCs w:val="21"/>
              </w:rPr>
              <w:t>例既往经过二线及</w:t>
            </w:r>
            <w:r>
              <w:rPr>
                <w:rFonts w:ascii="Times New Roman" w:eastAsia="宋体" w:hAnsi="宋体"/>
                <w:color w:val="000000"/>
                <w:spacing w:val="-6"/>
                <w:sz w:val="21"/>
                <w:szCs w:val="21"/>
              </w:rPr>
              <w:t>以上化疗的伴有</w:t>
            </w:r>
            <w:proofErr w:type="spellStart"/>
            <w:r>
              <w:rPr>
                <w:rFonts w:ascii="Times New Roman" w:eastAsia="宋体"/>
                <w:color w:val="000000"/>
                <w:spacing w:val="-6"/>
                <w:sz w:val="21"/>
                <w:szCs w:val="21"/>
              </w:rPr>
              <w:t>gBRCA</w:t>
            </w:r>
            <w:proofErr w:type="spellEnd"/>
            <w:r>
              <w:rPr>
                <w:rFonts w:ascii="Times New Roman" w:eastAsia="宋体" w:hAnsi="宋体"/>
                <w:color w:val="000000"/>
                <w:spacing w:val="-6"/>
                <w:sz w:val="21"/>
                <w:szCs w:val="21"/>
              </w:rPr>
              <w:t>突变的复发性晚期卵巢癌、输卵管癌或原发性腹膜癌患者中开展的开放性、多中心、单臂、</w:t>
            </w:r>
            <w:r>
              <w:rPr>
                <w:rFonts w:ascii="Times New Roman" w:eastAsia="宋体"/>
                <w:color w:val="000000"/>
                <w:spacing w:val="-6"/>
                <w:sz w:val="21"/>
                <w:szCs w:val="21"/>
              </w:rPr>
              <w:t>II</w:t>
            </w:r>
            <w:r>
              <w:rPr>
                <w:rFonts w:ascii="Times New Roman" w:eastAsia="宋体" w:hAnsi="宋体"/>
                <w:color w:val="000000"/>
                <w:spacing w:val="-6"/>
                <w:sz w:val="21"/>
                <w:szCs w:val="21"/>
              </w:rPr>
              <w:t>期临床试验结果给予的附条件批准。该适应症的完全批准将取决于正在进行的确证性试验证实本品在该人群的临床获益。</w:t>
            </w:r>
          </w:p>
        </w:tc>
      </w:tr>
      <w:tr w:rsidR="002D3004">
        <w:trPr>
          <w:trHeight w:val="1505"/>
          <w:jc w:val="center"/>
        </w:trPr>
        <w:tc>
          <w:tcPr>
            <w:tcW w:w="669" w:type="dxa"/>
            <w:noWrap/>
            <w:vAlign w:val="center"/>
          </w:tcPr>
          <w:p w:rsidR="002D3004" w:rsidRDefault="0093795E">
            <w:pPr>
              <w:widowControl/>
              <w:spacing w:line="280" w:lineRule="exact"/>
              <w:jc w:val="center"/>
              <w:textAlignment w:val="center"/>
              <w:rPr>
                <w:rFonts w:ascii="Times New Roman" w:eastAsia="宋体"/>
                <w:sz w:val="21"/>
                <w:szCs w:val="21"/>
              </w:rPr>
            </w:pPr>
            <w:r>
              <w:rPr>
                <w:rFonts w:ascii="Times New Roman" w:eastAsia="宋体" w:hint="eastAsia"/>
                <w:color w:val="000000"/>
                <w:sz w:val="21"/>
                <w:szCs w:val="21"/>
              </w:rPr>
              <w:t>9</w:t>
            </w:r>
          </w:p>
        </w:tc>
        <w:tc>
          <w:tcPr>
            <w:tcW w:w="2360" w:type="dxa"/>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Ansi="宋体"/>
                <w:color w:val="000000"/>
                <w:sz w:val="21"/>
                <w:szCs w:val="21"/>
              </w:rPr>
              <w:t>阿贝西利片</w:t>
            </w:r>
          </w:p>
        </w:tc>
        <w:tc>
          <w:tcPr>
            <w:tcW w:w="5603" w:type="dxa"/>
            <w:noWrap/>
            <w:vAlign w:val="center"/>
          </w:tcPr>
          <w:p w:rsidR="002D3004" w:rsidRDefault="0093795E">
            <w:pPr>
              <w:widowControl/>
              <w:spacing w:line="280" w:lineRule="exact"/>
              <w:textAlignment w:val="top"/>
              <w:rPr>
                <w:rFonts w:ascii="Times New Roman" w:eastAsia="宋体"/>
                <w:color w:val="000000"/>
                <w:sz w:val="21"/>
                <w:szCs w:val="21"/>
              </w:rPr>
            </w:pPr>
            <w:r>
              <w:rPr>
                <w:rFonts w:ascii="Times New Roman" w:eastAsia="宋体" w:hAnsi="宋体"/>
                <w:color w:val="000000"/>
                <w:sz w:val="21"/>
                <w:szCs w:val="21"/>
              </w:rPr>
              <w:t>本品适用于激素受体（</w:t>
            </w:r>
            <w:r>
              <w:rPr>
                <w:rFonts w:ascii="Times New Roman" w:eastAsia="宋体"/>
                <w:color w:val="000000"/>
                <w:sz w:val="21"/>
                <w:szCs w:val="21"/>
              </w:rPr>
              <w:t>HR</w:t>
            </w:r>
            <w:r>
              <w:rPr>
                <w:rFonts w:ascii="Times New Roman" w:eastAsia="宋体" w:hAnsi="宋体"/>
                <w:color w:val="000000"/>
                <w:sz w:val="21"/>
                <w:szCs w:val="21"/>
              </w:rPr>
              <w:t>）阳性、人表皮生长因子受体</w:t>
            </w:r>
            <w:r>
              <w:rPr>
                <w:rFonts w:ascii="Times New Roman" w:eastAsia="宋体"/>
                <w:color w:val="000000"/>
                <w:sz w:val="21"/>
                <w:szCs w:val="21"/>
              </w:rPr>
              <w:t>2</w:t>
            </w:r>
            <w:r>
              <w:rPr>
                <w:rFonts w:ascii="Times New Roman" w:eastAsia="宋体" w:hAnsi="宋体"/>
                <w:color w:val="000000"/>
                <w:sz w:val="21"/>
                <w:szCs w:val="21"/>
              </w:rPr>
              <w:t>（</w:t>
            </w:r>
            <w:r>
              <w:rPr>
                <w:rFonts w:ascii="Times New Roman" w:eastAsia="宋体"/>
                <w:color w:val="000000"/>
                <w:sz w:val="21"/>
                <w:szCs w:val="21"/>
              </w:rPr>
              <w:t>HER2</w:t>
            </w:r>
            <w:r>
              <w:rPr>
                <w:rFonts w:ascii="Times New Roman" w:eastAsia="宋体" w:hAnsi="宋体"/>
                <w:color w:val="000000"/>
                <w:sz w:val="21"/>
                <w:szCs w:val="21"/>
              </w:rPr>
              <w:t>）阴性的局部晚期或转移性乳腺癌：</w:t>
            </w:r>
            <w:r>
              <w:rPr>
                <w:rFonts w:ascii="Times New Roman" w:eastAsia="宋体"/>
                <w:color w:val="000000"/>
                <w:sz w:val="21"/>
                <w:szCs w:val="21"/>
              </w:rPr>
              <w:t>1.</w:t>
            </w:r>
            <w:r>
              <w:rPr>
                <w:rFonts w:ascii="Times New Roman" w:eastAsia="宋体" w:hint="eastAsia"/>
                <w:color w:val="000000"/>
                <w:sz w:val="21"/>
                <w:szCs w:val="21"/>
              </w:rPr>
              <w:t xml:space="preserve"> </w:t>
            </w:r>
            <w:r>
              <w:rPr>
                <w:rFonts w:ascii="Times New Roman" w:eastAsia="宋体" w:hAnsi="宋体"/>
                <w:color w:val="000000"/>
                <w:sz w:val="21"/>
                <w:szCs w:val="21"/>
              </w:rPr>
              <w:t>与芳香化酶抑制</w:t>
            </w:r>
            <w:proofErr w:type="gramStart"/>
            <w:r>
              <w:rPr>
                <w:rFonts w:ascii="Times New Roman" w:eastAsia="宋体" w:hAnsi="宋体"/>
                <w:color w:val="000000"/>
                <w:sz w:val="21"/>
                <w:szCs w:val="21"/>
              </w:rPr>
              <w:t>剂联合</w:t>
            </w:r>
            <w:proofErr w:type="gramEnd"/>
            <w:r>
              <w:rPr>
                <w:rFonts w:ascii="Times New Roman" w:eastAsia="宋体" w:hAnsi="宋体"/>
                <w:color w:val="000000"/>
                <w:sz w:val="21"/>
                <w:szCs w:val="21"/>
              </w:rPr>
              <w:t>使用作为绝经后女性患者的初始内分泌治疗；</w:t>
            </w:r>
            <w:r>
              <w:rPr>
                <w:rFonts w:ascii="Times New Roman" w:eastAsia="宋体"/>
                <w:color w:val="000000"/>
                <w:sz w:val="21"/>
                <w:szCs w:val="21"/>
              </w:rPr>
              <w:t>2.</w:t>
            </w:r>
            <w:r>
              <w:rPr>
                <w:rFonts w:ascii="Times New Roman" w:eastAsia="宋体" w:hint="eastAsia"/>
                <w:color w:val="000000"/>
                <w:sz w:val="21"/>
                <w:szCs w:val="21"/>
              </w:rPr>
              <w:t xml:space="preserve"> </w:t>
            </w:r>
            <w:r>
              <w:rPr>
                <w:rFonts w:ascii="Times New Roman" w:eastAsia="宋体" w:hAnsi="宋体"/>
                <w:color w:val="000000"/>
                <w:sz w:val="21"/>
                <w:szCs w:val="21"/>
              </w:rPr>
              <w:t>与</w:t>
            </w:r>
            <w:proofErr w:type="gramStart"/>
            <w:r>
              <w:rPr>
                <w:rFonts w:ascii="Times New Roman" w:eastAsia="宋体" w:hAnsi="宋体"/>
                <w:color w:val="000000"/>
                <w:sz w:val="21"/>
                <w:szCs w:val="21"/>
              </w:rPr>
              <w:t>氟维司群</w:t>
            </w:r>
            <w:proofErr w:type="gramEnd"/>
            <w:r>
              <w:rPr>
                <w:rFonts w:ascii="Times New Roman" w:eastAsia="宋体" w:hAnsi="宋体"/>
                <w:color w:val="000000"/>
                <w:sz w:val="21"/>
                <w:szCs w:val="21"/>
              </w:rPr>
              <w:t>联合用于</w:t>
            </w:r>
            <w:proofErr w:type="gramStart"/>
            <w:r>
              <w:rPr>
                <w:rFonts w:ascii="Times New Roman" w:eastAsia="宋体" w:hAnsi="宋体"/>
                <w:color w:val="000000"/>
                <w:sz w:val="21"/>
                <w:szCs w:val="21"/>
              </w:rPr>
              <w:t>既往曾</w:t>
            </w:r>
            <w:proofErr w:type="gramEnd"/>
            <w:r>
              <w:rPr>
                <w:rFonts w:ascii="Times New Roman" w:eastAsia="宋体" w:hAnsi="宋体"/>
                <w:color w:val="000000"/>
                <w:sz w:val="21"/>
                <w:szCs w:val="21"/>
              </w:rPr>
              <w:t>接受内分泌治疗后出现疾病进展的患者。</w:t>
            </w:r>
          </w:p>
        </w:tc>
      </w:tr>
      <w:tr w:rsidR="002D3004">
        <w:trPr>
          <w:trHeight w:val="835"/>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color w:val="000000"/>
                <w:sz w:val="21"/>
                <w:szCs w:val="21"/>
              </w:rPr>
              <w:t>1</w:t>
            </w:r>
            <w:r>
              <w:rPr>
                <w:rFonts w:ascii="Times New Roman" w:eastAsia="宋体" w:hint="eastAsia"/>
                <w:color w:val="000000"/>
                <w:sz w:val="21"/>
                <w:szCs w:val="21"/>
              </w:rPr>
              <w:t>0</w:t>
            </w:r>
          </w:p>
        </w:tc>
        <w:tc>
          <w:tcPr>
            <w:tcW w:w="2360"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Ansi="宋体"/>
                <w:color w:val="000000"/>
                <w:sz w:val="21"/>
                <w:szCs w:val="21"/>
              </w:rPr>
              <w:t>甲磺酸艾立布林注射液</w:t>
            </w:r>
          </w:p>
        </w:tc>
        <w:tc>
          <w:tcPr>
            <w:tcW w:w="5603" w:type="dxa"/>
            <w:noWrap/>
            <w:vAlign w:val="center"/>
          </w:tcPr>
          <w:p w:rsidR="002D3004" w:rsidRDefault="0093795E">
            <w:pPr>
              <w:widowControl/>
              <w:spacing w:line="260" w:lineRule="exact"/>
              <w:textAlignment w:val="top"/>
              <w:rPr>
                <w:rFonts w:ascii="Times New Roman" w:eastAsia="宋体"/>
                <w:color w:val="000000"/>
                <w:sz w:val="21"/>
                <w:szCs w:val="21"/>
              </w:rPr>
            </w:pPr>
            <w:r>
              <w:rPr>
                <w:rFonts w:ascii="Times New Roman" w:eastAsia="宋体" w:hAnsi="宋体"/>
                <w:color w:val="000000"/>
                <w:sz w:val="21"/>
                <w:szCs w:val="21"/>
              </w:rPr>
              <w:t>本品适用于既往接受过至少两种化疗方案的局部晚期或转移性乳腺癌患者。既往的化疗方案应包含一种</w:t>
            </w:r>
            <w:proofErr w:type="gramStart"/>
            <w:r>
              <w:rPr>
                <w:rFonts w:ascii="Times New Roman" w:eastAsia="宋体" w:hAnsi="宋体"/>
                <w:color w:val="000000"/>
                <w:sz w:val="21"/>
                <w:szCs w:val="21"/>
              </w:rPr>
              <w:t>蒽</w:t>
            </w:r>
            <w:proofErr w:type="gramEnd"/>
            <w:r>
              <w:rPr>
                <w:rFonts w:ascii="Times New Roman" w:eastAsia="宋体" w:hAnsi="宋体"/>
                <w:color w:val="000000"/>
                <w:sz w:val="21"/>
                <w:szCs w:val="21"/>
              </w:rPr>
              <w:t>环类和一种紫杉烷类药物。</w:t>
            </w:r>
          </w:p>
        </w:tc>
      </w:tr>
      <w:tr w:rsidR="002D3004">
        <w:trPr>
          <w:trHeight w:val="615"/>
          <w:jc w:val="center"/>
        </w:trPr>
        <w:tc>
          <w:tcPr>
            <w:tcW w:w="669" w:type="dxa"/>
            <w:noWrap/>
            <w:vAlign w:val="center"/>
          </w:tcPr>
          <w:p w:rsidR="002D3004" w:rsidRDefault="0093795E">
            <w:pPr>
              <w:widowControl/>
              <w:spacing w:line="260" w:lineRule="exact"/>
              <w:jc w:val="center"/>
              <w:textAlignment w:val="center"/>
              <w:rPr>
                <w:rFonts w:ascii="Times New Roman" w:eastAsia="宋体"/>
                <w:sz w:val="21"/>
                <w:szCs w:val="21"/>
              </w:rPr>
            </w:pPr>
            <w:r>
              <w:rPr>
                <w:rFonts w:ascii="Times New Roman" w:eastAsia="宋体" w:hint="eastAsia"/>
                <w:color w:val="000000"/>
                <w:sz w:val="21"/>
                <w:szCs w:val="21"/>
              </w:rPr>
              <w:t>11</w:t>
            </w:r>
          </w:p>
        </w:tc>
        <w:tc>
          <w:tcPr>
            <w:tcW w:w="2360" w:type="dxa"/>
            <w:noWrap/>
            <w:vAlign w:val="center"/>
          </w:tcPr>
          <w:p w:rsidR="002D3004" w:rsidRDefault="0093795E">
            <w:pPr>
              <w:widowControl/>
              <w:spacing w:line="260" w:lineRule="exact"/>
              <w:jc w:val="center"/>
              <w:textAlignment w:val="center"/>
              <w:rPr>
                <w:rFonts w:ascii="Times New Roman" w:eastAsia="宋体"/>
                <w:sz w:val="21"/>
                <w:szCs w:val="21"/>
              </w:rPr>
            </w:pPr>
            <w:r>
              <w:rPr>
                <w:rFonts w:ascii="Times New Roman" w:eastAsia="宋体" w:hAnsi="宋体"/>
                <w:color w:val="000000"/>
                <w:sz w:val="21"/>
                <w:szCs w:val="21"/>
              </w:rPr>
              <w:t>马来酸奈</w:t>
            </w:r>
            <w:proofErr w:type="gramStart"/>
            <w:r>
              <w:rPr>
                <w:rFonts w:ascii="Times New Roman" w:eastAsia="宋体" w:hAnsi="宋体"/>
                <w:color w:val="000000"/>
                <w:sz w:val="21"/>
                <w:szCs w:val="21"/>
              </w:rPr>
              <w:t>拉替尼片</w:t>
            </w:r>
            <w:proofErr w:type="gramEnd"/>
          </w:p>
        </w:tc>
        <w:tc>
          <w:tcPr>
            <w:tcW w:w="5603" w:type="dxa"/>
            <w:noWrap/>
            <w:vAlign w:val="center"/>
          </w:tcPr>
          <w:p w:rsidR="002D3004" w:rsidRDefault="0093795E">
            <w:pPr>
              <w:widowControl/>
              <w:spacing w:line="260" w:lineRule="exact"/>
              <w:textAlignment w:val="top"/>
              <w:rPr>
                <w:rFonts w:ascii="Times New Roman" w:eastAsia="宋体"/>
                <w:spacing w:val="-8"/>
                <w:sz w:val="21"/>
                <w:szCs w:val="21"/>
              </w:rPr>
            </w:pPr>
            <w:r>
              <w:rPr>
                <w:rFonts w:ascii="Times New Roman" w:eastAsia="宋体" w:hAnsi="宋体"/>
                <w:color w:val="000000"/>
                <w:spacing w:val="-8"/>
                <w:sz w:val="21"/>
                <w:szCs w:val="21"/>
              </w:rPr>
              <w:t>适用于人类表皮生长因子受体</w:t>
            </w:r>
            <w:r>
              <w:rPr>
                <w:rFonts w:ascii="Times New Roman" w:eastAsia="宋体"/>
                <w:color w:val="000000"/>
                <w:spacing w:val="-8"/>
                <w:sz w:val="21"/>
                <w:szCs w:val="21"/>
              </w:rPr>
              <w:t>2</w:t>
            </w:r>
            <w:r>
              <w:rPr>
                <w:rFonts w:ascii="Times New Roman" w:eastAsia="宋体" w:hAnsi="宋体"/>
                <w:color w:val="000000"/>
                <w:spacing w:val="-8"/>
                <w:sz w:val="21"/>
                <w:szCs w:val="21"/>
              </w:rPr>
              <w:t>（</w:t>
            </w:r>
            <w:r>
              <w:rPr>
                <w:rFonts w:ascii="Times New Roman" w:eastAsia="宋体"/>
                <w:color w:val="000000"/>
                <w:spacing w:val="-8"/>
                <w:sz w:val="21"/>
                <w:szCs w:val="21"/>
              </w:rPr>
              <w:t>HER2</w:t>
            </w:r>
            <w:r>
              <w:rPr>
                <w:rFonts w:ascii="Times New Roman" w:eastAsia="宋体" w:hAnsi="宋体"/>
                <w:color w:val="000000"/>
                <w:spacing w:val="-8"/>
                <w:sz w:val="21"/>
                <w:szCs w:val="21"/>
              </w:rPr>
              <w:t>）阳性的早期乳腺癌成年患者，在接受</w:t>
            </w:r>
            <w:proofErr w:type="gramStart"/>
            <w:r>
              <w:rPr>
                <w:rFonts w:ascii="Times New Roman" w:eastAsia="宋体" w:hAnsi="宋体"/>
                <w:color w:val="000000"/>
                <w:spacing w:val="-8"/>
                <w:sz w:val="21"/>
                <w:szCs w:val="21"/>
              </w:rPr>
              <w:t>含曲妥珠单</w:t>
            </w:r>
            <w:proofErr w:type="gramEnd"/>
            <w:r>
              <w:rPr>
                <w:rFonts w:ascii="Times New Roman" w:eastAsia="宋体" w:hAnsi="宋体"/>
                <w:color w:val="000000"/>
                <w:spacing w:val="-8"/>
                <w:sz w:val="21"/>
                <w:szCs w:val="21"/>
              </w:rPr>
              <w:t>抗辅助治疗之后的强化辅助治疗。</w:t>
            </w:r>
          </w:p>
        </w:tc>
      </w:tr>
      <w:tr w:rsidR="002D3004">
        <w:trPr>
          <w:trHeight w:val="891"/>
          <w:jc w:val="center"/>
        </w:trPr>
        <w:tc>
          <w:tcPr>
            <w:tcW w:w="669" w:type="dxa"/>
            <w:noWrap/>
            <w:vAlign w:val="center"/>
          </w:tcPr>
          <w:p w:rsidR="002D3004" w:rsidRDefault="0093795E">
            <w:pPr>
              <w:widowControl/>
              <w:spacing w:line="260" w:lineRule="exact"/>
              <w:jc w:val="center"/>
              <w:textAlignment w:val="center"/>
              <w:rPr>
                <w:rFonts w:ascii="Times New Roman" w:eastAsia="宋体"/>
                <w:sz w:val="21"/>
                <w:szCs w:val="21"/>
              </w:rPr>
            </w:pPr>
            <w:r>
              <w:rPr>
                <w:rFonts w:ascii="Times New Roman" w:eastAsia="宋体"/>
                <w:color w:val="000000"/>
                <w:sz w:val="21"/>
                <w:szCs w:val="21"/>
              </w:rPr>
              <w:t>1</w:t>
            </w:r>
            <w:r>
              <w:rPr>
                <w:rFonts w:ascii="Times New Roman" w:eastAsia="宋体" w:hint="eastAsia"/>
                <w:color w:val="000000"/>
                <w:sz w:val="21"/>
                <w:szCs w:val="21"/>
              </w:rPr>
              <w:t>2</w:t>
            </w:r>
          </w:p>
        </w:tc>
        <w:tc>
          <w:tcPr>
            <w:tcW w:w="2360"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proofErr w:type="gramStart"/>
            <w:r>
              <w:rPr>
                <w:rFonts w:ascii="Times New Roman" w:eastAsia="宋体" w:hAnsi="宋体"/>
                <w:color w:val="000000"/>
                <w:sz w:val="21"/>
                <w:szCs w:val="21"/>
              </w:rPr>
              <w:t>索凡替尼</w:t>
            </w:r>
            <w:proofErr w:type="gramEnd"/>
            <w:r>
              <w:rPr>
                <w:rFonts w:ascii="Times New Roman" w:eastAsia="宋体" w:hAnsi="宋体"/>
                <w:color w:val="000000"/>
                <w:sz w:val="21"/>
                <w:szCs w:val="21"/>
              </w:rPr>
              <w:t>胶囊</w:t>
            </w:r>
          </w:p>
        </w:tc>
        <w:tc>
          <w:tcPr>
            <w:tcW w:w="5603" w:type="dxa"/>
            <w:noWrap/>
            <w:vAlign w:val="center"/>
          </w:tcPr>
          <w:p w:rsidR="002D3004" w:rsidRDefault="0093795E">
            <w:pPr>
              <w:widowControl/>
              <w:spacing w:line="260" w:lineRule="exact"/>
              <w:textAlignment w:val="top"/>
              <w:rPr>
                <w:rFonts w:ascii="Times New Roman" w:eastAsia="宋体"/>
                <w:color w:val="000000"/>
                <w:sz w:val="21"/>
                <w:szCs w:val="21"/>
              </w:rPr>
            </w:pPr>
            <w:r>
              <w:rPr>
                <w:rFonts w:ascii="Times New Roman" w:eastAsia="宋体" w:hAnsi="宋体"/>
                <w:color w:val="000000"/>
                <w:sz w:val="21"/>
                <w:szCs w:val="21"/>
              </w:rPr>
              <w:t>本品单药适用于无法手术切除的局部晚期或转移性、进展期非功能性、分化良好（</w:t>
            </w:r>
            <w:r>
              <w:rPr>
                <w:rFonts w:ascii="Times New Roman" w:eastAsia="宋体"/>
                <w:color w:val="000000"/>
                <w:sz w:val="21"/>
                <w:szCs w:val="21"/>
              </w:rPr>
              <w:t>G1</w:t>
            </w:r>
            <w:r>
              <w:rPr>
                <w:rFonts w:ascii="Times New Roman" w:eastAsia="宋体" w:hAnsi="宋体"/>
                <w:color w:val="000000"/>
                <w:sz w:val="21"/>
                <w:szCs w:val="21"/>
              </w:rPr>
              <w:t>、</w:t>
            </w:r>
            <w:r>
              <w:rPr>
                <w:rFonts w:ascii="Times New Roman" w:eastAsia="宋体"/>
                <w:color w:val="000000"/>
                <w:sz w:val="21"/>
                <w:szCs w:val="21"/>
              </w:rPr>
              <w:t>G2</w:t>
            </w:r>
            <w:r>
              <w:rPr>
                <w:rFonts w:ascii="Times New Roman" w:eastAsia="宋体" w:hAnsi="宋体"/>
                <w:color w:val="000000"/>
                <w:sz w:val="21"/>
                <w:szCs w:val="21"/>
              </w:rPr>
              <w:t>）的胰腺和非胰腺来源的神经内分泌瘤。</w:t>
            </w:r>
          </w:p>
        </w:tc>
      </w:tr>
      <w:tr w:rsidR="002D3004">
        <w:trPr>
          <w:trHeight w:val="908"/>
          <w:jc w:val="center"/>
        </w:trPr>
        <w:tc>
          <w:tcPr>
            <w:tcW w:w="669" w:type="dxa"/>
            <w:noWrap/>
            <w:vAlign w:val="center"/>
          </w:tcPr>
          <w:p w:rsidR="002D3004" w:rsidRDefault="0093795E">
            <w:pPr>
              <w:widowControl/>
              <w:spacing w:line="280" w:lineRule="exact"/>
              <w:jc w:val="center"/>
              <w:textAlignment w:val="center"/>
              <w:rPr>
                <w:rFonts w:ascii="Times New Roman" w:eastAsia="宋体"/>
                <w:sz w:val="21"/>
                <w:szCs w:val="21"/>
              </w:rPr>
            </w:pPr>
            <w:r>
              <w:rPr>
                <w:rFonts w:ascii="Times New Roman" w:eastAsia="宋体" w:hint="eastAsia"/>
                <w:color w:val="000000"/>
                <w:sz w:val="21"/>
                <w:szCs w:val="21"/>
              </w:rPr>
              <w:t>13</w:t>
            </w:r>
          </w:p>
        </w:tc>
        <w:tc>
          <w:tcPr>
            <w:tcW w:w="2360" w:type="dxa"/>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Ansi="宋体"/>
                <w:color w:val="0D0D0D"/>
                <w:sz w:val="21"/>
                <w:szCs w:val="21"/>
              </w:rPr>
              <w:t>达</w:t>
            </w:r>
            <w:proofErr w:type="gramStart"/>
            <w:r>
              <w:rPr>
                <w:rFonts w:ascii="Times New Roman" w:eastAsia="宋体" w:hAnsi="宋体"/>
                <w:color w:val="0D0D0D"/>
                <w:sz w:val="21"/>
                <w:szCs w:val="21"/>
              </w:rPr>
              <w:t>雷妥尤单</w:t>
            </w:r>
            <w:proofErr w:type="gramEnd"/>
            <w:r>
              <w:rPr>
                <w:rFonts w:ascii="Times New Roman" w:eastAsia="宋体" w:hAnsi="宋体"/>
                <w:color w:val="0D0D0D"/>
                <w:sz w:val="21"/>
                <w:szCs w:val="21"/>
              </w:rPr>
              <w:t>抗注射液</w:t>
            </w:r>
          </w:p>
        </w:tc>
        <w:tc>
          <w:tcPr>
            <w:tcW w:w="5603" w:type="dxa"/>
            <w:noWrap/>
            <w:vAlign w:val="center"/>
          </w:tcPr>
          <w:p w:rsidR="002D3004" w:rsidRDefault="0093795E">
            <w:pPr>
              <w:widowControl/>
              <w:spacing w:line="280" w:lineRule="exact"/>
              <w:textAlignment w:val="top"/>
              <w:rPr>
                <w:rFonts w:ascii="Times New Roman" w:eastAsia="宋体"/>
                <w:color w:val="000000"/>
                <w:sz w:val="21"/>
                <w:szCs w:val="21"/>
              </w:rPr>
            </w:pPr>
            <w:r>
              <w:rPr>
                <w:rFonts w:ascii="Times New Roman" w:eastAsia="宋体" w:hAnsi="宋体"/>
                <w:color w:val="000000"/>
                <w:sz w:val="21"/>
                <w:szCs w:val="21"/>
              </w:rPr>
              <w:t>本品适用于：</w:t>
            </w:r>
            <w:r>
              <w:rPr>
                <w:rFonts w:ascii="Times New Roman" w:eastAsia="宋体"/>
                <w:color w:val="000000"/>
                <w:sz w:val="21"/>
                <w:szCs w:val="21"/>
              </w:rPr>
              <w:t>1.</w:t>
            </w:r>
            <w:r>
              <w:rPr>
                <w:rFonts w:ascii="Times New Roman" w:eastAsia="宋体" w:hint="eastAsia"/>
                <w:color w:val="000000"/>
                <w:sz w:val="21"/>
                <w:szCs w:val="21"/>
              </w:rPr>
              <w:t xml:space="preserve"> </w:t>
            </w:r>
            <w:r>
              <w:rPr>
                <w:rFonts w:ascii="Times New Roman" w:eastAsia="宋体" w:hAnsi="宋体"/>
                <w:color w:val="000000"/>
                <w:sz w:val="21"/>
                <w:szCs w:val="21"/>
              </w:rPr>
              <w:t>与来</w:t>
            </w:r>
            <w:proofErr w:type="gramStart"/>
            <w:r>
              <w:rPr>
                <w:rFonts w:ascii="Times New Roman" w:eastAsia="宋体" w:hAnsi="宋体"/>
                <w:color w:val="000000"/>
                <w:sz w:val="21"/>
                <w:szCs w:val="21"/>
              </w:rPr>
              <w:t>那度胺</w:t>
            </w:r>
            <w:proofErr w:type="gramEnd"/>
            <w:r>
              <w:rPr>
                <w:rFonts w:ascii="Times New Roman" w:eastAsia="宋体" w:hAnsi="宋体"/>
                <w:color w:val="000000"/>
                <w:sz w:val="21"/>
                <w:szCs w:val="21"/>
              </w:rPr>
              <w:t>和地塞米松联合用药或与</w:t>
            </w:r>
            <w:proofErr w:type="gramStart"/>
            <w:r>
              <w:rPr>
                <w:rFonts w:ascii="Times New Roman" w:eastAsia="宋体" w:hAnsi="宋体"/>
                <w:color w:val="000000"/>
                <w:sz w:val="21"/>
                <w:szCs w:val="21"/>
              </w:rPr>
              <w:t>硼替佐米</w:t>
            </w:r>
            <w:proofErr w:type="gramEnd"/>
            <w:r>
              <w:rPr>
                <w:rFonts w:ascii="Times New Roman" w:eastAsia="宋体" w:hAnsi="宋体"/>
                <w:color w:val="000000"/>
                <w:sz w:val="21"/>
                <w:szCs w:val="21"/>
              </w:rPr>
              <w:t>和地塞米松联合用药治疗既往至少接受过一线治疗的多发性骨髓瘤成年患者。</w:t>
            </w:r>
            <w:r>
              <w:rPr>
                <w:rFonts w:ascii="Times New Roman" w:eastAsia="宋体"/>
                <w:color w:val="000000"/>
                <w:sz w:val="21"/>
                <w:szCs w:val="21"/>
              </w:rPr>
              <w:t>2.</w:t>
            </w:r>
            <w:r>
              <w:rPr>
                <w:rFonts w:ascii="Times New Roman" w:eastAsia="宋体" w:hint="eastAsia"/>
                <w:color w:val="000000"/>
                <w:sz w:val="21"/>
                <w:szCs w:val="21"/>
              </w:rPr>
              <w:t xml:space="preserve"> </w:t>
            </w:r>
            <w:r>
              <w:rPr>
                <w:rFonts w:ascii="Times New Roman" w:eastAsia="宋体" w:hAnsi="宋体"/>
                <w:color w:val="000000"/>
                <w:sz w:val="21"/>
                <w:szCs w:val="21"/>
              </w:rPr>
              <w:t>单药治疗复发和难治性多发性骨髓瘤成年患者，患者既往接受过包括蛋白酶体抑制剂和免疫调节剂的治疗且最后一次治疗时出现疾病进展。</w:t>
            </w:r>
          </w:p>
        </w:tc>
      </w:tr>
      <w:tr w:rsidR="002D3004">
        <w:trPr>
          <w:trHeight w:val="898"/>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color w:val="000000"/>
                <w:sz w:val="21"/>
                <w:szCs w:val="21"/>
              </w:rPr>
              <w:t>1</w:t>
            </w:r>
            <w:r>
              <w:rPr>
                <w:rFonts w:ascii="Times New Roman" w:eastAsia="宋体" w:hint="eastAsia"/>
                <w:color w:val="000000"/>
                <w:sz w:val="21"/>
                <w:szCs w:val="21"/>
              </w:rPr>
              <w:t>4</w:t>
            </w:r>
          </w:p>
        </w:tc>
        <w:tc>
          <w:tcPr>
            <w:tcW w:w="2360"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proofErr w:type="gramStart"/>
            <w:r>
              <w:rPr>
                <w:rFonts w:ascii="Times New Roman" w:eastAsia="宋体" w:hAnsi="宋体"/>
                <w:color w:val="000000"/>
                <w:sz w:val="21"/>
                <w:szCs w:val="21"/>
              </w:rPr>
              <w:t>泊马度</w:t>
            </w:r>
            <w:proofErr w:type="gramEnd"/>
            <w:r>
              <w:rPr>
                <w:rFonts w:ascii="Times New Roman" w:eastAsia="宋体" w:hAnsi="宋体"/>
                <w:color w:val="000000"/>
                <w:sz w:val="21"/>
                <w:szCs w:val="21"/>
              </w:rPr>
              <w:t>胺胶囊</w:t>
            </w:r>
          </w:p>
        </w:tc>
        <w:tc>
          <w:tcPr>
            <w:tcW w:w="5603" w:type="dxa"/>
            <w:noWrap/>
            <w:vAlign w:val="center"/>
          </w:tcPr>
          <w:p w:rsidR="002D3004" w:rsidRDefault="0093795E">
            <w:pPr>
              <w:widowControl/>
              <w:spacing w:line="260" w:lineRule="exact"/>
              <w:textAlignment w:val="top"/>
              <w:rPr>
                <w:rFonts w:ascii="Times New Roman" w:eastAsia="宋体"/>
                <w:color w:val="000000"/>
                <w:sz w:val="21"/>
                <w:szCs w:val="21"/>
              </w:rPr>
            </w:pPr>
            <w:r>
              <w:rPr>
                <w:rFonts w:ascii="Times New Roman" w:eastAsia="宋体" w:hAnsi="宋体"/>
                <w:color w:val="000000"/>
                <w:sz w:val="21"/>
                <w:szCs w:val="21"/>
              </w:rPr>
              <w:t>本品与地塞米松联用，适用于既往接受过至少两种治疗（包括来</w:t>
            </w:r>
            <w:proofErr w:type="gramStart"/>
            <w:r>
              <w:rPr>
                <w:rFonts w:ascii="Times New Roman" w:eastAsia="宋体" w:hAnsi="宋体"/>
                <w:color w:val="000000"/>
                <w:sz w:val="21"/>
                <w:szCs w:val="21"/>
              </w:rPr>
              <w:t>那度胺</w:t>
            </w:r>
            <w:proofErr w:type="gramEnd"/>
            <w:r>
              <w:rPr>
                <w:rFonts w:ascii="Times New Roman" w:eastAsia="宋体" w:hAnsi="宋体"/>
                <w:color w:val="000000"/>
                <w:sz w:val="21"/>
                <w:szCs w:val="21"/>
              </w:rPr>
              <w:t>和一种蛋白酶体抑制剂），且在最后一次治疗期间或治疗结束后</w:t>
            </w:r>
            <w:r>
              <w:rPr>
                <w:rFonts w:ascii="Times New Roman" w:eastAsia="宋体"/>
                <w:color w:val="000000"/>
                <w:sz w:val="21"/>
                <w:szCs w:val="21"/>
              </w:rPr>
              <w:t>60</w:t>
            </w:r>
            <w:r>
              <w:rPr>
                <w:rFonts w:ascii="Times New Roman" w:eastAsia="宋体"/>
                <w:color w:val="000000"/>
                <w:sz w:val="21"/>
                <w:szCs w:val="21"/>
              </w:rPr>
              <w:br/>
            </w:r>
            <w:r>
              <w:rPr>
                <w:rFonts w:ascii="Times New Roman" w:eastAsia="宋体" w:hAnsi="宋体"/>
                <w:color w:val="000000"/>
                <w:sz w:val="21"/>
                <w:szCs w:val="21"/>
              </w:rPr>
              <w:t>天内发生疾病进展的成年多发性骨髓瘤患者。</w:t>
            </w:r>
          </w:p>
        </w:tc>
      </w:tr>
      <w:tr w:rsidR="002D3004">
        <w:trPr>
          <w:trHeight w:val="846"/>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color w:val="000000"/>
                <w:sz w:val="21"/>
                <w:szCs w:val="21"/>
              </w:rPr>
              <w:t>15</w:t>
            </w:r>
          </w:p>
        </w:tc>
        <w:tc>
          <w:tcPr>
            <w:tcW w:w="2360"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Ansi="宋体"/>
                <w:color w:val="000000"/>
                <w:sz w:val="21"/>
                <w:szCs w:val="21"/>
              </w:rPr>
              <w:t>阿帕他胺片</w:t>
            </w:r>
          </w:p>
        </w:tc>
        <w:tc>
          <w:tcPr>
            <w:tcW w:w="5603" w:type="dxa"/>
            <w:noWrap/>
            <w:vAlign w:val="center"/>
          </w:tcPr>
          <w:p w:rsidR="002D3004" w:rsidRDefault="0093795E">
            <w:pPr>
              <w:widowControl/>
              <w:spacing w:line="260" w:lineRule="exact"/>
              <w:textAlignment w:val="top"/>
              <w:rPr>
                <w:rFonts w:ascii="Times New Roman" w:eastAsia="宋体"/>
                <w:color w:val="000000"/>
                <w:sz w:val="21"/>
                <w:szCs w:val="21"/>
              </w:rPr>
            </w:pPr>
            <w:r>
              <w:rPr>
                <w:rFonts w:ascii="Times New Roman" w:eastAsia="宋体"/>
                <w:color w:val="000000"/>
                <w:sz w:val="21"/>
                <w:szCs w:val="21"/>
              </w:rPr>
              <w:t>1.</w:t>
            </w:r>
            <w:r>
              <w:rPr>
                <w:rFonts w:ascii="Times New Roman" w:eastAsia="宋体" w:hint="eastAsia"/>
                <w:color w:val="000000"/>
                <w:sz w:val="21"/>
                <w:szCs w:val="21"/>
              </w:rPr>
              <w:t xml:space="preserve"> </w:t>
            </w:r>
            <w:r>
              <w:rPr>
                <w:rFonts w:ascii="Times New Roman" w:eastAsia="宋体" w:hAnsi="宋体"/>
                <w:color w:val="000000"/>
                <w:sz w:val="21"/>
                <w:szCs w:val="21"/>
              </w:rPr>
              <w:t>转移性内分泌治疗敏感性前列腺癌（</w:t>
            </w:r>
            <w:proofErr w:type="spellStart"/>
            <w:r>
              <w:rPr>
                <w:rFonts w:ascii="Times New Roman" w:eastAsia="宋体"/>
                <w:color w:val="000000"/>
                <w:sz w:val="21"/>
                <w:szCs w:val="21"/>
              </w:rPr>
              <w:t>mHSPC</w:t>
            </w:r>
            <w:proofErr w:type="spellEnd"/>
            <w:r>
              <w:rPr>
                <w:rFonts w:ascii="Times New Roman" w:eastAsia="宋体" w:hAnsi="宋体"/>
                <w:color w:val="000000"/>
                <w:sz w:val="21"/>
                <w:szCs w:val="21"/>
              </w:rPr>
              <w:t>）成年患者。</w:t>
            </w:r>
            <w:r>
              <w:rPr>
                <w:rFonts w:ascii="Times New Roman" w:eastAsia="宋体"/>
                <w:color w:val="000000"/>
                <w:sz w:val="21"/>
                <w:szCs w:val="21"/>
              </w:rPr>
              <w:t>2.</w:t>
            </w:r>
            <w:r>
              <w:rPr>
                <w:rFonts w:ascii="Times New Roman" w:eastAsia="宋体" w:hint="eastAsia"/>
                <w:color w:val="000000"/>
                <w:sz w:val="21"/>
                <w:szCs w:val="21"/>
              </w:rPr>
              <w:t xml:space="preserve"> </w:t>
            </w:r>
            <w:r>
              <w:rPr>
                <w:rFonts w:ascii="Times New Roman" w:eastAsia="宋体" w:hAnsi="宋体"/>
                <w:color w:val="000000"/>
                <w:sz w:val="21"/>
                <w:szCs w:val="21"/>
              </w:rPr>
              <w:t>有高危转移风险的非转移性去势抵抗性前列腺癌（</w:t>
            </w:r>
            <w:r>
              <w:rPr>
                <w:rFonts w:ascii="Times New Roman" w:eastAsia="宋体"/>
                <w:color w:val="000000"/>
                <w:sz w:val="21"/>
                <w:szCs w:val="21"/>
              </w:rPr>
              <w:t>NM-CRPC</w:t>
            </w:r>
            <w:r>
              <w:rPr>
                <w:rFonts w:ascii="Times New Roman" w:eastAsia="宋体" w:hAnsi="宋体"/>
                <w:color w:val="000000"/>
                <w:sz w:val="21"/>
                <w:szCs w:val="21"/>
              </w:rPr>
              <w:t>）成年患者。</w:t>
            </w:r>
          </w:p>
        </w:tc>
      </w:tr>
      <w:tr w:rsidR="002D3004">
        <w:trPr>
          <w:trHeight w:val="676"/>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color w:val="000000"/>
                <w:sz w:val="21"/>
                <w:szCs w:val="21"/>
              </w:rPr>
              <w:t>16</w:t>
            </w:r>
          </w:p>
        </w:tc>
        <w:tc>
          <w:tcPr>
            <w:tcW w:w="2360"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Ansi="宋体"/>
                <w:color w:val="0D0D0D"/>
                <w:sz w:val="21"/>
                <w:szCs w:val="21"/>
              </w:rPr>
              <w:t>达</w:t>
            </w:r>
            <w:proofErr w:type="gramStart"/>
            <w:r>
              <w:rPr>
                <w:rFonts w:ascii="Times New Roman" w:eastAsia="宋体" w:hAnsi="宋体"/>
                <w:color w:val="0D0D0D"/>
                <w:sz w:val="21"/>
                <w:szCs w:val="21"/>
              </w:rPr>
              <w:t>罗他胺</w:t>
            </w:r>
            <w:proofErr w:type="gramEnd"/>
            <w:r>
              <w:rPr>
                <w:rFonts w:ascii="Times New Roman" w:eastAsia="宋体" w:hAnsi="宋体"/>
                <w:color w:val="0D0D0D"/>
                <w:sz w:val="21"/>
                <w:szCs w:val="21"/>
              </w:rPr>
              <w:t>片</w:t>
            </w:r>
          </w:p>
        </w:tc>
        <w:tc>
          <w:tcPr>
            <w:tcW w:w="5603" w:type="dxa"/>
            <w:noWrap/>
            <w:vAlign w:val="center"/>
          </w:tcPr>
          <w:p w:rsidR="002D3004" w:rsidRDefault="0093795E">
            <w:pPr>
              <w:widowControl/>
              <w:spacing w:line="260" w:lineRule="exact"/>
              <w:textAlignment w:val="top"/>
              <w:rPr>
                <w:rFonts w:ascii="Times New Roman" w:eastAsia="宋体"/>
                <w:color w:val="000000"/>
                <w:sz w:val="21"/>
                <w:szCs w:val="21"/>
              </w:rPr>
            </w:pPr>
            <w:r>
              <w:rPr>
                <w:rFonts w:ascii="Times New Roman" w:eastAsia="宋体" w:hAnsi="宋体"/>
                <w:color w:val="000000"/>
                <w:sz w:val="21"/>
                <w:szCs w:val="21"/>
              </w:rPr>
              <w:t>适用于治疗有高危转移风险的非转移性去势抵抗性前列腺癌（</w:t>
            </w:r>
            <w:r>
              <w:rPr>
                <w:rFonts w:ascii="Times New Roman" w:eastAsia="宋体"/>
                <w:color w:val="000000"/>
                <w:sz w:val="21"/>
                <w:szCs w:val="21"/>
              </w:rPr>
              <w:t>NM- CRPC</w:t>
            </w:r>
            <w:r>
              <w:rPr>
                <w:rFonts w:ascii="Times New Roman" w:eastAsia="宋体" w:hAnsi="宋体"/>
                <w:color w:val="000000"/>
                <w:sz w:val="21"/>
                <w:szCs w:val="21"/>
              </w:rPr>
              <w:t>）成年患者。</w:t>
            </w:r>
          </w:p>
        </w:tc>
      </w:tr>
      <w:tr w:rsidR="002D3004">
        <w:trPr>
          <w:trHeight w:val="2052"/>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color w:val="000000"/>
                <w:sz w:val="21"/>
                <w:szCs w:val="21"/>
              </w:rPr>
              <w:t>1</w:t>
            </w:r>
            <w:r>
              <w:rPr>
                <w:rFonts w:ascii="Times New Roman" w:eastAsia="宋体" w:hint="eastAsia"/>
                <w:color w:val="000000"/>
                <w:sz w:val="21"/>
                <w:szCs w:val="21"/>
              </w:rPr>
              <w:t>7</w:t>
            </w:r>
          </w:p>
        </w:tc>
        <w:tc>
          <w:tcPr>
            <w:tcW w:w="2360"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Ansi="宋体"/>
                <w:color w:val="0D0D0D"/>
                <w:sz w:val="21"/>
                <w:szCs w:val="21"/>
              </w:rPr>
              <w:t>注射用维</w:t>
            </w:r>
            <w:proofErr w:type="gramStart"/>
            <w:r>
              <w:rPr>
                <w:rFonts w:ascii="Times New Roman" w:eastAsia="宋体" w:hAnsi="宋体"/>
                <w:color w:val="0D0D0D"/>
                <w:sz w:val="21"/>
                <w:szCs w:val="21"/>
              </w:rPr>
              <w:t>迪西妥单</w:t>
            </w:r>
            <w:proofErr w:type="gramEnd"/>
            <w:r>
              <w:rPr>
                <w:rFonts w:ascii="Times New Roman" w:eastAsia="宋体" w:hAnsi="宋体"/>
                <w:color w:val="0D0D0D"/>
                <w:sz w:val="21"/>
                <w:szCs w:val="21"/>
              </w:rPr>
              <w:t>抗</w:t>
            </w:r>
          </w:p>
        </w:tc>
        <w:tc>
          <w:tcPr>
            <w:tcW w:w="5603" w:type="dxa"/>
            <w:noWrap/>
            <w:vAlign w:val="center"/>
          </w:tcPr>
          <w:p w:rsidR="002D3004" w:rsidRDefault="0093795E">
            <w:pPr>
              <w:widowControl/>
              <w:spacing w:line="260" w:lineRule="exact"/>
              <w:textAlignment w:val="top"/>
              <w:rPr>
                <w:rFonts w:ascii="Times New Roman" w:eastAsia="宋体"/>
                <w:color w:val="000000"/>
                <w:sz w:val="21"/>
                <w:szCs w:val="21"/>
              </w:rPr>
            </w:pPr>
            <w:r>
              <w:rPr>
                <w:rFonts w:ascii="Times New Roman" w:eastAsia="宋体" w:hAnsi="宋体"/>
                <w:color w:val="000000"/>
                <w:sz w:val="21"/>
                <w:szCs w:val="21"/>
              </w:rPr>
              <w:t>本品适用于至少接受过</w:t>
            </w:r>
            <w:r>
              <w:rPr>
                <w:rFonts w:ascii="Times New Roman" w:eastAsia="宋体"/>
                <w:color w:val="000000"/>
                <w:sz w:val="21"/>
                <w:szCs w:val="21"/>
              </w:rPr>
              <w:t>2</w:t>
            </w:r>
            <w:r>
              <w:rPr>
                <w:rFonts w:ascii="Times New Roman" w:eastAsia="宋体" w:hAnsi="宋体"/>
                <w:color w:val="000000"/>
                <w:sz w:val="21"/>
                <w:szCs w:val="21"/>
              </w:rPr>
              <w:t>个系统化疗的</w:t>
            </w:r>
            <w:r>
              <w:rPr>
                <w:rFonts w:ascii="Times New Roman" w:eastAsia="宋体"/>
                <w:color w:val="000000"/>
                <w:sz w:val="21"/>
                <w:szCs w:val="21"/>
              </w:rPr>
              <w:t>HER2</w:t>
            </w:r>
            <w:r>
              <w:rPr>
                <w:rFonts w:ascii="Times New Roman" w:eastAsia="宋体" w:hAnsi="宋体"/>
                <w:color w:val="000000"/>
                <w:sz w:val="21"/>
                <w:szCs w:val="21"/>
              </w:rPr>
              <w:t>过表达局部晚期或转移性胃癌（包括胃食管结合部腺癌）的患者，</w:t>
            </w:r>
            <w:r>
              <w:rPr>
                <w:rFonts w:ascii="Times New Roman" w:eastAsia="宋体"/>
                <w:color w:val="000000"/>
                <w:sz w:val="21"/>
                <w:szCs w:val="21"/>
              </w:rPr>
              <w:t>HER2</w:t>
            </w:r>
            <w:r>
              <w:rPr>
                <w:rFonts w:ascii="Times New Roman" w:eastAsia="宋体" w:hAnsi="宋体"/>
                <w:color w:val="000000"/>
                <w:sz w:val="21"/>
                <w:szCs w:val="21"/>
              </w:rPr>
              <w:t>过表达定义为</w:t>
            </w:r>
            <w:r>
              <w:rPr>
                <w:rFonts w:ascii="Times New Roman" w:eastAsia="宋体"/>
                <w:color w:val="000000"/>
                <w:sz w:val="21"/>
                <w:szCs w:val="21"/>
              </w:rPr>
              <w:t>HER2</w:t>
            </w:r>
            <w:r>
              <w:rPr>
                <w:rFonts w:ascii="Times New Roman" w:eastAsia="宋体" w:hAnsi="宋体"/>
                <w:color w:val="000000"/>
                <w:sz w:val="21"/>
                <w:szCs w:val="21"/>
              </w:rPr>
              <w:t>免疫组织化学检查结果为</w:t>
            </w:r>
            <w:r>
              <w:rPr>
                <w:rFonts w:ascii="Times New Roman" w:eastAsia="宋体"/>
                <w:color w:val="000000"/>
                <w:sz w:val="21"/>
                <w:szCs w:val="21"/>
              </w:rPr>
              <w:t>2+</w:t>
            </w:r>
            <w:r>
              <w:rPr>
                <w:rFonts w:ascii="Times New Roman" w:eastAsia="宋体" w:hAnsi="宋体"/>
                <w:color w:val="000000"/>
                <w:sz w:val="21"/>
                <w:szCs w:val="21"/>
              </w:rPr>
              <w:t>或</w:t>
            </w:r>
            <w:r>
              <w:rPr>
                <w:rFonts w:ascii="Times New Roman" w:eastAsia="宋体"/>
                <w:color w:val="000000"/>
                <w:sz w:val="21"/>
                <w:szCs w:val="21"/>
              </w:rPr>
              <w:t>3+</w:t>
            </w:r>
            <w:r>
              <w:rPr>
                <w:rFonts w:ascii="Times New Roman" w:eastAsia="宋体" w:hAnsi="宋体"/>
                <w:color w:val="000000"/>
                <w:sz w:val="21"/>
                <w:szCs w:val="21"/>
              </w:rPr>
              <w:t>。该适应症是基于一项</w:t>
            </w:r>
            <w:r>
              <w:rPr>
                <w:rFonts w:ascii="Times New Roman" w:eastAsia="宋体"/>
                <w:color w:val="000000"/>
                <w:sz w:val="21"/>
                <w:szCs w:val="21"/>
              </w:rPr>
              <w:t>HER2</w:t>
            </w:r>
            <w:r>
              <w:rPr>
                <w:rFonts w:ascii="Times New Roman" w:eastAsia="宋体" w:hAnsi="宋体"/>
                <w:color w:val="000000"/>
                <w:sz w:val="21"/>
                <w:szCs w:val="21"/>
              </w:rPr>
              <w:t>过表达的局部晚期或转移性胃癌患者（包括胃食管结合部腺癌）的</w:t>
            </w:r>
            <w:r>
              <w:rPr>
                <w:rFonts w:ascii="Times New Roman" w:eastAsia="宋体"/>
                <w:color w:val="000000"/>
                <w:sz w:val="21"/>
                <w:szCs w:val="21"/>
              </w:rPr>
              <w:t>II</w:t>
            </w:r>
            <w:r>
              <w:rPr>
                <w:rFonts w:ascii="Times New Roman" w:eastAsia="宋体" w:hAnsi="宋体"/>
                <w:color w:val="000000"/>
                <w:sz w:val="21"/>
                <w:szCs w:val="21"/>
              </w:rPr>
              <w:t>期单臂临床试验结果给予的附条件批准。该适应症的完全获批将取决于正在开展中的确证性随机对照临床试验能否证实本品在该人群的临床获益。</w:t>
            </w:r>
          </w:p>
        </w:tc>
      </w:tr>
      <w:tr w:rsidR="002D3004">
        <w:trPr>
          <w:trHeight w:val="685"/>
          <w:jc w:val="center"/>
        </w:trPr>
        <w:tc>
          <w:tcPr>
            <w:tcW w:w="669" w:type="dxa"/>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lastRenderedPageBreak/>
              <w:t>18</w:t>
            </w:r>
          </w:p>
        </w:tc>
        <w:tc>
          <w:tcPr>
            <w:tcW w:w="2360" w:type="dxa"/>
            <w:noWrap/>
            <w:vAlign w:val="center"/>
          </w:tcPr>
          <w:p w:rsidR="002D3004" w:rsidRDefault="0093795E">
            <w:pPr>
              <w:widowControl/>
              <w:spacing w:line="280" w:lineRule="exact"/>
              <w:jc w:val="center"/>
              <w:textAlignment w:val="center"/>
              <w:rPr>
                <w:rFonts w:ascii="Times New Roman" w:eastAsia="宋体" w:hAnsi="宋体"/>
                <w:color w:val="000000"/>
                <w:sz w:val="21"/>
                <w:szCs w:val="21"/>
              </w:rPr>
            </w:pPr>
            <w:r>
              <w:rPr>
                <w:rFonts w:ascii="Times New Roman" w:eastAsia="宋体" w:hAnsi="宋体" w:hint="eastAsia"/>
                <w:color w:val="000000"/>
                <w:sz w:val="21"/>
                <w:szCs w:val="21"/>
              </w:rPr>
              <w:t>醋酸艾替班</w:t>
            </w:r>
            <w:proofErr w:type="gramStart"/>
            <w:r>
              <w:rPr>
                <w:rFonts w:ascii="Times New Roman" w:eastAsia="宋体" w:hAnsi="宋体" w:hint="eastAsia"/>
                <w:color w:val="000000"/>
                <w:sz w:val="21"/>
                <w:szCs w:val="21"/>
              </w:rPr>
              <w:t>特</w:t>
            </w:r>
            <w:proofErr w:type="gramEnd"/>
            <w:r>
              <w:rPr>
                <w:rFonts w:ascii="Times New Roman" w:eastAsia="宋体" w:hAnsi="宋体" w:hint="eastAsia"/>
                <w:color w:val="000000"/>
                <w:sz w:val="21"/>
                <w:szCs w:val="21"/>
              </w:rPr>
              <w:t>注射液</w:t>
            </w:r>
          </w:p>
        </w:tc>
        <w:tc>
          <w:tcPr>
            <w:tcW w:w="5603" w:type="dxa"/>
            <w:noWrap/>
            <w:vAlign w:val="center"/>
          </w:tcPr>
          <w:p w:rsidR="002D3004" w:rsidRDefault="0093795E">
            <w:pPr>
              <w:widowControl/>
              <w:spacing w:line="28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用于治疗成人、青少年和≥</w:t>
            </w:r>
            <w:r>
              <w:rPr>
                <w:rFonts w:ascii="Times New Roman" w:eastAsia="宋体" w:hAnsi="宋体" w:hint="eastAsia"/>
                <w:color w:val="000000"/>
                <w:sz w:val="21"/>
                <w:szCs w:val="21"/>
              </w:rPr>
              <w:t>2</w:t>
            </w:r>
            <w:r>
              <w:rPr>
                <w:rFonts w:ascii="Times New Roman" w:eastAsia="宋体" w:hAnsi="宋体" w:hint="eastAsia"/>
                <w:color w:val="000000"/>
                <w:sz w:val="21"/>
                <w:szCs w:val="21"/>
              </w:rPr>
              <w:t>岁儿童的遗传性血管性水肿（</w:t>
            </w:r>
            <w:r>
              <w:rPr>
                <w:rFonts w:ascii="Times New Roman" w:eastAsia="宋体" w:hAnsi="宋体" w:hint="eastAsia"/>
                <w:color w:val="000000"/>
                <w:sz w:val="21"/>
                <w:szCs w:val="21"/>
              </w:rPr>
              <w:t>HAE</w:t>
            </w:r>
            <w:r>
              <w:rPr>
                <w:rFonts w:ascii="Times New Roman" w:eastAsia="宋体" w:hAnsi="宋体" w:hint="eastAsia"/>
                <w:color w:val="000000"/>
                <w:sz w:val="21"/>
                <w:szCs w:val="21"/>
              </w:rPr>
              <w:t>）急性发作。</w:t>
            </w:r>
          </w:p>
        </w:tc>
      </w:tr>
      <w:tr w:rsidR="002D3004">
        <w:trPr>
          <w:trHeight w:val="521"/>
          <w:jc w:val="center"/>
        </w:trPr>
        <w:tc>
          <w:tcPr>
            <w:tcW w:w="669" w:type="dxa"/>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19</w:t>
            </w:r>
          </w:p>
        </w:tc>
        <w:tc>
          <w:tcPr>
            <w:tcW w:w="2360" w:type="dxa"/>
            <w:noWrap/>
            <w:vAlign w:val="center"/>
          </w:tcPr>
          <w:p w:rsidR="002D3004" w:rsidRDefault="0093795E">
            <w:pPr>
              <w:widowControl/>
              <w:spacing w:line="290" w:lineRule="exact"/>
              <w:jc w:val="center"/>
              <w:textAlignment w:val="center"/>
              <w:rPr>
                <w:rFonts w:ascii="Times New Roman" w:eastAsia="宋体" w:hAnsi="宋体"/>
                <w:color w:val="000000"/>
                <w:sz w:val="21"/>
                <w:szCs w:val="21"/>
              </w:rPr>
            </w:pPr>
            <w:r>
              <w:rPr>
                <w:rFonts w:ascii="Times New Roman" w:eastAsia="宋体" w:hAnsi="宋体"/>
                <w:color w:val="000000"/>
                <w:sz w:val="21"/>
                <w:szCs w:val="21"/>
              </w:rPr>
              <w:t>人凝血因子</w:t>
            </w:r>
            <w:r>
              <w:rPr>
                <w:rFonts w:ascii="Times New Roman" w:eastAsia="宋体" w:hAnsi="宋体"/>
                <w:color w:val="000000"/>
                <w:sz w:val="21"/>
                <w:szCs w:val="21"/>
              </w:rPr>
              <w:t>Ⅸ</w:t>
            </w:r>
          </w:p>
        </w:tc>
        <w:tc>
          <w:tcPr>
            <w:tcW w:w="5603" w:type="dxa"/>
            <w:noWrap/>
            <w:vAlign w:val="center"/>
          </w:tcPr>
          <w:p w:rsidR="002D3004" w:rsidRDefault="0093795E">
            <w:pPr>
              <w:widowControl/>
              <w:spacing w:line="290" w:lineRule="exact"/>
              <w:textAlignment w:val="top"/>
              <w:rPr>
                <w:rFonts w:ascii="Times New Roman" w:eastAsia="宋体" w:hAnsi="宋体"/>
                <w:color w:val="000000"/>
                <w:sz w:val="21"/>
                <w:szCs w:val="21"/>
              </w:rPr>
            </w:pPr>
            <w:r>
              <w:rPr>
                <w:rFonts w:ascii="Times New Roman" w:eastAsia="宋体" w:hAnsi="宋体"/>
                <w:color w:val="000000"/>
                <w:sz w:val="21"/>
                <w:szCs w:val="21"/>
              </w:rPr>
              <w:t>用于凝血因子</w:t>
            </w:r>
            <w:r>
              <w:rPr>
                <w:rFonts w:ascii="Times New Roman" w:eastAsia="宋体" w:hAnsi="宋体"/>
                <w:color w:val="000000"/>
                <w:sz w:val="21"/>
                <w:szCs w:val="21"/>
              </w:rPr>
              <w:t>Ⅸ</w:t>
            </w:r>
            <w:r>
              <w:rPr>
                <w:rFonts w:ascii="Times New Roman" w:eastAsia="宋体" w:hAnsi="宋体"/>
                <w:color w:val="000000"/>
                <w:sz w:val="21"/>
                <w:szCs w:val="21"/>
              </w:rPr>
              <w:t>缺乏症（</w:t>
            </w:r>
            <w:r>
              <w:rPr>
                <w:rFonts w:ascii="Times New Roman" w:eastAsia="宋体" w:hAnsi="宋体"/>
                <w:color w:val="000000"/>
                <w:sz w:val="21"/>
                <w:szCs w:val="21"/>
              </w:rPr>
              <w:t>B</w:t>
            </w:r>
            <w:r>
              <w:rPr>
                <w:rFonts w:ascii="Times New Roman" w:eastAsia="宋体" w:hAnsi="宋体"/>
                <w:color w:val="000000"/>
                <w:sz w:val="21"/>
                <w:szCs w:val="21"/>
              </w:rPr>
              <w:t>型血友病）患者的出血治疗。</w:t>
            </w:r>
          </w:p>
        </w:tc>
      </w:tr>
      <w:tr w:rsidR="002D3004">
        <w:trPr>
          <w:trHeight w:val="1186"/>
          <w:jc w:val="center"/>
        </w:trPr>
        <w:tc>
          <w:tcPr>
            <w:tcW w:w="669" w:type="dxa"/>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20</w:t>
            </w:r>
          </w:p>
        </w:tc>
        <w:tc>
          <w:tcPr>
            <w:tcW w:w="2360" w:type="dxa"/>
            <w:noWrap/>
            <w:vAlign w:val="center"/>
          </w:tcPr>
          <w:p w:rsidR="002D3004" w:rsidRDefault="0093795E">
            <w:pPr>
              <w:widowControl/>
              <w:spacing w:line="280" w:lineRule="exact"/>
              <w:jc w:val="center"/>
              <w:textAlignment w:val="center"/>
              <w:rPr>
                <w:rFonts w:ascii="Times New Roman" w:eastAsia="宋体" w:hAnsi="宋体"/>
                <w:color w:val="000000"/>
                <w:sz w:val="21"/>
                <w:szCs w:val="21"/>
              </w:rPr>
            </w:pPr>
            <w:r>
              <w:rPr>
                <w:rFonts w:ascii="Times New Roman" w:eastAsia="宋体" w:hAnsi="宋体" w:hint="eastAsia"/>
                <w:color w:val="000000"/>
                <w:sz w:val="21"/>
                <w:szCs w:val="21"/>
              </w:rPr>
              <w:t>氯苯</w:t>
            </w:r>
            <w:proofErr w:type="gramStart"/>
            <w:r>
              <w:rPr>
                <w:rFonts w:ascii="Times New Roman" w:eastAsia="宋体" w:hAnsi="宋体" w:hint="eastAsia"/>
                <w:color w:val="000000"/>
                <w:sz w:val="21"/>
                <w:szCs w:val="21"/>
              </w:rPr>
              <w:t>唑</w:t>
            </w:r>
            <w:proofErr w:type="gramEnd"/>
            <w:r>
              <w:rPr>
                <w:rFonts w:ascii="Times New Roman" w:eastAsia="宋体" w:hAnsi="宋体" w:hint="eastAsia"/>
                <w:color w:val="000000"/>
                <w:sz w:val="21"/>
                <w:szCs w:val="21"/>
              </w:rPr>
              <w:t>酸软胶囊</w:t>
            </w:r>
          </w:p>
        </w:tc>
        <w:tc>
          <w:tcPr>
            <w:tcW w:w="5603" w:type="dxa"/>
            <w:noWrap/>
            <w:vAlign w:val="center"/>
          </w:tcPr>
          <w:p w:rsidR="002D3004" w:rsidRDefault="0093795E">
            <w:pPr>
              <w:widowControl/>
              <w:spacing w:line="28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本品适用于治疗成人野生型或遗传型转甲状腺素蛋白淀粉样变性心肌病（</w:t>
            </w:r>
            <w:r>
              <w:rPr>
                <w:rFonts w:ascii="Times New Roman" w:eastAsia="宋体" w:hAnsi="宋体" w:hint="eastAsia"/>
                <w:color w:val="000000"/>
                <w:sz w:val="21"/>
                <w:szCs w:val="21"/>
              </w:rPr>
              <w:t>ATTR-CM</w:t>
            </w:r>
            <w:r>
              <w:rPr>
                <w:rFonts w:ascii="Times New Roman" w:eastAsia="宋体" w:hAnsi="宋体" w:hint="eastAsia"/>
                <w:color w:val="000000"/>
                <w:sz w:val="21"/>
                <w:szCs w:val="21"/>
              </w:rPr>
              <w:t>），以减少心血管死亡及心血管相关住院。</w:t>
            </w:r>
          </w:p>
        </w:tc>
      </w:tr>
      <w:tr w:rsidR="002D3004">
        <w:trPr>
          <w:trHeight w:val="761"/>
          <w:jc w:val="center"/>
        </w:trPr>
        <w:tc>
          <w:tcPr>
            <w:tcW w:w="669" w:type="dxa"/>
            <w:noWrap/>
            <w:vAlign w:val="center"/>
          </w:tcPr>
          <w:p w:rsidR="002D3004" w:rsidRDefault="0093795E">
            <w:pPr>
              <w:widowControl/>
              <w:spacing w:line="280" w:lineRule="exact"/>
              <w:jc w:val="center"/>
              <w:textAlignment w:val="center"/>
              <w:rPr>
                <w:rFonts w:ascii="Times New Roman" w:eastAsia="宋体"/>
                <w:color w:val="000000"/>
                <w:sz w:val="21"/>
                <w:szCs w:val="21"/>
              </w:rPr>
            </w:pPr>
            <w:r>
              <w:rPr>
                <w:rFonts w:ascii="Times New Roman" w:eastAsia="宋体" w:hint="eastAsia"/>
                <w:color w:val="000000"/>
                <w:sz w:val="21"/>
                <w:szCs w:val="21"/>
              </w:rPr>
              <w:t>21</w:t>
            </w:r>
          </w:p>
        </w:tc>
        <w:tc>
          <w:tcPr>
            <w:tcW w:w="2360" w:type="dxa"/>
            <w:noWrap/>
            <w:vAlign w:val="center"/>
          </w:tcPr>
          <w:p w:rsidR="002D3004" w:rsidRDefault="0093795E">
            <w:pPr>
              <w:widowControl/>
              <w:spacing w:line="280" w:lineRule="exact"/>
              <w:jc w:val="center"/>
              <w:textAlignment w:val="center"/>
              <w:rPr>
                <w:rFonts w:ascii="Times New Roman" w:eastAsia="宋体" w:hAnsi="宋体"/>
                <w:color w:val="000000"/>
                <w:sz w:val="21"/>
                <w:szCs w:val="21"/>
              </w:rPr>
            </w:pPr>
            <w:r>
              <w:rPr>
                <w:rFonts w:ascii="Times New Roman" w:eastAsia="宋体" w:hAnsi="宋体" w:hint="eastAsia"/>
                <w:color w:val="000000"/>
                <w:sz w:val="21"/>
                <w:szCs w:val="21"/>
              </w:rPr>
              <w:t>诺西</w:t>
            </w:r>
            <w:proofErr w:type="gramStart"/>
            <w:r>
              <w:rPr>
                <w:rFonts w:ascii="Times New Roman" w:eastAsia="宋体" w:hAnsi="宋体" w:hint="eastAsia"/>
                <w:color w:val="000000"/>
                <w:sz w:val="21"/>
                <w:szCs w:val="21"/>
              </w:rPr>
              <w:t>那生钠注射液</w:t>
            </w:r>
            <w:proofErr w:type="gramEnd"/>
          </w:p>
        </w:tc>
        <w:tc>
          <w:tcPr>
            <w:tcW w:w="5603" w:type="dxa"/>
            <w:noWrap/>
            <w:vAlign w:val="center"/>
          </w:tcPr>
          <w:p w:rsidR="002D3004" w:rsidRDefault="0093795E">
            <w:pPr>
              <w:widowControl/>
              <w:spacing w:line="28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本品用于治疗</w:t>
            </w:r>
            <w:r>
              <w:rPr>
                <w:rFonts w:ascii="Times New Roman" w:eastAsia="宋体" w:hAnsi="宋体" w:hint="eastAsia"/>
                <w:color w:val="000000"/>
                <w:sz w:val="21"/>
                <w:szCs w:val="21"/>
              </w:rPr>
              <w:t>5q</w:t>
            </w:r>
            <w:r>
              <w:rPr>
                <w:rFonts w:ascii="Times New Roman" w:eastAsia="宋体" w:hAnsi="宋体" w:hint="eastAsia"/>
                <w:color w:val="000000"/>
                <w:sz w:val="21"/>
                <w:szCs w:val="21"/>
              </w:rPr>
              <w:t>脊髓性肌萎缩症。</w:t>
            </w:r>
          </w:p>
        </w:tc>
      </w:tr>
      <w:tr w:rsidR="002D3004">
        <w:trPr>
          <w:trHeight w:val="970"/>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22</w:t>
            </w:r>
          </w:p>
        </w:tc>
        <w:tc>
          <w:tcPr>
            <w:tcW w:w="2360" w:type="dxa"/>
            <w:noWrap/>
            <w:vAlign w:val="center"/>
          </w:tcPr>
          <w:p w:rsidR="002D3004" w:rsidRDefault="0093795E">
            <w:pPr>
              <w:widowControl/>
              <w:spacing w:line="260" w:lineRule="exact"/>
              <w:ind w:left="-57" w:right="-57"/>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阿加糖酶α注射用浓溶液</w:t>
            </w:r>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本品用于确诊为法布雷病（α</w:t>
            </w:r>
            <w:r>
              <w:rPr>
                <w:rFonts w:ascii="Times New Roman" w:eastAsia="宋体" w:hAnsi="宋体" w:hint="eastAsia"/>
                <w:color w:val="000000"/>
                <w:sz w:val="21"/>
                <w:szCs w:val="21"/>
              </w:rPr>
              <w:t>-</w:t>
            </w:r>
            <w:r>
              <w:rPr>
                <w:rFonts w:ascii="Times New Roman" w:eastAsia="宋体" w:hAnsi="宋体" w:hint="eastAsia"/>
                <w:color w:val="000000"/>
                <w:sz w:val="21"/>
                <w:szCs w:val="21"/>
              </w:rPr>
              <w:t>半乳糖苷酶</w:t>
            </w:r>
            <w:r>
              <w:rPr>
                <w:rFonts w:ascii="Times New Roman" w:eastAsia="宋体" w:hAnsi="宋体" w:hint="eastAsia"/>
                <w:color w:val="000000"/>
                <w:sz w:val="21"/>
                <w:szCs w:val="21"/>
              </w:rPr>
              <w:t>A</w:t>
            </w:r>
            <w:r>
              <w:rPr>
                <w:rFonts w:ascii="Times New Roman" w:eastAsia="宋体" w:hAnsi="宋体" w:hint="eastAsia"/>
                <w:color w:val="000000"/>
                <w:sz w:val="21"/>
                <w:szCs w:val="21"/>
              </w:rPr>
              <w:t>缺乏症）患者的长期酶替代治疗。本品适用于成人、儿童和青少年。尚未确定本品在</w:t>
            </w:r>
            <w:r>
              <w:rPr>
                <w:rFonts w:ascii="Times New Roman" w:eastAsia="宋体" w:hAnsi="宋体" w:hint="eastAsia"/>
                <w:color w:val="000000"/>
                <w:sz w:val="21"/>
                <w:szCs w:val="21"/>
              </w:rPr>
              <w:t>0-6</w:t>
            </w:r>
            <w:r>
              <w:rPr>
                <w:rFonts w:ascii="Times New Roman" w:eastAsia="宋体" w:hAnsi="宋体" w:hint="eastAsia"/>
                <w:color w:val="000000"/>
                <w:sz w:val="21"/>
                <w:szCs w:val="21"/>
              </w:rPr>
              <w:t>岁儿童中的安全性和有效性。</w:t>
            </w:r>
          </w:p>
        </w:tc>
      </w:tr>
      <w:tr w:rsidR="002D3004">
        <w:trPr>
          <w:trHeight w:val="676"/>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23</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氨吡啶缓释片</w:t>
            </w:r>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本品用于改善多发性硬化合并步行障碍（</w:t>
            </w:r>
            <w:r>
              <w:rPr>
                <w:rFonts w:ascii="Times New Roman" w:eastAsia="宋体" w:hAnsi="宋体" w:hint="eastAsia"/>
                <w:color w:val="000000"/>
                <w:sz w:val="21"/>
                <w:szCs w:val="21"/>
              </w:rPr>
              <w:t>EDSS</w:t>
            </w:r>
            <w:r>
              <w:rPr>
                <w:rFonts w:ascii="Times New Roman" w:eastAsia="宋体" w:hAnsi="宋体" w:hint="eastAsia"/>
                <w:color w:val="000000"/>
                <w:sz w:val="21"/>
                <w:szCs w:val="21"/>
              </w:rPr>
              <w:t>评分</w:t>
            </w:r>
            <w:r>
              <w:rPr>
                <w:rFonts w:ascii="Times New Roman" w:eastAsia="宋体" w:hAnsi="宋体" w:hint="eastAsia"/>
                <w:color w:val="000000"/>
                <w:sz w:val="21"/>
                <w:szCs w:val="21"/>
              </w:rPr>
              <w:t>4-7</w:t>
            </w:r>
            <w:r>
              <w:rPr>
                <w:rFonts w:ascii="Times New Roman" w:eastAsia="宋体" w:hAnsi="宋体" w:hint="eastAsia"/>
                <w:color w:val="000000"/>
                <w:sz w:val="21"/>
                <w:szCs w:val="21"/>
              </w:rPr>
              <w:t>分）的成年患者的步行能力。</w:t>
            </w:r>
          </w:p>
        </w:tc>
      </w:tr>
      <w:tr w:rsidR="002D3004">
        <w:trPr>
          <w:trHeight w:val="676"/>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24</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艾诺韦林片</w:t>
            </w:r>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本品适用于与核苷类抗逆转录病毒药物联合使用，治疗成人</w:t>
            </w:r>
            <w:r>
              <w:rPr>
                <w:rFonts w:ascii="Times New Roman" w:eastAsia="宋体" w:hAnsi="宋体" w:hint="eastAsia"/>
                <w:color w:val="000000"/>
                <w:sz w:val="21"/>
                <w:szCs w:val="21"/>
              </w:rPr>
              <w:t>HIV-1</w:t>
            </w:r>
            <w:r>
              <w:rPr>
                <w:rFonts w:ascii="Times New Roman" w:eastAsia="宋体" w:hAnsi="宋体" w:hint="eastAsia"/>
                <w:color w:val="000000"/>
                <w:sz w:val="21"/>
                <w:szCs w:val="21"/>
              </w:rPr>
              <w:t>感染初治患者。</w:t>
            </w:r>
          </w:p>
        </w:tc>
      </w:tr>
      <w:tr w:rsidR="002D3004">
        <w:trPr>
          <w:trHeight w:val="1115"/>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25</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proofErr w:type="gramStart"/>
            <w:r>
              <w:rPr>
                <w:rFonts w:ascii="Times New Roman" w:eastAsia="宋体" w:hAnsi="宋体" w:hint="eastAsia"/>
                <w:color w:val="0D0D0D"/>
                <w:sz w:val="21"/>
                <w:szCs w:val="21"/>
              </w:rPr>
              <w:t>拉米夫定多替拉韦</w:t>
            </w:r>
            <w:proofErr w:type="gramEnd"/>
            <w:r>
              <w:rPr>
                <w:rFonts w:ascii="Times New Roman" w:eastAsia="宋体" w:hAnsi="宋体" w:hint="eastAsia"/>
                <w:color w:val="0D0D0D"/>
                <w:sz w:val="21"/>
                <w:szCs w:val="21"/>
              </w:rPr>
              <w:t>片</w:t>
            </w:r>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作为完整治疗方案用于无抗逆转录病毒治疗史，且对本品任</w:t>
            </w:r>
            <w:proofErr w:type="gramStart"/>
            <w:r>
              <w:rPr>
                <w:rFonts w:ascii="Times New Roman" w:eastAsia="宋体" w:hAnsi="宋体" w:hint="eastAsia"/>
                <w:color w:val="000000"/>
                <w:sz w:val="21"/>
                <w:szCs w:val="21"/>
              </w:rPr>
              <w:t>一</w:t>
            </w:r>
            <w:proofErr w:type="gramEnd"/>
            <w:r>
              <w:rPr>
                <w:rFonts w:ascii="Times New Roman" w:eastAsia="宋体" w:hAnsi="宋体" w:hint="eastAsia"/>
                <w:color w:val="000000"/>
                <w:sz w:val="21"/>
                <w:szCs w:val="21"/>
              </w:rPr>
              <w:t>成分无已知耐药相关突变的</w:t>
            </w:r>
            <w:r>
              <w:rPr>
                <w:rFonts w:ascii="Times New Roman" w:eastAsia="宋体" w:hAnsi="宋体" w:hint="eastAsia"/>
                <w:color w:val="000000"/>
                <w:sz w:val="21"/>
                <w:szCs w:val="21"/>
              </w:rPr>
              <w:t>1</w:t>
            </w:r>
            <w:proofErr w:type="gramStart"/>
            <w:r>
              <w:rPr>
                <w:rFonts w:ascii="Times New Roman" w:eastAsia="宋体" w:hAnsi="宋体" w:hint="eastAsia"/>
                <w:color w:val="000000"/>
                <w:sz w:val="21"/>
                <w:szCs w:val="21"/>
              </w:rPr>
              <w:t>型人类</w:t>
            </w:r>
            <w:proofErr w:type="gramEnd"/>
            <w:r>
              <w:rPr>
                <w:rFonts w:ascii="Times New Roman" w:eastAsia="宋体" w:hAnsi="宋体" w:hint="eastAsia"/>
                <w:color w:val="000000"/>
                <w:sz w:val="21"/>
                <w:szCs w:val="21"/>
              </w:rPr>
              <w:t>免疫缺陷病毒（</w:t>
            </w:r>
            <w:r>
              <w:rPr>
                <w:rFonts w:ascii="Times New Roman" w:eastAsia="宋体" w:hAnsi="宋体" w:hint="eastAsia"/>
                <w:color w:val="000000"/>
                <w:sz w:val="21"/>
                <w:szCs w:val="21"/>
              </w:rPr>
              <w:t>HIV-1</w:t>
            </w:r>
            <w:r>
              <w:rPr>
                <w:rFonts w:ascii="Times New Roman" w:eastAsia="宋体" w:hAnsi="宋体" w:hint="eastAsia"/>
                <w:color w:val="000000"/>
                <w:sz w:val="21"/>
                <w:szCs w:val="21"/>
              </w:rPr>
              <w:t>）感染成人患者。</w:t>
            </w:r>
          </w:p>
        </w:tc>
      </w:tr>
      <w:tr w:rsidR="002D3004">
        <w:trPr>
          <w:trHeight w:val="965"/>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26</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比克</w:t>
            </w:r>
            <w:proofErr w:type="gramStart"/>
            <w:r>
              <w:rPr>
                <w:rFonts w:ascii="Times New Roman" w:eastAsia="宋体" w:hAnsi="宋体" w:hint="eastAsia"/>
                <w:color w:val="0D0D0D"/>
                <w:sz w:val="21"/>
                <w:szCs w:val="21"/>
              </w:rPr>
              <w:t>恩丙诺片</w:t>
            </w:r>
            <w:proofErr w:type="gramEnd"/>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本品适用于作为完整方案治疗人类免疫缺陷病毒</w:t>
            </w:r>
            <w:r>
              <w:rPr>
                <w:rFonts w:ascii="Times New Roman" w:eastAsia="宋体" w:hAnsi="宋体" w:hint="eastAsia"/>
                <w:color w:val="000000"/>
                <w:sz w:val="21"/>
                <w:szCs w:val="21"/>
              </w:rPr>
              <w:t>1</w:t>
            </w:r>
            <w:r>
              <w:rPr>
                <w:rFonts w:ascii="Times New Roman" w:eastAsia="宋体" w:hAnsi="宋体" w:hint="eastAsia"/>
                <w:color w:val="000000"/>
                <w:sz w:val="21"/>
                <w:szCs w:val="21"/>
              </w:rPr>
              <w:t>型（</w:t>
            </w:r>
            <w:r>
              <w:rPr>
                <w:rFonts w:ascii="Times New Roman" w:eastAsia="宋体" w:hAnsi="宋体" w:hint="eastAsia"/>
                <w:color w:val="000000"/>
                <w:sz w:val="21"/>
                <w:szCs w:val="21"/>
              </w:rPr>
              <w:t>HIV-1</w:t>
            </w:r>
            <w:r>
              <w:rPr>
                <w:rFonts w:ascii="Times New Roman" w:eastAsia="宋体" w:hAnsi="宋体" w:hint="eastAsia"/>
                <w:color w:val="000000"/>
                <w:sz w:val="21"/>
                <w:szCs w:val="21"/>
              </w:rPr>
              <w:t>）感染的成人，且患者目前和既往无对整合酶抑制剂类药物、</w:t>
            </w:r>
            <w:proofErr w:type="gramStart"/>
            <w:r>
              <w:rPr>
                <w:rFonts w:ascii="Times New Roman" w:eastAsia="宋体" w:hAnsi="宋体" w:hint="eastAsia"/>
                <w:color w:val="000000"/>
                <w:sz w:val="21"/>
                <w:szCs w:val="21"/>
              </w:rPr>
              <w:t>恩曲他滨或替诺福韦产生</w:t>
            </w:r>
            <w:proofErr w:type="gramEnd"/>
            <w:r>
              <w:rPr>
                <w:rFonts w:ascii="Times New Roman" w:eastAsia="宋体" w:hAnsi="宋体" w:hint="eastAsia"/>
                <w:color w:val="000000"/>
                <w:sz w:val="21"/>
                <w:szCs w:val="21"/>
              </w:rPr>
              <w:t>病毒耐药性的证据。</w:t>
            </w:r>
          </w:p>
        </w:tc>
      </w:tr>
      <w:tr w:rsidR="002D3004">
        <w:trPr>
          <w:trHeight w:val="1115"/>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27</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proofErr w:type="gramStart"/>
            <w:r>
              <w:rPr>
                <w:rFonts w:ascii="Times New Roman" w:eastAsia="宋体" w:hAnsi="宋体" w:hint="eastAsia"/>
                <w:color w:val="0D0D0D"/>
                <w:sz w:val="21"/>
                <w:szCs w:val="21"/>
              </w:rPr>
              <w:t>索磷维伏片</w:t>
            </w:r>
            <w:proofErr w:type="gramEnd"/>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本品适用于治疗既往接受过含直接抗病毒药物（</w:t>
            </w:r>
            <w:r>
              <w:rPr>
                <w:rFonts w:ascii="Times New Roman" w:eastAsia="宋体" w:hAnsi="宋体" w:hint="eastAsia"/>
                <w:color w:val="000000"/>
                <w:sz w:val="21"/>
                <w:szCs w:val="21"/>
              </w:rPr>
              <w:t>DAA</w:t>
            </w:r>
            <w:r>
              <w:rPr>
                <w:rFonts w:ascii="Times New Roman" w:eastAsia="宋体" w:hAnsi="宋体" w:hint="eastAsia"/>
                <w:color w:val="000000"/>
                <w:sz w:val="21"/>
                <w:szCs w:val="21"/>
              </w:rPr>
              <w:t>）方案、无肝硬化或伴代偿性肝硬化（</w:t>
            </w:r>
            <w:r>
              <w:rPr>
                <w:rFonts w:ascii="Times New Roman" w:eastAsia="宋体" w:hAnsi="宋体" w:hint="eastAsia"/>
                <w:color w:val="000000"/>
                <w:sz w:val="21"/>
                <w:szCs w:val="21"/>
              </w:rPr>
              <w:t>Child-Pugh A</w:t>
            </w:r>
            <w:r>
              <w:rPr>
                <w:rFonts w:ascii="Times New Roman" w:eastAsia="宋体" w:hAnsi="宋体" w:hint="eastAsia"/>
                <w:color w:val="000000"/>
                <w:sz w:val="21"/>
                <w:szCs w:val="21"/>
              </w:rPr>
              <w:t>）的成人慢性丙型肝炎病毒（</w:t>
            </w:r>
            <w:r>
              <w:rPr>
                <w:rFonts w:ascii="Times New Roman" w:eastAsia="宋体" w:hAnsi="宋体" w:hint="eastAsia"/>
                <w:color w:val="000000"/>
                <w:sz w:val="21"/>
                <w:szCs w:val="21"/>
              </w:rPr>
              <w:t>HCV</w:t>
            </w:r>
            <w:r>
              <w:rPr>
                <w:rFonts w:ascii="Times New Roman" w:eastAsia="宋体" w:hAnsi="宋体" w:hint="eastAsia"/>
                <w:color w:val="000000"/>
                <w:sz w:val="21"/>
                <w:szCs w:val="21"/>
              </w:rPr>
              <w:t>）感染。</w:t>
            </w:r>
          </w:p>
        </w:tc>
      </w:tr>
      <w:tr w:rsidR="002D3004">
        <w:trPr>
          <w:trHeight w:val="1115"/>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28</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proofErr w:type="gramStart"/>
            <w:r>
              <w:rPr>
                <w:rFonts w:ascii="Times New Roman" w:eastAsia="宋体" w:hAnsi="宋体" w:hint="eastAsia"/>
                <w:color w:val="0D0D0D"/>
                <w:sz w:val="21"/>
                <w:szCs w:val="21"/>
              </w:rPr>
              <w:t>达诺瑞韦钠片</w:t>
            </w:r>
            <w:proofErr w:type="gramEnd"/>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与盐酸拉维达韦片等联合用于治疗初治的非肝硬化的基因</w:t>
            </w:r>
            <w:r>
              <w:rPr>
                <w:rFonts w:ascii="Times New Roman" w:eastAsia="宋体" w:hAnsi="宋体" w:hint="eastAsia"/>
                <w:color w:val="000000"/>
                <w:sz w:val="21"/>
                <w:szCs w:val="21"/>
              </w:rPr>
              <w:t>1b</w:t>
            </w:r>
            <w:r>
              <w:rPr>
                <w:rFonts w:ascii="Times New Roman" w:eastAsia="宋体" w:hAnsi="宋体" w:hint="eastAsia"/>
                <w:color w:val="000000"/>
                <w:sz w:val="21"/>
                <w:szCs w:val="21"/>
              </w:rPr>
              <w:t>型慢性丙型肝炎成人患者（用法用量详见盐酸拉维达韦片说明书）。</w:t>
            </w:r>
          </w:p>
        </w:tc>
      </w:tr>
      <w:tr w:rsidR="002D3004">
        <w:trPr>
          <w:trHeight w:val="1010"/>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29</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盐酸拉维达韦片</w:t>
            </w:r>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盐酸拉维达韦</w:t>
            </w:r>
            <w:proofErr w:type="gramStart"/>
            <w:r>
              <w:rPr>
                <w:rFonts w:ascii="Times New Roman" w:eastAsia="宋体" w:hAnsi="宋体" w:hint="eastAsia"/>
                <w:color w:val="000000"/>
                <w:sz w:val="21"/>
                <w:szCs w:val="21"/>
              </w:rPr>
              <w:t>片联合</w:t>
            </w:r>
            <w:proofErr w:type="gramEnd"/>
            <w:r>
              <w:rPr>
                <w:rFonts w:ascii="Times New Roman" w:eastAsia="宋体" w:hAnsi="宋体" w:hint="eastAsia"/>
                <w:color w:val="000000"/>
                <w:sz w:val="21"/>
                <w:szCs w:val="21"/>
              </w:rPr>
              <w:t>利托那韦强化的</w:t>
            </w:r>
            <w:proofErr w:type="gramStart"/>
            <w:r>
              <w:rPr>
                <w:rFonts w:ascii="Times New Roman" w:eastAsia="宋体" w:hAnsi="宋体" w:hint="eastAsia"/>
                <w:color w:val="000000"/>
                <w:sz w:val="21"/>
                <w:szCs w:val="21"/>
              </w:rPr>
              <w:t>达诺瑞韦钠片和</w:t>
            </w:r>
            <w:proofErr w:type="gramEnd"/>
            <w:r>
              <w:rPr>
                <w:rFonts w:ascii="Times New Roman" w:eastAsia="宋体" w:hAnsi="宋体" w:hint="eastAsia"/>
                <w:color w:val="000000"/>
                <w:sz w:val="21"/>
                <w:szCs w:val="21"/>
              </w:rPr>
              <w:t>利巴韦林，用于治疗初治的基因</w:t>
            </w:r>
            <w:proofErr w:type="spellStart"/>
            <w:r>
              <w:rPr>
                <w:rFonts w:ascii="Times New Roman" w:eastAsia="宋体" w:hAnsi="宋体" w:hint="eastAsia"/>
                <w:color w:val="000000"/>
                <w:sz w:val="21"/>
                <w:szCs w:val="21"/>
              </w:rPr>
              <w:t>lb</w:t>
            </w:r>
            <w:proofErr w:type="spellEnd"/>
            <w:r>
              <w:rPr>
                <w:rFonts w:ascii="Times New Roman" w:eastAsia="宋体" w:hAnsi="宋体" w:hint="eastAsia"/>
                <w:color w:val="000000"/>
                <w:sz w:val="21"/>
                <w:szCs w:val="21"/>
              </w:rPr>
              <w:t>型慢性丙型肝炎病毒感染的非肝硬化成人患者。盐酸拉维达韦</w:t>
            </w:r>
            <w:proofErr w:type="gramStart"/>
            <w:r>
              <w:rPr>
                <w:rFonts w:ascii="Times New Roman" w:eastAsia="宋体" w:hAnsi="宋体" w:hint="eastAsia"/>
                <w:color w:val="000000"/>
                <w:sz w:val="21"/>
                <w:szCs w:val="21"/>
              </w:rPr>
              <w:t>片不得</w:t>
            </w:r>
            <w:proofErr w:type="gramEnd"/>
            <w:r>
              <w:rPr>
                <w:rFonts w:ascii="Times New Roman" w:eastAsia="宋体" w:hAnsi="宋体" w:hint="eastAsia"/>
                <w:color w:val="000000"/>
                <w:sz w:val="21"/>
                <w:szCs w:val="21"/>
              </w:rPr>
              <w:t>作为单药治疗。</w:t>
            </w:r>
          </w:p>
        </w:tc>
      </w:tr>
      <w:tr w:rsidR="002D3004">
        <w:trPr>
          <w:trHeight w:val="1010"/>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30</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磷酸依</w:t>
            </w:r>
            <w:proofErr w:type="gramStart"/>
            <w:r>
              <w:rPr>
                <w:rFonts w:ascii="Times New Roman" w:eastAsia="宋体" w:hAnsi="宋体" w:hint="eastAsia"/>
                <w:color w:val="0D0D0D"/>
                <w:sz w:val="21"/>
                <w:szCs w:val="21"/>
              </w:rPr>
              <w:t>米他韦胶囊</w:t>
            </w:r>
            <w:proofErr w:type="gramEnd"/>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磷酸依</w:t>
            </w:r>
            <w:proofErr w:type="gramStart"/>
            <w:r>
              <w:rPr>
                <w:rFonts w:ascii="Times New Roman" w:eastAsia="宋体" w:hAnsi="宋体" w:hint="eastAsia"/>
                <w:color w:val="000000"/>
                <w:sz w:val="21"/>
                <w:szCs w:val="21"/>
              </w:rPr>
              <w:t>米他韦胶囊</w:t>
            </w:r>
            <w:proofErr w:type="gramEnd"/>
            <w:r>
              <w:rPr>
                <w:rFonts w:ascii="Times New Roman" w:eastAsia="宋体" w:hAnsi="宋体" w:hint="eastAsia"/>
                <w:color w:val="000000"/>
                <w:sz w:val="21"/>
                <w:szCs w:val="21"/>
              </w:rPr>
              <w:t>需</w:t>
            </w:r>
            <w:proofErr w:type="gramStart"/>
            <w:r>
              <w:rPr>
                <w:rFonts w:ascii="Times New Roman" w:eastAsia="宋体" w:hAnsi="宋体" w:hint="eastAsia"/>
                <w:color w:val="000000"/>
                <w:sz w:val="21"/>
                <w:szCs w:val="21"/>
              </w:rPr>
              <w:t>与索磷布</w:t>
            </w:r>
            <w:proofErr w:type="gramEnd"/>
            <w:r>
              <w:rPr>
                <w:rFonts w:ascii="Times New Roman" w:eastAsia="宋体" w:hAnsi="宋体" w:hint="eastAsia"/>
                <w:color w:val="000000"/>
                <w:sz w:val="21"/>
                <w:szCs w:val="21"/>
              </w:rPr>
              <w:t>韦片联合，用于治疗成人基因</w:t>
            </w:r>
            <w:r>
              <w:rPr>
                <w:rFonts w:ascii="Times New Roman" w:eastAsia="宋体" w:hAnsi="宋体" w:hint="eastAsia"/>
                <w:color w:val="000000"/>
                <w:sz w:val="21"/>
                <w:szCs w:val="21"/>
              </w:rPr>
              <w:t>1</w:t>
            </w:r>
            <w:r>
              <w:rPr>
                <w:rFonts w:ascii="Times New Roman" w:eastAsia="宋体" w:hAnsi="宋体" w:hint="eastAsia"/>
                <w:color w:val="000000"/>
                <w:sz w:val="21"/>
                <w:szCs w:val="21"/>
              </w:rPr>
              <w:t>型非肝硬化慢性丙型肝炎。磷酸依</w:t>
            </w:r>
            <w:proofErr w:type="gramStart"/>
            <w:r>
              <w:rPr>
                <w:rFonts w:ascii="Times New Roman" w:eastAsia="宋体" w:hAnsi="宋体" w:hint="eastAsia"/>
                <w:color w:val="000000"/>
                <w:sz w:val="21"/>
                <w:szCs w:val="21"/>
              </w:rPr>
              <w:t>米他韦胶囊</w:t>
            </w:r>
            <w:proofErr w:type="gramEnd"/>
            <w:r>
              <w:rPr>
                <w:rFonts w:ascii="Times New Roman" w:eastAsia="宋体" w:hAnsi="宋体" w:hint="eastAsia"/>
                <w:color w:val="000000"/>
                <w:sz w:val="21"/>
                <w:szCs w:val="21"/>
              </w:rPr>
              <w:t>不得作为单药治疗。</w:t>
            </w:r>
          </w:p>
        </w:tc>
      </w:tr>
      <w:tr w:rsidR="002D3004">
        <w:trPr>
          <w:trHeight w:val="2277"/>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lastRenderedPageBreak/>
              <w:t>31</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海</w:t>
            </w:r>
            <w:proofErr w:type="gramStart"/>
            <w:r>
              <w:rPr>
                <w:rFonts w:ascii="Times New Roman" w:eastAsia="宋体" w:hAnsi="宋体" w:hint="eastAsia"/>
                <w:color w:val="0D0D0D"/>
                <w:sz w:val="21"/>
                <w:szCs w:val="21"/>
              </w:rPr>
              <w:t>曲泊帕</w:t>
            </w:r>
            <w:proofErr w:type="gramEnd"/>
            <w:r>
              <w:rPr>
                <w:rFonts w:ascii="Times New Roman" w:eastAsia="宋体" w:hAnsi="宋体" w:hint="eastAsia"/>
                <w:color w:val="0D0D0D"/>
                <w:sz w:val="21"/>
                <w:szCs w:val="21"/>
              </w:rPr>
              <w:t>乙醇胺片</w:t>
            </w:r>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 xml:space="preserve">1. </w:t>
            </w:r>
            <w:r>
              <w:rPr>
                <w:rFonts w:ascii="Times New Roman" w:eastAsia="宋体" w:hAnsi="宋体" w:hint="eastAsia"/>
                <w:color w:val="000000"/>
                <w:sz w:val="21"/>
                <w:szCs w:val="21"/>
              </w:rPr>
              <w:t>本品适用于既往对糖皮质激素、免疫球蛋白等治疗反应不佳的慢性原发免疫性血小板减少症</w:t>
            </w:r>
            <w:r>
              <w:rPr>
                <w:rFonts w:ascii="Times New Roman" w:eastAsia="宋体" w:hAnsi="宋体" w:hint="eastAsia"/>
                <w:color w:val="000000"/>
                <w:sz w:val="21"/>
                <w:szCs w:val="21"/>
              </w:rPr>
              <w:t>(ITP)</w:t>
            </w:r>
            <w:r>
              <w:rPr>
                <w:rFonts w:ascii="Times New Roman" w:eastAsia="宋体" w:hAnsi="宋体" w:hint="eastAsia"/>
                <w:color w:val="000000"/>
                <w:sz w:val="21"/>
                <w:szCs w:val="21"/>
              </w:rPr>
              <w:t>成人患者，使血小板计数升高并减少或防止出血。本品仅用于因血小板减少和临床条件导致出血风险增加的</w:t>
            </w:r>
            <w:r>
              <w:rPr>
                <w:rFonts w:ascii="Times New Roman" w:eastAsia="宋体" w:hAnsi="宋体" w:hint="eastAsia"/>
                <w:color w:val="000000"/>
                <w:sz w:val="21"/>
                <w:szCs w:val="21"/>
              </w:rPr>
              <w:t>ITP</w:t>
            </w:r>
            <w:r>
              <w:rPr>
                <w:rFonts w:ascii="Times New Roman" w:eastAsia="宋体" w:hAnsi="宋体" w:hint="eastAsia"/>
                <w:color w:val="000000"/>
                <w:sz w:val="21"/>
                <w:szCs w:val="21"/>
              </w:rPr>
              <w:t>患者。</w:t>
            </w:r>
          </w:p>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 xml:space="preserve">2. </w:t>
            </w:r>
            <w:r>
              <w:rPr>
                <w:rFonts w:ascii="Times New Roman" w:eastAsia="宋体" w:hAnsi="宋体" w:hint="eastAsia"/>
                <w:color w:val="000000"/>
                <w:sz w:val="21"/>
                <w:szCs w:val="21"/>
              </w:rPr>
              <w:t>本品适用于对免疫抑制治疗（</w:t>
            </w:r>
            <w:r>
              <w:rPr>
                <w:rFonts w:ascii="Times New Roman" w:eastAsia="宋体" w:hAnsi="宋体" w:hint="eastAsia"/>
                <w:color w:val="000000"/>
                <w:sz w:val="21"/>
                <w:szCs w:val="21"/>
              </w:rPr>
              <w:t>IST</w:t>
            </w:r>
            <w:r>
              <w:rPr>
                <w:rFonts w:ascii="Times New Roman" w:eastAsia="宋体" w:hAnsi="宋体" w:hint="eastAsia"/>
                <w:color w:val="000000"/>
                <w:sz w:val="21"/>
                <w:szCs w:val="21"/>
              </w:rPr>
              <w:t>）疗效不佳的重型再生障碍性贫血（</w:t>
            </w:r>
            <w:r>
              <w:rPr>
                <w:rFonts w:ascii="Times New Roman" w:eastAsia="宋体" w:hAnsi="宋体" w:hint="eastAsia"/>
                <w:color w:val="000000"/>
                <w:sz w:val="21"/>
                <w:szCs w:val="21"/>
              </w:rPr>
              <w:t>SAA</w:t>
            </w:r>
            <w:r>
              <w:rPr>
                <w:rFonts w:ascii="Times New Roman" w:eastAsia="宋体" w:hAnsi="宋体" w:hint="eastAsia"/>
                <w:color w:val="000000"/>
                <w:sz w:val="21"/>
                <w:szCs w:val="21"/>
              </w:rPr>
              <w:t>）成人患者。基于一项</w:t>
            </w:r>
            <w:r>
              <w:rPr>
                <w:rFonts w:ascii="Times New Roman" w:eastAsia="宋体" w:hAnsi="宋体" w:hint="eastAsia"/>
                <w:color w:val="000000"/>
                <w:sz w:val="21"/>
                <w:szCs w:val="21"/>
              </w:rPr>
              <w:t>II</w:t>
            </w:r>
            <w:r>
              <w:rPr>
                <w:rFonts w:ascii="Times New Roman" w:eastAsia="宋体" w:hAnsi="宋体" w:hint="eastAsia"/>
                <w:color w:val="000000"/>
                <w:sz w:val="21"/>
                <w:szCs w:val="21"/>
              </w:rPr>
              <w:t>期单臂试验的结果附条件批准本适应症。该适应症的完全批准将取决于正在进</w:t>
            </w:r>
            <w:r>
              <w:rPr>
                <w:rFonts w:ascii="Times New Roman" w:eastAsia="宋体" w:hAnsi="宋体" w:hint="eastAsia"/>
                <w:color w:val="000000"/>
                <w:sz w:val="21"/>
                <w:szCs w:val="21"/>
              </w:rPr>
              <w:t>行的确证性临床试验的结果。</w:t>
            </w:r>
          </w:p>
        </w:tc>
      </w:tr>
      <w:tr w:rsidR="002D3004">
        <w:trPr>
          <w:trHeight w:val="2038"/>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32</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注射用</w:t>
            </w:r>
            <w:proofErr w:type="gramStart"/>
            <w:r>
              <w:rPr>
                <w:rFonts w:ascii="Times New Roman" w:eastAsia="宋体" w:hAnsi="宋体" w:hint="eastAsia"/>
                <w:color w:val="0D0D0D"/>
                <w:sz w:val="21"/>
                <w:szCs w:val="21"/>
              </w:rPr>
              <w:t>泰它西普</w:t>
            </w:r>
            <w:proofErr w:type="gramEnd"/>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本品与常规治疗联合，适用于在常规治疗基础上仍具有</w:t>
            </w:r>
            <w:proofErr w:type="gramStart"/>
            <w:r>
              <w:rPr>
                <w:rFonts w:ascii="Times New Roman" w:eastAsia="宋体" w:hAnsi="宋体" w:hint="eastAsia"/>
                <w:color w:val="000000"/>
                <w:sz w:val="21"/>
                <w:szCs w:val="21"/>
              </w:rPr>
              <w:t>高疾病</w:t>
            </w:r>
            <w:proofErr w:type="gramEnd"/>
            <w:r>
              <w:rPr>
                <w:rFonts w:ascii="Times New Roman" w:eastAsia="宋体" w:hAnsi="宋体" w:hint="eastAsia"/>
                <w:color w:val="000000"/>
                <w:sz w:val="21"/>
                <w:szCs w:val="21"/>
              </w:rPr>
              <w:t>活动（例如：抗</w:t>
            </w:r>
            <w:r>
              <w:rPr>
                <w:rFonts w:ascii="Times New Roman" w:eastAsia="宋体" w:hAnsi="宋体" w:hint="eastAsia"/>
                <w:color w:val="000000"/>
                <w:sz w:val="21"/>
                <w:szCs w:val="21"/>
              </w:rPr>
              <w:t>ds-DNA</w:t>
            </w:r>
            <w:r>
              <w:rPr>
                <w:rFonts w:ascii="Times New Roman" w:eastAsia="宋体" w:hAnsi="宋体" w:hint="eastAsia"/>
                <w:color w:val="000000"/>
                <w:sz w:val="21"/>
                <w:szCs w:val="21"/>
              </w:rPr>
              <w:t>抗体阳性及低补体、</w:t>
            </w:r>
            <w:r>
              <w:rPr>
                <w:rFonts w:ascii="Times New Roman" w:eastAsia="宋体" w:hAnsi="宋体" w:hint="eastAsia"/>
                <w:color w:val="000000"/>
                <w:sz w:val="21"/>
                <w:szCs w:val="21"/>
              </w:rPr>
              <w:t>SELENA-SLEDAI</w:t>
            </w:r>
            <w:r>
              <w:rPr>
                <w:rFonts w:ascii="Times New Roman" w:eastAsia="宋体" w:hAnsi="宋体" w:hint="eastAsia"/>
                <w:color w:val="000000"/>
                <w:sz w:val="21"/>
                <w:szCs w:val="21"/>
              </w:rPr>
              <w:t>评分≥</w:t>
            </w:r>
            <w:r>
              <w:rPr>
                <w:rFonts w:ascii="Times New Roman" w:eastAsia="宋体" w:hAnsi="宋体" w:hint="eastAsia"/>
                <w:color w:val="000000"/>
                <w:sz w:val="21"/>
                <w:szCs w:val="21"/>
              </w:rPr>
              <w:t>8</w:t>
            </w:r>
            <w:r>
              <w:rPr>
                <w:rFonts w:ascii="Times New Roman" w:eastAsia="宋体" w:hAnsi="宋体" w:hint="eastAsia"/>
                <w:color w:val="000000"/>
                <w:sz w:val="21"/>
                <w:szCs w:val="21"/>
              </w:rPr>
              <w:t>）的活动性、自身抗体阳性的系统性红斑狼疮（</w:t>
            </w:r>
            <w:r>
              <w:rPr>
                <w:rFonts w:ascii="Times New Roman" w:eastAsia="宋体" w:hAnsi="宋体" w:hint="eastAsia"/>
                <w:color w:val="000000"/>
                <w:sz w:val="21"/>
                <w:szCs w:val="21"/>
              </w:rPr>
              <w:t>SLE</w:t>
            </w:r>
            <w:r>
              <w:rPr>
                <w:rFonts w:ascii="Times New Roman" w:eastAsia="宋体" w:hAnsi="宋体" w:hint="eastAsia"/>
                <w:color w:val="000000"/>
                <w:sz w:val="21"/>
                <w:szCs w:val="21"/>
              </w:rPr>
              <w:t>）成年患者。该适应症是基于一项接受常规治疗仍具有</w:t>
            </w:r>
            <w:proofErr w:type="gramStart"/>
            <w:r>
              <w:rPr>
                <w:rFonts w:ascii="Times New Roman" w:eastAsia="宋体" w:hAnsi="宋体" w:hint="eastAsia"/>
                <w:color w:val="000000"/>
                <w:sz w:val="21"/>
                <w:szCs w:val="21"/>
              </w:rPr>
              <w:t>高疾病</w:t>
            </w:r>
            <w:proofErr w:type="gramEnd"/>
            <w:r>
              <w:rPr>
                <w:rFonts w:ascii="Times New Roman" w:eastAsia="宋体" w:hAnsi="宋体" w:hint="eastAsia"/>
                <w:color w:val="000000"/>
                <w:sz w:val="21"/>
                <w:szCs w:val="21"/>
              </w:rPr>
              <w:t>活动的系统性红斑狼疮成年患者的</w:t>
            </w:r>
            <w:r>
              <w:rPr>
                <w:rFonts w:ascii="Times New Roman" w:eastAsia="宋体" w:hAnsi="宋体" w:hint="eastAsia"/>
                <w:color w:val="000000"/>
                <w:sz w:val="21"/>
                <w:szCs w:val="21"/>
              </w:rPr>
              <w:t>II</w:t>
            </w:r>
            <w:r>
              <w:rPr>
                <w:rFonts w:ascii="Times New Roman" w:eastAsia="宋体" w:hAnsi="宋体" w:hint="eastAsia"/>
                <w:color w:val="000000"/>
                <w:sz w:val="21"/>
                <w:szCs w:val="21"/>
              </w:rPr>
              <w:t>期临床试验结果给予的附条件批准。本适应症的完全获批将取决于确证性随机对照临床试验能否证实本品在该患者人群的临床获益。</w:t>
            </w:r>
          </w:p>
        </w:tc>
      </w:tr>
      <w:tr w:rsidR="002D3004">
        <w:trPr>
          <w:trHeight w:val="1870"/>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33</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proofErr w:type="gramStart"/>
            <w:r>
              <w:rPr>
                <w:rFonts w:ascii="Times New Roman" w:eastAsia="宋体" w:hAnsi="宋体" w:hint="eastAsia"/>
                <w:color w:val="0D0D0D"/>
                <w:sz w:val="21"/>
                <w:szCs w:val="21"/>
              </w:rPr>
              <w:t>乌司奴单</w:t>
            </w:r>
            <w:proofErr w:type="gramEnd"/>
            <w:r>
              <w:rPr>
                <w:rFonts w:ascii="Times New Roman" w:eastAsia="宋体" w:hAnsi="宋体" w:hint="eastAsia"/>
                <w:color w:val="0D0D0D"/>
                <w:sz w:val="21"/>
                <w:szCs w:val="21"/>
              </w:rPr>
              <w:t>抗注射液</w:t>
            </w:r>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 xml:space="preserve">1. </w:t>
            </w:r>
            <w:r>
              <w:rPr>
                <w:rFonts w:ascii="Times New Roman" w:eastAsia="宋体" w:hAnsi="宋体" w:hint="eastAsia"/>
                <w:color w:val="000000"/>
                <w:sz w:val="21"/>
                <w:szCs w:val="21"/>
              </w:rPr>
              <w:t>斑块状银屑病：本品适用于对环</w:t>
            </w:r>
            <w:proofErr w:type="gramStart"/>
            <w:r>
              <w:rPr>
                <w:rFonts w:ascii="Times New Roman" w:eastAsia="宋体" w:hAnsi="宋体" w:hint="eastAsia"/>
                <w:color w:val="000000"/>
                <w:sz w:val="21"/>
                <w:szCs w:val="21"/>
              </w:rPr>
              <w:t>孢</w:t>
            </w:r>
            <w:proofErr w:type="gramEnd"/>
            <w:r>
              <w:rPr>
                <w:rFonts w:ascii="Times New Roman" w:eastAsia="宋体" w:hAnsi="宋体" w:hint="eastAsia"/>
                <w:color w:val="000000"/>
                <w:sz w:val="21"/>
                <w:szCs w:val="21"/>
              </w:rPr>
              <w:t>素、甲氨蝶</w:t>
            </w:r>
            <w:proofErr w:type="gramStart"/>
            <w:r>
              <w:rPr>
                <w:rFonts w:ascii="Times New Roman" w:eastAsia="宋体" w:hAnsi="宋体" w:hint="eastAsia"/>
                <w:color w:val="000000"/>
                <w:sz w:val="21"/>
                <w:szCs w:val="21"/>
              </w:rPr>
              <w:t>呤</w:t>
            </w:r>
            <w:proofErr w:type="gramEnd"/>
            <w:r>
              <w:rPr>
                <w:rFonts w:ascii="Times New Roman" w:eastAsia="宋体" w:hAnsi="宋体" w:hint="eastAsia"/>
                <w:color w:val="000000"/>
                <w:sz w:val="21"/>
                <w:szCs w:val="21"/>
              </w:rPr>
              <w:t>（</w:t>
            </w:r>
            <w:r>
              <w:rPr>
                <w:rFonts w:ascii="Times New Roman" w:eastAsia="宋体" w:hAnsi="宋体" w:hint="eastAsia"/>
                <w:color w:val="000000"/>
                <w:sz w:val="21"/>
                <w:szCs w:val="21"/>
              </w:rPr>
              <w:t>MTX</w:t>
            </w:r>
            <w:r>
              <w:rPr>
                <w:rFonts w:ascii="Times New Roman" w:eastAsia="宋体" w:hAnsi="宋体" w:hint="eastAsia"/>
                <w:color w:val="000000"/>
                <w:sz w:val="21"/>
                <w:szCs w:val="21"/>
              </w:rPr>
              <w:t>）或</w:t>
            </w:r>
            <w:r>
              <w:rPr>
                <w:rFonts w:ascii="Times New Roman" w:eastAsia="宋体" w:hAnsi="宋体" w:hint="eastAsia"/>
                <w:color w:val="000000"/>
                <w:sz w:val="21"/>
                <w:szCs w:val="21"/>
              </w:rPr>
              <w:t>PUVA</w:t>
            </w:r>
            <w:r>
              <w:rPr>
                <w:rFonts w:ascii="Times New Roman" w:eastAsia="宋体" w:hAnsi="宋体" w:hint="eastAsia"/>
                <w:color w:val="000000"/>
                <w:sz w:val="21"/>
                <w:szCs w:val="21"/>
              </w:rPr>
              <w:t>（补骨脂素和紫外线</w:t>
            </w:r>
            <w:r>
              <w:rPr>
                <w:rFonts w:ascii="Times New Roman" w:eastAsia="宋体" w:hAnsi="宋体" w:hint="eastAsia"/>
                <w:color w:val="000000"/>
                <w:sz w:val="21"/>
                <w:szCs w:val="21"/>
              </w:rPr>
              <w:t>A</w:t>
            </w:r>
            <w:r>
              <w:rPr>
                <w:rFonts w:ascii="Times New Roman" w:eastAsia="宋体" w:hAnsi="宋体" w:hint="eastAsia"/>
                <w:color w:val="000000"/>
                <w:sz w:val="21"/>
                <w:szCs w:val="21"/>
              </w:rPr>
              <w:t>）等其他系统性治疗不应答、有禁忌或无法耐受的成年中重度斑块状银屑病患者。</w:t>
            </w:r>
            <w:r>
              <w:rPr>
                <w:rFonts w:ascii="Times New Roman" w:eastAsia="宋体" w:hAnsi="宋体" w:hint="eastAsia"/>
                <w:color w:val="000000"/>
                <w:sz w:val="21"/>
                <w:szCs w:val="21"/>
              </w:rPr>
              <w:t xml:space="preserve">2. </w:t>
            </w:r>
            <w:r>
              <w:rPr>
                <w:rFonts w:ascii="Times New Roman" w:eastAsia="宋体" w:hAnsi="宋体" w:hint="eastAsia"/>
                <w:color w:val="000000"/>
                <w:sz w:val="21"/>
                <w:szCs w:val="21"/>
              </w:rPr>
              <w:t>克罗恩病：本品适用于对传统治疗或肿瘤坏死因子α（</w:t>
            </w:r>
            <w:r>
              <w:rPr>
                <w:rFonts w:ascii="Times New Roman" w:eastAsia="宋体" w:hAnsi="宋体" w:hint="eastAsia"/>
                <w:color w:val="000000"/>
                <w:sz w:val="21"/>
                <w:szCs w:val="21"/>
              </w:rPr>
              <w:t>TNF-</w:t>
            </w:r>
            <w:r>
              <w:rPr>
                <w:rFonts w:ascii="Times New Roman" w:eastAsia="宋体" w:hAnsi="宋体" w:hint="eastAsia"/>
                <w:color w:val="000000"/>
                <w:sz w:val="21"/>
                <w:szCs w:val="21"/>
              </w:rPr>
              <w:t>α）拮抗剂应答不足、失应答或无法耐受的成年中重度活动性克罗恩病患者。</w:t>
            </w:r>
          </w:p>
        </w:tc>
      </w:tr>
      <w:tr w:rsidR="002D3004">
        <w:trPr>
          <w:trHeight w:val="1010"/>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34</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proofErr w:type="gramStart"/>
            <w:r>
              <w:rPr>
                <w:rFonts w:ascii="Times New Roman" w:eastAsia="宋体" w:hAnsi="宋体" w:hint="eastAsia"/>
                <w:color w:val="0D0D0D"/>
                <w:sz w:val="21"/>
                <w:szCs w:val="21"/>
              </w:rPr>
              <w:t>乌司奴单</w:t>
            </w:r>
            <w:proofErr w:type="gramEnd"/>
            <w:r>
              <w:rPr>
                <w:rFonts w:ascii="Times New Roman" w:eastAsia="宋体" w:hAnsi="宋体" w:hint="eastAsia"/>
                <w:color w:val="0D0D0D"/>
                <w:sz w:val="21"/>
                <w:szCs w:val="21"/>
              </w:rPr>
              <w:t>抗注射液</w:t>
            </w:r>
          </w:p>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w:t>
            </w:r>
            <w:r>
              <w:rPr>
                <w:rFonts w:ascii="Times New Roman" w:eastAsia="宋体" w:hAnsi="宋体" w:hint="eastAsia"/>
                <w:color w:val="0D0D0D"/>
                <w:sz w:val="21"/>
                <w:szCs w:val="21"/>
              </w:rPr>
              <w:t>静脉输注</w:t>
            </w:r>
            <w:r>
              <w:rPr>
                <w:rFonts w:ascii="Times New Roman" w:eastAsia="宋体" w:hAnsi="宋体" w:hint="eastAsia"/>
                <w:color w:val="0D0D0D"/>
                <w:sz w:val="21"/>
                <w:szCs w:val="21"/>
              </w:rPr>
              <w:t>)</w:t>
            </w:r>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本品适用于对传统治疗或肿瘤坏死因子α（</w:t>
            </w:r>
            <w:r>
              <w:rPr>
                <w:rFonts w:ascii="Times New Roman" w:eastAsia="宋体" w:hAnsi="宋体" w:hint="eastAsia"/>
                <w:color w:val="000000"/>
                <w:sz w:val="21"/>
                <w:szCs w:val="21"/>
              </w:rPr>
              <w:t>TNF-</w:t>
            </w:r>
            <w:r>
              <w:rPr>
                <w:rFonts w:ascii="Times New Roman" w:eastAsia="宋体" w:hAnsi="宋体" w:hint="eastAsia"/>
                <w:color w:val="000000"/>
                <w:sz w:val="21"/>
                <w:szCs w:val="21"/>
              </w:rPr>
              <w:t>α）拮抗剂应答不足、失应答或无法耐受的成年中重度活动性克罗恩病患者。</w:t>
            </w:r>
          </w:p>
        </w:tc>
      </w:tr>
      <w:tr w:rsidR="002D3004">
        <w:trPr>
          <w:trHeight w:val="1010"/>
          <w:jc w:val="center"/>
        </w:trPr>
        <w:tc>
          <w:tcPr>
            <w:tcW w:w="669" w:type="dxa"/>
            <w:noWrap/>
            <w:vAlign w:val="center"/>
          </w:tcPr>
          <w:p w:rsidR="002D3004" w:rsidRDefault="0093795E">
            <w:pPr>
              <w:widowControl/>
              <w:spacing w:line="260" w:lineRule="exact"/>
              <w:jc w:val="center"/>
              <w:textAlignment w:val="center"/>
              <w:rPr>
                <w:rFonts w:ascii="Times New Roman" w:eastAsia="宋体"/>
                <w:color w:val="000000"/>
                <w:sz w:val="21"/>
                <w:szCs w:val="21"/>
              </w:rPr>
            </w:pPr>
            <w:r>
              <w:rPr>
                <w:rFonts w:ascii="Times New Roman" w:eastAsia="宋体" w:hint="eastAsia"/>
                <w:color w:val="000000"/>
                <w:sz w:val="21"/>
                <w:szCs w:val="21"/>
              </w:rPr>
              <w:t>35</w:t>
            </w:r>
          </w:p>
        </w:tc>
        <w:tc>
          <w:tcPr>
            <w:tcW w:w="2360" w:type="dxa"/>
            <w:noWrap/>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依</w:t>
            </w:r>
            <w:proofErr w:type="gramStart"/>
            <w:r>
              <w:rPr>
                <w:rFonts w:ascii="Times New Roman" w:eastAsia="宋体" w:hAnsi="宋体" w:hint="eastAsia"/>
                <w:color w:val="0D0D0D"/>
                <w:sz w:val="21"/>
                <w:szCs w:val="21"/>
              </w:rPr>
              <w:t>奇珠单</w:t>
            </w:r>
            <w:proofErr w:type="gramEnd"/>
            <w:r>
              <w:rPr>
                <w:rFonts w:ascii="Times New Roman" w:eastAsia="宋体" w:hAnsi="宋体" w:hint="eastAsia"/>
                <w:color w:val="0D0D0D"/>
                <w:sz w:val="21"/>
                <w:szCs w:val="21"/>
              </w:rPr>
              <w:t>抗注射液</w:t>
            </w:r>
          </w:p>
        </w:tc>
        <w:tc>
          <w:tcPr>
            <w:tcW w:w="5603" w:type="dxa"/>
            <w:noWrap/>
            <w:vAlign w:val="center"/>
          </w:tcPr>
          <w:p w:rsidR="002D3004" w:rsidRDefault="0093795E">
            <w:pPr>
              <w:widowControl/>
              <w:spacing w:line="260" w:lineRule="exact"/>
              <w:textAlignment w:val="top"/>
              <w:rPr>
                <w:rFonts w:ascii="Times New Roman" w:eastAsia="宋体" w:hAnsi="宋体"/>
                <w:color w:val="000000"/>
                <w:sz w:val="21"/>
                <w:szCs w:val="21"/>
              </w:rPr>
            </w:pPr>
            <w:r>
              <w:rPr>
                <w:rFonts w:ascii="Times New Roman" w:eastAsia="宋体" w:hAnsi="宋体" w:hint="eastAsia"/>
                <w:color w:val="000000"/>
                <w:sz w:val="21"/>
                <w:szCs w:val="21"/>
              </w:rPr>
              <w:t>本品用于治疗适合系统治疗或光疗的中度至重度斑块型银屑病成人患者。</w:t>
            </w:r>
          </w:p>
        </w:tc>
      </w:tr>
    </w:tbl>
    <w:p w:rsidR="002D3004" w:rsidRDefault="002D3004">
      <w:pPr>
        <w:spacing w:before="240" w:line="580" w:lineRule="exact"/>
        <w:rPr>
          <w:rFonts w:ascii="Times New Roman" w:eastAsia="方正仿宋_GBK"/>
          <w:bCs/>
        </w:rPr>
        <w:sectPr w:rsidR="002D3004">
          <w:pgSz w:w="11906" w:h="16838"/>
          <w:pgMar w:top="2098" w:right="1531" w:bottom="1985" w:left="1531" w:header="709" w:footer="1361" w:gutter="0"/>
          <w:cols w:space="720"/>
          <w:docGrid w:type="lines" w:linePitch="579" w:charSpace="-849"/>
        </w:sectPr>
      </w:pPr>
    </w:p>
    <w:p w:rsidR="002D3004" w:rsidRDefault="0093795E">
      <w:pPr>
        <w:spacing w:line="560" w:lineRule="exact"/>
        <w:rPr>
          <w:rFonts w:ascii="Times New Roman" w:eastAsia="黑体"/>
        </w:rPr>
      </w:pPr>
      <w:r>
        <w:rPr>
          <w:rFonts w:ascii="Times New Roman" w:eastAsia="黑体" w:hAnsi="黑体"/>
        </w:rPr>
        <w:lastRenderedPageBreak/>
        <w:t>附件</w:t>
      </w:r>
      <w:r>
        <w:rPr>
          <w:rFonts w:ascii="Times New Roman" w:eastAsia="黑体" w:hint="eastAsia"/>
        </w:rPr>
        <w:t>8</w:t>
      </w:r>
    </w:p>
    <w:p w:rsidR="002D3004" w:rsidRDefault="0093795E">
      <w:pPr>
        <w:spacing w:before="240" w:line="58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新增双通道管理及非单独支付药品管理范围</w:t>
      </w:r>
    </w:p>
    <w:p w:rsidR="002D3004" w:rsidRDefault="002D3004">
      <w:pPr>
        <w:spacing w:line="580" w:lineRule="exact"/>
        <w:jc w:val="center"/>
        <w:rPr>
          <w:rFonts w:ascii="方正小标宋简体" w:eastAsia="方正小标宋简体" w:hAnsi="宋体"/>
          <w:color w:val="000000"/>
          <w:sz w:val="44"/>
          <w:szCs w:val="44"/>
        </w:rPr>
      </w:pPr>
    </w:p>
    <w:tbl>
      <w:tblPr>
        <w:tblW w:w="4846"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solid" w:color="FFFFFF" w:fill="auto"/>
        <w:tblLayout w:type="fixed"/>
        <w:tblLook w:val="04A0" w:firstRow="1" w:lastRow="0" w:firstColumn="1" w:lastColumn="0" w:noHBand="0" w:noVBand="1"/>
      </w:tblPr>
      <w:tblGrid>
        <w:gridCol w:w="818"/>
        <w:gridCol w:w="1315"/>
        <w:gridCol w:w="2494"/>
        <w:gridCol w:w="959"/>
        <w:gridCol w:w="1040"/>
        <w:gridCol w:w="2155"/>
      </w:tblGrid>
      <w:tr w:rsidR="002D3004">
        <w:trPr>
          <w:trHeight w:val="850"/>
          <w:tblHeader/>
          <w:jc w:val="center"/>
        </w:trPr>
        <w:tc>
          <w:tcPr>
            <w:tcW w:w="465" w:type="pct"/>
            <w:shd w:val="solid" w:color="FFFFFF" w:fill="auto"/>
            <w:vAlign w:val="center"/>
          </w:tcPr>
          <w:p w:rsidR="002D3004" w:rsidRDefault="0093795E">
            <w:pPr>
              <w:widowControl/>
              <w:spacing w:line="360" w:lineRule="exact"/>
              <w:jc w:val="center"/>
              <w:rPr>
                <w:rFonts w:ascii="黑体" w:eastAsia="黑体" w:hAnsi="黑体" w:cs="黑体"/>
                <w:bCs/>
                <w:color w:val="000000"/>
                <w:sz w:val="24"/>
                <w:szCs w:val="24"/>
              </w:rPr>
            </w:pPr>
            <w:r>
              <w:rPr>
                <w:rFonts w:ascii="黑体" w:eastAsia="黑体" w:hAnsi="黑体" w:cs="黑体" w:hint="eastAsia"/>
                <w:bCs/>
                <w:color w:val="000000"/>
                <w:sz w:val="24"/>
                <w:szCs w:val="24"/>
              </w:rPr>
              <w:t>序号</w:t>
            </w:r>
          </w:p>
        </w:tc>
        <w:tc>
          <w:tcPr>
            <w:tcW w:w="749" w:type="pct"/>
            <w:shd w:val="solid" w:color="FFFFFF" w:fill="auto"/>
            <w:vAlign w:val="center"/>
          </w:tcPr>
          <w:p w:rsidR="002D3004" w:rsidRDefault="0093795E">
            <w:pPr>
              <w:widowControl/>
              <w:spacing w:line="360" w:lineRule="exact"/>
              <w:jc w:val="center"/>
              <w:rPr>
                <w:rFonts w:ascii="黑体" w:eastAsia="黑体" w:hAnsi="黑体" w:cs="黑体"/>
                <w:bCs/>
                <w:color w:val="000000"/>
                <w:sz w:val="24"/>
                <w:szCs w:val="24"/>
              </w:rPr>
            </w:pPr>
            <w:r>
              <w:rPr>
                <w:rFonts w:ascii="黑体" w:eastAsia="黑体" w:hAnsi="黑体" w:cs="黑体" w:hint="eastAsia"/>
                <w:bCs/>
                <w:color w:val="000000"/>
                <w:sz w:val="24"/>
                <w:szCs w:val="24"/>
              </w:rPr>
              <w:t>药品</w:t>
            </w:r>
          </w:p>
          <w:p w:rsidR="002D3004" w:rsidRDefault="0093795E">
            <w:pPr>
              <w:widowControl/>
              <w:spacing w:line="360" w:lineRule="exact"/>
              <w:jc w:val="center"/>
              <w:rPr>
                <w:rFonts w:ascii="黑体" w:eastAsia="黑体" w:hAnsi="黑体" w:cs="黑体"/>
                <w:bCs/>
                <w:color w:val="000000"/>
                <w:sz w:val="24"/>
                <w:szCs w:val="24"/>
              </w:rPr>
            </w:pPr>
            <w:r>
              <w:rPr>
                <w:rFonts w:ascii="黑体" w:eastAsia="黑体" w:hAnsi="黑体" w:cs="黑体" w:hint="eastAsia"/>
                <w:bCs/>
                <w:color w:val="000000"/>
                <w:sz w:val="24"/>
                <w:szCs w:val="24"/>
              </w:rPr>
              <w:t>类别</w:t>
            </w:r>
          </w:p>
        </w:tc>
        <w:tc>
          <w:tcPr>
            <w:tcW w:w="1420" w:type="pct"/>
            <w:shd w:val="solid" w:color="FFFFFF" w:fill="auto"/>
            <w:vAlign w:val="center"/>
          </w:tcPr>
          <w:p w:rsidR="002D3004" w:rsidRDefault="0093795E">
            <w:pPr>
              <w:widowControl/>
              <w:spacing w:line="360" w:lineRule="exact"/>
              <w:jc w:val="center"/>
              <w:rPr>
                <w:rFonts w:ascii="黑体" w:eastAsia="黑体" w:hAnsi="黑体" w:cs="黑体"/>
                <w:bCs/>
                <w:color w:val="000000"/>
                <w:sz w:val="24"/>
                <w:szCs w:val="24"/>
              </w:rPr>
            </w:pPr>
            <w:r>
              <w:rPr>
                <w:rFonts w:ascii="黑体" w:eastAsia="黑体" w:hAnsi="黑体" w:cs="黑体" w:hint="eastAsia"/>
                <w:bCs/>
                <w:color w:val="000000"/>
                <w:sz w:val="24"/>
                <w:szCs w:val="24"/>
              </w:rPr>
              <w:t>药品名称</w:t>
            </w:r>
          </w:p>
        </w:tc>
        <w:tc>
          <w:tcPr>
            <w:tcW w:w="546" w:type="pct"/>
            <w:shd w:val="solid" w:color="FFFFFF" w:fill="auto"/>
            <w:vAlign w:val="center"/>
          </w:tcPr>
          <w:p w:rsidR="002D3004" w:rsidRDefault="0093795E">
            <w:pPr>
              <w:widowControl/>
              <w:spacing w:line="360" w:lineRule="exact"/>
              <w:jc w:val="center"/>
              <w:rPr>
                <w:rFonts w:ascii="黑体" w:eastAsia="黑体" w:hAnsi="黑体" w:cs="黑体"/>
                <w:bCs/>
                <w:color w:val="000000"/>
                <w:sz w:val="24"/>
                <w:szCs w:val="24"/>
              </w:rPr>
            </w:pPr>
            <w:r>
              <w:rPr>
                <w:rFonts w:ascii="黑体" w:eastAsia="黑体" w:hAnsi="黑体" w:cs="黑体" w:hint="eastAsia"/>
                <w:bCs/>
                <w:color w:val="000000"/>
                <w:sz w:val="24"/>
                <w:szCs w:val="24"/>
              </w:rPr>
              <w:t>序号</w:t>
            </w:r>
          </w:p>
        </w:tc>
        <w:tc>
          <w:tcPr>
            <w:tcW w:w="592" w:type="pct"/>
            <w:shd w:val="solid" w:color="FFFFFF" w:fill="auto"/>
            <w:vAlign w:val="center"/>
          </w:tcPr>
          <w:p w:rsidR="002D3004" w:rsidRDefault="0093795E">
            <w:pPr>
              <w:widowControl/>
              <w:spacing w:line="360" w:lineRule="exact"/>
              <w:jc w:val="center"/>
              <w:rPr>
                <w:rFonts w:ascii="黑体" w:eastAsia="黑体" w:hAnsi="黑体" w:cs="黑体"/>
                <w:bCs/>
                <w:color w:val="000000"/>
                <w:sz w:val="24"/>
                <w:szCs w:val="24"/>
              </w:rPr>
            </w:pPr>
            <w:r>
              <w:rPr>
                <w:rFonts w:ascii="黑体" w:eastAsia="黑体" w:hAnsi="黑体" w:cs="黑体" w:hint="eastAsia"/>
                <w:bCs/>
                <w:color w:val="000000"/>
                <w:sz w:val="24"/>
                <w:szCs w:val="24"/>
              </w:rPr>
              <w:t>药品</w:t>
            </w:r>
          </w:p>
          <w:p w:rsidR="002D3004" w:rsidRDefault="0093795E">
            <w:pPr>
              <w:widowControl/>
              <w:spacing w:line="360" w:lineRule="exact"/>
              <w:jc w:val="center"/>
              <w:rPr>
                <w:rFonts w:ascii="黑体" w:eastAsia="黑体" w:hAnsi="黑体" w:cs="黑体"/>
                <w:bCs/>
                <w:color w:val="000000"/>
                <w:sz w:val="24"/>
                <w:szCs w:val="24"/>
              </w:rPr>
            </w:pPr>
            <w:r>
              <w:rPr>
                <w:rFonts w:ascii="黑体" w:eastAsia="黑体" w:hAnsi="黑体" w:cs="黑体" w:hint="eastAsia"/>
                <w:bCs/>
                <w:color w:val="000000"/>
                <w:sz w:val="24"/>
                <w:szCs w:val="24"/>
              </w:rPr>
              <w:t>类别</w:t>
            </w:r>
          </w:p>
        </w:tc>
        <w:tc>
          <w:tcPr>
            <w:tcW w:w="1227" w:type="pct"/>
            <w:shd w:val="solid" w:color="FFFFFF" w:fill="auto"/>
            <w:vAlign w:val="center"/>
          </w:tcPr>
          <w:p w:rsidR="002D3004" w:rsidRDefault="0093795E">
            <w:pPr>
              <w:widowControl/>
              <w:spacing w:line="360" w:lineRule="exact"/>
              <w:jc w:val="center"/>
              <w:rPr>
                <w:rFonts w:ascii="黑体" w:eastAsia="黑体" w:hAnsi="黑体" w:cs="黑体"/>
                <w:bCs/>
                <w:color w:val="000000"/>
                <w:sz w:val="24"/>
                <w:szCs w:val="24"/>
              </w:rPr>
            </w:pPr>
            <w:r>
              <w:rPr>
                <w:rFonts w:ascii="黑体" w:eastAsia="黑体" w:hAnsi="黑体" w:cs="黑体" w:hint="eastAsia"/>
                <w:bCs/>
                <w:color w:val="000000"/>
                <w:sz w:val="24"/>
                <w:szCs w:val="24"/>
              </w:rPr>
              <w:t>药品名称</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康替</w:t>
            </w:r>
            <w:proofErr w:type="gramStart"/>
            <w:r>
              <w:rPr>
                <w:rFonts w:ascii="Times New Roman" w:eastAsia="宋体" w:hAnsi="宋体" w:hint="eastAsia"/>
                <w:color w:val="0D0D0D"/>
                <w:sz w:val="21"/>
                <w:szCs w:val="21"/>
              </w:rPr>
              <w:t>唑</w:t>
            </w:r>
            <w:proofErr w:type="gramEnd"/>
            <w:r>
              <w:rPr>
                <w:rFonts w:ascii="Times New Roman" w:eastAsia="宋体" w:hAnsi="宋体" w:hint="eastAsia"/>
                <w:color w:val="0D0D0D"/>
                <w:sz w:val="21"/>
                <w:szCs w:val="21"/>
              </w:rPr>
              <w:t>胺片</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12</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left"/>
              <w:textAlignment w:val="center"/>
              <w:rPr>
                <w:rFonts w:ascii="Times New Roman" w:eastAsia="宋体" w:hAnsi="宋体"/>
                <w:color w:val="0D0D0D"/>
                <w:sz w:val="21"/>
                <w:szCs w:val="21"/>
              </w:rPr>
            </w:pPr>
            <w:r>
              <w:rPr>
                <w:rFonts w:ascii="Times New Roman" w:eastAsia="宋体" w:hAnsi="宋体" w:hint="eastAsia"/>
                <w:color w:val="0D0D0D"/>
                <w:sz w:val="21"/>
                <w:szCs w:val="21"/>
              </w:rPr>
              <w:t>注射</w:t>
            </w:r>
            <w:proofErr w:type="gramStart"/>
            <w:r>
              <w:rPr>
                <w:rFonts w:ascii="Times New Roman" w:eastAsia="宋体" w:hAnsi="宋体" w:hint="eastAsia"/>
                <w:color w:val="0D0D0D"/>
                <w:sz w:val="21"/>
                <w:szCs w:val="21"/>
              </w:rPr>
              <w:t>用全氟丙烷</w:t>
            </w:r>
            <w:proofErr w:type="gramEnd"/>
            <w:r>
              <w:rPr>
                <w:rFonts w:ascii="Times New Roman" w:eastAsia="宋体" w:hAnsi="宋体" w:hint="eastAsia"/>
                <w:color w:val="0D0D0D"/>
                <w:sz w:val="21"/>
                <w:szCs w:val="21"/>
              </w:rPr>
              <w:t>人血白蛋白微球</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苹果酸</w:t>
            </w:r>
            <w:proofErr w:type="gramStart"/>
            <w:r>
              <w:rPr>
                <w:rFonts w:ascii="Times New Roman" w:eastAsia="宋体" w:hAnsi="宋体" w:hint="eastAsia"/>
                <w:color w:val="0D0D0D"/>
                <w:sz w:val="21"/>
                <w:szCs w:val="21"/>
              </w:rPr>
              <w:t>奈诺沙</w:t>
            </w:r>
            <w:proofErr w:type="gramEnd"/>
            <w:r>
              <w:rPr>
                <w:rFonts w:ascii="Times New Roman" w:eastAsia="宋体" w:hAnsi="宋体" w:hint="eastAsia"/>
                <w:color w:val="0D0D0D"/>
                <w:sz w:val="21"/>
                <w:szCs w:val="21"/>
              </w:rPr>
              <w:t>星氯化钠注射液</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13</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注射</w:t>
            </w:r>
            <w:proofErr w:type="gramStart"/>
            <w:r>
              <w:rPr>
                <w:rFonts w:ascii="Times New Roman" w:eastAsia="宋体" w:hAnsi="宋体" w:hint="eastAsia"/>
                <w:color w:val="0D0D0D"/>
                <w:sz w:val="21"/>
                <w:szCs w:val="21"/>
              </w:rPr>
              <w:t>用全氟丁烷</w:t>
            </w:r>
            <w:proofErr w:type="gramEnd"/>
            <w:r>
              <w:rPr>
                <w:rFonts w:ascii="Times New Roman" w:eastAsia="宋体" w:hAnsi="宋体" w:hint="eastAsia"/>
                <w:color w:val="0D0D0D"/>
                <w:sz w:val="21"/>
                <w:szCs w:val="21"/>
              </w:rPr>
              <w:t>微球</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3</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注射用两性霉素</w:t>
            </w:r>
            <w:r>
              <w:rPr>
                <w:rFonts w:ascii="Times New Roman" w:eastAsia="宋体" w:hAnsi="宋体" w:hint="eastAsia"/>
                <w:color w:val="0D0D0D"/>
                <w:sz w:val="21"/>
                <w:szCs w:val="21"/>
              </w:rPr>
              <w:t>B</w:t>
            </w:r>
            <w:r>
              <w:rPr>
                <w:rFonts w:ascii="Times New Roman" w:eastAsia="宋体" w:hAnsi="宋体" w:hint="eastAsia"/>
                <w:color w:val="0D0D0D"/>
                <w:sz w:val="21"/>
                <w:szCs w:val="21"/>
              </w:rPr>
              <w:t>胆固醇硫酸</w:t>
            </w:r>
            <w:proofErr w:type="gramStart"/>
            <w:r>
              <w:rPr>
                <w:rFonts w:ascii="Times New Roman" w:eastAsia="宋体" w:hAnsi="宋体" w:hint="eastAsia"/>
                <w:color w:val="0D0D0D"/>
                <w:sz w:val="21"/>
                <w:szCs w:val="21"/>
              </w:rPr>
              <w:t>酯</w:t>
            </w:r>
            <w:proofErr w:type="gramEnd"/>
            <w:r>
              <w:rPr>
                <w:rFonts w:ascii="Times New Roman" w:eastAsia="宋体" w:hAnsi="宋体" w:hint="eastAsia"/>
                <w:color w:val="0D0D0D"/>
                <w:sz w:val="21"/>
                <w:szCs w:val="21"/>
              </w:rPr>
              <w:t>复合物</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14</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环泊</w:t>
            </w:r>
            <w:proofErr w:type="gramStart"/>
            <w:r>
              <w:rPr>
                <w:rFonts w:ascii="Times New Roman" w:eastAsia="宋体" w:hAnsi="宋体" w:hint="eastAsia"/>
                <w:color w:val="0D0D0D"/>
                <w:sz w:val="21"/>
                <w:szCs w:val="21"/>
              </w:rPr>
              <w:t>酚</w:t>
            </w:r>
            <w:proofErr w:type="gramEnd"/>
            <w:r>
              <w:rPr>
                <w:rFonts w:ascii="Times New Roman" w:eastAsia="宋体" w:hAnsi="宋体" w:hint="eastAsia"/>
                <w:color w:val="0D0D0D"/>
                <w:sz w:val="21"/>
                <w:szCs w:val="21"/>
              </w:rPr>
              <w:t>注射液</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4</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注射用磷酸左奥</w:t>
            </w:r>
            <w:proofErr w:type="gramStart"/>
            <w:r>
              <w:rPr>
                <w:rFonts w:ascii="Times New Roman" w:eastAsia="宋体" w:hAnsi="宋体" w:hint="eastAsia"/>
                <w:color w:val="0D0D0D"/>
                <w:sz w:val="21"/>
                <w:szCs w:val="21"/>
              </w:rPr>
              <w:t>硝唑酯二钠</w:t>
            </w:r>
            <w:proofErr w:type="gramEnd"/>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15</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left"/>
              <w:textAlignment w:val="center"/>
              <w:rPr>
                <w:rFonts w:ascii="Times New Roman" w:eastAsia="宋体" w:hAnsi="宋体"/>
                <w:color w:val="0D0D0D"/>
                <w:sz w:val="21"/>
                <w:szCs w:val="21"/>
              </w:rPr>
            </w:pPr>
            <w:r>
              <w:rPr>
                <w:rFonts w:ascii="Times New Roman" w:eastAsia="宋体" w:hAnsi="宋体" w:hint="eastAsia"/>
                <w:color w:val="0D0D0D"/>
                <w:sz w:val="21"/>
                <w:szCs w:val="21"/>
              </w:rPr>
              <w:t>注射用甲苯磺酸瑞马</w:t>
            </w:r>
            <w:proofErr w:type="gramStart"/>
            <w:r>
              <w:rPr>
                <w:rFonts w:ascii="Times New Roman" w:eastAsia="宋体" w:hAnsi="宋体" w:hint="eastAsia"/>
                <w:color w:val="0D0D0D"/>
                <w:sz w:val="21"/>
                <w:szCs w:val="21"/>
              </w:rPr>
              <w:t>唑仑</w:t>
            </w:r>
            <w:proofErr w:type="gramEnd"/>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5</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艾米</w:t>
            </w:r>
            <w:proofErr w:type="gramStart"/>
            <w:r>
              <w:rPr>
                <w:rFonts w:ascii="Times New Roman" w:eastAsia="宋体" w:hAnsi="宋体" w:hint="eastAsia"/>
                <w:color w:val="0D0D0D"/>
                <w:sz w:val="21"/>
                <w:szCs w:val="21"/>
              </w:rPr>
              <w:t>替诺福韦片</w:t>
            </w:r>
            <w:proofErr w:type="gramEnd"/>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16</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left"/>
              <w:textAlignment w:val="center"/>
              <w:rPr>
                <w:rFonts w:ascii="Times New Roman" w:eastAsia="宋体" w:hAnsi="宋体"/>
                <w:color w:val="0D0D0D"/>
                <w:sz w:val="21"/>
                <w:szCs w:val="21"/>
              </w:rPr>
            </w:pPr>
            <w:r>
              <w:rPr>
                <w:rFonts w:ascii="Times New Roman" w:eastAsia="宋体" w:hAnsi="宋体" w:hint="eastAsia"/>
                <w:color w:val="0D0D0D"/>
                <w:sz w:val="21"/>
                <w:szCs w:val="21"/>
              </w:rPr>
              <w:t>注射用苯磺酸瑞马</w:t>
            </w:r>
            <w:proofErr w:type="gramStart"/>
            <w:r>
              <w:rPr>
                <w:rFonts w:ascii="Times New Roman" w:eastAsia="宋体" w:hAnsi="宋体" w:hint="eastAsia"/>
                <w:color w:val="0D0D0D"/>
                <w:sz w:val="21"/>
                <w:szCs w:val="21"/>
              </w:rPr>
              <w:t>唑仑</w:t>
            </w:r>
            <w:proofErr w:type="gramEnd"/>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6</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恩</w:t>
            </w:r>
            <w:proofErr w:type="gramStart"/>
            <w:r>
              <w:rPr>
                <w:rFonts w:ascii="Times New Roman" w:eastAsia="宋体" w:hAnsi="宋体" w:hint="eastAsia"/>
                <w:color w:val="0D0D0D"/>
                <w:sz w:val="21"/>
                <w:szCs w:val="21"/>
              </w:rPr>
              <w:t>替卡韦</w:t>
            </w:r>
            <w:proofErr w:type="gramEnd"/>
            <w:r>
              <w:rPr>
                <w:rFonts w:ascii="Times New Roman" w:eastAsia="宋体" w:hAnsi="宋体" w:hint="eastAsia"/>
                <w:color w:val="0D0D0D"/>
                <w:sz w:val="21"/>
                <w:szCs w:val="21"/>
              </w:rPr>
              <w:t>口服溶液</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17</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left"/>
              <w:textAlignment w:val="center"/>
              <w:rPr>
                <w:rFonts w:ascii="Times New Roman" w:eastAsia="宋体" w:hAnsi="宋体"/>
                <w:color w:val="0D0D0D"/>
                <w:sz w:val="21"/>
                <w:szCs w:val="21"/>
              </w:rPr>
            </w:pPr>
            <w:r>
              <w:rPr>
                <w:rFonts w:ascii="Times New Roman" w:eastAsia="宋体" w:hAnsi="宋体" w:hint="eastAsia"/>
                <w:color w:val="0D0D0D"/>
                <w:sz w:val="21"/>
                <w:szCs w:val="21"/>
              </w:rPr>
              <w:t>水合氯醛</w:t>
            </w:r>
            <w:r>
              <w:rPr>
                <w:rFonts w:ascii="Times New Roman" w:eastAsia="宋体" w:hAnsi="宋体" w:hint="eastAsia"/>
                <w:color w:val="0D0D0D"/>
                <w:sz w:val="21"/>
                <w:szCs w:val="21"/>
              </w:rPr>
              <w:t>/</w:t>
            </w:r>
            <w:r>
              <w:rPr>
                <w:rFonts w:ascii="Times New Roman" w:eastAsia="宋体" w:hAnsi="宋体" w:hint="eastAsia"/>
                <w:color w:val="0D0D0D"/>
                <w:sz w:val="21"/>
                <w:szCs w:val="21"/>
              </w:rPr>
              <w:t>糖浆组合包装</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7</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玛巴洛沙韦片</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18</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司美格鲁</w:t>
            </w:r>
            <w:proofErr w:type="gramStart"/>
            <w:r>
              <w:rPr>
                <w:rFonts w:ascii="Times New Roman" w:eastAsia="宋体" w:hAnsi="宋体" w:hint="eastAsia"/>
                <w:color w:val="0D0D0D"/>
                <w:sz w:val="21"/>
                <w:szCs w:val="21"/>
              </w:rPr>
              <w:t>肽</w:t>
            </w:r>
            <w:proofErr w:type="gramEnd"/>
            <w:r>
              <w:rPr>
                <w:rFonts w:ascii="Times New Roman" w:eastAsia="宋体" w:hAnsi="宋体" w:hint="eastAsia"/>
                <w:color w:val="0D0D0D"/>
                <w:sz w:val="21"/>
                <w:szCs w:val="21"/>
              </w:rPr>
              <w:t>注射液</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8</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苯环</w:t>
            </w:r>
            <w:proofErr w:type="gramStart"/>
            <w:r>
              <w:rPr>
                <w:rFonts w:ascii="Times New Roman" w:eastAsia="宋体" w:hAnsi="宋体" w:hint="eastAsia"/>
                <w:color w:val="0D0D0D"/>
                <w:sz w:val="21"/>
                <w:szCs w:val="21"/>
              </w:rPr>
              <w:t>喹溴铵</w:t>
            </w:r>
            <w:proofErr w:type="gramEnd"/>
            <w:r>
              <w:rPr>
                <w:rFonts w:ascii="Times New Roman" w:eastAsia="宋体" w:hAnsi="宋体" w:hint="eastAsia"/>
                <w:color w:val="0D0D0D"/>
                <w:sz w:val="21"/>
                <w:szCs w:val="21"/>
              </w:rPr>
              <w:t>鼻喷雾剂</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19</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二甲双</w:t>
            </w:r>
            <w:proofErr w:type="gramStart"/>
            <w:r>
              <w:rPr>
                <w:rFonts w:ascii="Times New Roman" w:eastAsia="宋体" w:hAnsi="宋体" w:hint="eastAsia"/>
                <w:color w:val="0D0D0D"/>
                <w:sz w:val="21"/>
                <w:szCs w:val="21"/>
              </w:rPr>
              <w:t>胍</w:t>
            </w:r>
            <w:proofErr w:type="gramEnd"/>
            <w:r>
              <w:rPr>
                <w:rFonts w:ascii="Times New Roman" w:eastAsia="宋体" w:hAnsi="宋体" w:hint="eastAsia"/>
                <w:color w:val="0D0D0D"/>
                <w:sz w:val="21"/>
                <w:szCs w:val="21"/>
              </w:rPr>
              <w:t>恩</w:t>
            </w:r>
            <w:proofErr w:type="gramStart"/>
            <w:r>
              <w:rPr>
                <w:rFonts w:ascii="Times New Roman" w:eastAsia="宋体" w:hAnsi="宋体" w:hint="eastAsia"/>
                <w:color w:val="0D0D0D"/>
                <w:sz w:val="21"/>
                <w:szCs w:val="21"/>
              </w:rPr>
              <w:t>格列净片</w:t>
            </w:r>
            <w:proofErr w:type="gramEnd"/>
            <w:r>
              <w:rPr>
                <w:rFonts w:ascii="Times New Roman" w:eastAsia="宋体" w:hAnsi="宋体" w:hint="eastAsia"/>
                <w:color w:val="0D0D0D"/>
                <w:sz w:val="21"/>
                <w:szCs w:val="21"/>
              </w:rPr>
              <w:t>（Ⅰ）</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9</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阿齐沙坦片</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20</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阿利西尤单抗注射液</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10</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氨氯地平叶酸片（</w:t>
            </w:r>
            <w:r>
              <w:rPr>
                <w:rFonts w:ascii="Times New Roman" w:eastAsia="宋体" w:hAnsi="宋体" w:hint="eastAsia"/>
                <w:color w:val="0D0D0D"/>
                <w:sz w:val="21"/>
                <w:szCs w:val="21"/>
              </w:rPr>
              <w:t>II</w:t>
            </w:r>
            <w:r>
              <w:rPr>
                <w:rFonts w:ascii="Times New Roman" w:eastAsia="宋体" w:hAnsi="宋体" w:hint="eastAsia"/>
                <w:color w:val="0D0D0D"/>
                <w:sz w:val="21"/>
                <w:szCs w:val="21"/>
              </w:rPr>
              <w:t>）</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21</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环硅酸</w:t>
            </w:r>
            <w:proofErr w:type="gramStart"/>
            <w:r>
              <w:rPr>
                <w:rFonts w:ascii="Times New Roman" w:eastAsia="宋体" w:hAnsi="宋体" w:hint="eastAsia"/>
                <w:color w:val="0D0D0D"/>
                <w:sz w:val="21"/>
                <w:szCs w:val="21"/>
              </w:rPr>
              <w:t>锆钠散</w:t>
            </w:r>
            <w:proofErr w:type="gramEnd"/>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11</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咪达唑仑口服溶液</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22</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克霉</w:t>
            </w:r>
            <w:proofErr w:type="gramStart"/>
            <w:r>
              <w:rPr>
                <w:rFonts w:ascii="Times New Roman" w:eastAsia="宋体" w:hAnsi="宋体" w:hint="eastAsia"/>
                <w:color w:val="0D0D0D"/>
                <w:sz w:val="21"/>
                <w:szCs w:val="21"/>
              </w:rPr>
              <w:t>唑</w:t>
            </w:r>
            <w:proofErr w:type="gramEnd"/>
            <w:r>
              <w:rPr>
                <w:rFonts w:ascii="Times New Roman" w:eastAsia="宋体" w:hAnsi="宋体" w:hint="eastAsia"/>
                <w:color w:val="0D0D0D"/>
                <w:sz w:val="21"/>
                <w:szCs w:val="21"/>
              </w:rPr>
              <w:t>阴道膨胀</w:t>
            </w:r>
            <w:proofErr w:type="gramStart"/>
            <w:r>
              <w:rPr>
                <w:rFonts w:ascii="Times New Roman" w:eastAsia="宋体" w:hAnsi="宋体" w:hint="eastAsia"/>
                <w:color w:val="0D0D0D"/>
                <w:sz w:val="21"/>
                <w:szCs w:val="21"/>
              </w:rPr>
              <w:t>栓</w:t>
            </w:r>
            <w:proofErr w:type="gramEnd"/>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lastRenderedPageBreak/>
              <w:t>23</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甘露</w:t>
            </w:r>
            <w:proofErr w:type="gramStart"/>
            <w:r>
              <w:rPr>
                <w:rFonts w:ascii="Times New Roman" w:eastAsia="宋体" w:hAnsi="宋体" w:hint="eastAsia"/>
                <w:color w:val="0D0D0D"/>
                <w:sz w:val="21"/>
                <w:szCs w:val="21"/>
              </w:rPr>
              <w:t>特</w:t>
            </w:r>
            <w:proofErr w:type="gramEnd"/>
            <w:r>
              <w:rPr>
                <w:rFonts w:ascii="Times New Roman" w:eastAsia="宋体" w:hAnsi="宋体" w:hint="eastAsia"/>
                <w:color w:val="0D0D0D"/>
                <w:sz w:val="21"/>
                <w:szCs w:val="21"/>
              </w:rPr>
              <w:t>钠胶囊</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28</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环</w:t>
            </w:r>
            <w:proofErr w:type="gramStart"/>
            <w:r>
              <w:rPr>
                <w:rFonts w:ascii="Times New Roman" w:eastAsia="宋体" w:hAnsi="宋体" w:hint="eastAsia"/>
                <w:color w:val="0D0D0D"/>
                <w:sz w:val="21"/>
                <w:szCs w:val="21"/>
              </w:rPr>
              <w:t>孢</w:t>
            </w:r>
            <w:proofErr w:type="gramEnd"/>
            <w:r>
              <w:rPr>
                <w:rFonts w:ascii="Times New Roman" w:eastAsia="宋体" w:hAnsi="宋体" w:hint="eastAsia"/>
                <w:color w:val="0D0D0D"/>
                <w:sz w:val="21"/>
                <w:szCs w:val="21"/>
              </w:rPr>
              <w:t>素滴眼液</w:t>
            </w:r>
            <w:r>
              <w:rPr>
                <w:rFonts w:ascii="Times New Roman" w:eastAsia="宋体"/>
                <w:color w:val="0D0D0D"/>
                <w:sz w:val="21"/>
                <w:szCs w:val="21"/>
              </w:rPr>
              <w:t>（</w:t>
            </w:r>
            <w:r>
              <w:rPr>
                <w:rFonts w:ascii="Times New Roman" w:eastAsia="宋体"/>
                <w:color w:val="0D0D0D"/>
                <w:sz w:val="21"/>
                <w:szCs w:val="21"/>
              </w:rPr>
              <w:t>Ⅱ</w:t>
            </w:r>
            <w:r>
              <w:rPr>
                <w:rFonts w:ascii="Times New Roman" w:eastAsia="宋体"/>
                <w:color w:val="0D0D0D"/>
                <w:sz w:val="21"/>
                <w:szCs w:val="21"/>
              </w:rPr>
              <w:t>）</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24</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注射用</w:t>
            </w:r>
            <w:proofErr w:type="gramStart"/>
            <w:r>
              <w:rPr>
                <w:rFonts w:ascii="Times New Roman" w:eastAsia="宋体" w:hAnsi="宋体" w:hint="eastAsia"/>
                <w:color w:val="0D0D0D"/>
                <w:sz w:val="21"/>
                <w:szCs w:val="21"/>
              </w:rPr>
              <w:t>利培酮</w:t>
            </w:r>
            <w:proofErr w:type="gramEnd"/>
            <w:r>
              <w:rPr>
                <w:rFonts w:ascii="Times New Roman" w:eastAsia="宋体" w:hAnsi="宋体" w:hint="eastAsia"/>
                <w:color w:val="0D0D0D"/>
                <w:sz w:val="21"/>
                <w:szCs w:val="21"/>
              </w:rPr>
              <w:t>微球（</w:t>
            </w:r>
            <w:r>
              <w:rPr>
                <w:rFonts w:ascii="Times New Roman" w:eastAsia="宋体" w:hAnsi="宋体" w:hint="eastAsia"/>
                <w:color w:val="0D0D0D"/>
                <w:sz w:val="21"/>
                <w:szCs w:val="21"/>
              </w:rPr>
              <w:t>II</w:t>
            </w:r>
            <w:r>
              <w:rPr>
                <w:rFonts w:ascii="Times New Roman" w:eastAsia="宋体" w:hAnsi="宋体" w:hint="eastAsia"/>
                <w:color w:val="0D0D0D"/>
                <w:sz w:val="21"/>
                <w:szCs w:val="21"/>
              </w:rPr>
              <w:t>）</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29</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克</w:t>
            </w:r>
            <w:proofErr w:type="gramStart"/>
            <w:r>
              <w:rPr>
                <w:rFonts w:ascii="Times New Roman" w:eastAsia="宋体" w:hAnsi="宋体" w:hint="eastAsia"/>
                <w:color w:val="0D0D0D"/>
                <w:sz w:val="21"/>
                <w:szCs w:val="21"/>
              </w:rPr>
              <w:t>立硼罗软膏</w:t>
            </w:r>
            <w:proofErr w:type="gramEnd"/>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25</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注射用盐酸兰地洛尔</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30</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中成药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化湿败毒颗粒</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26</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海博麦布片</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31</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中成药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宣肺败毒颗粒</w:t>
            </w:r>
          </w:p>
        </w:tc>
      </w:tr>
      <w:tr w:rsidR="002D3004">
        <w:trPr>
          <w:trHeight w:val="850"/>
          <w:jc w:val="center"/>
        </w:trPr>
        <w:tc>
          <w:tcPr>
            <w:tcW w:w="465"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27</w:t>
            </w:r>
          </w:p>
        </w:tc>
        <w:tc>
          <w:tcPr>
            <w:tcW w:w="749"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西药</w:t>
            </w:r>
          </w:p>
        </w:tc>
        <w:tc>
          <w:tcPr>
            <w:tcW w:w="1420"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依</w:t>
            </w:r>
            <w:proofErr w:type="gramStart"/>
            <w:r>
              <w:rPr>
                <w:rFonts w:ascii="Times New Roman" w:eastAsia="宋体" w:hAnsi="宋体" w:hint="eastAsia"/>
                <w:color w:val="0D0D0D"/>
                <w:sz w:val="21"/>
                <w:szCs w:val="21"/>
              </w:rPr>
              <w:t>洛尤单</w:t>
            </w:r>
            <w:proofErr w:type="gramEnd"/>
            <w:r>
              <w:rPr>
                <w:rFonts w:ascii="Times New Roman" w:eastAsia="宋体" w:hAnsi="宋体" w:hint="eastAsia"/>
                <w:color w:val="0D0D0D"/>
                <w:sz w:val="21"/>
                <w:szCs w:val="21"/>
              </w:rPr>
              <w:t>抗注射液</w:t>
            </w:r>
          </w:p>
        </w:tc>
        <w:tc>
          <w:tcPr>
            <w:tcW w:w="546"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32</w:t>
            </w:r>
          </w:p>
        </w:tc>
        <w:tc>
          <w:tcPr>
            <w:tcW w:w="592"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中成药</w:t>
            </w:r>
          </w:p>
        </w:tc>
        <w:tc>
          <w:tcPr>
            <w:tcW w:w="1227" w:type="pct"/>
            <w:shd w:val="solid" w:color="FFFFFF" w:fill="auto"/>
            <w:vAlign w:val="center"/>
          </w:tcPr>
          <w:p w:rsidR="002D3004" w:rsidRDefault="0093795E">
            <w:pPr>
              <w:widowControl/>
              <w:spacing w:line="260" w:lineRule="exact"/>
              <w:jc w:val="center"/>
              <w:textAlignment w:val="center"/>
              <w:rPr>
                <w:rFonts w:ascii="Times New Roman" w:eastAsia="宋体" w:hAnsi="宋体"/>
                <w:color w:val="0D0D0D"/>
                <w:sz w:val="21"/>
                <w:szCs w:val="21"/>
              </w:rPr>
            </w:pPr>
            <w:r>
              <w:rPr>
                <w:rFonts w:ascii="Times New Roman" w:eastAsia="宋体" w:hAnsi="宋体" w:hint="eastAsia"/>
                <w:color w:val="0D0D0D"/>
                <w:sz w:val="21"/>
                <w:szCs w:val="21"/>
              </w:rPr>
              <w:t>关黄母颗粒</w:t>
            </w:r>
          </w:p>
        </w:tc>
      </w:tr>
    </w:tbl>
    <w:p w:rsidR="002D3004" w:rsidRDefault="002D3004">
      <w:pPr>
        <w:spacing w:before="240" w:line="580" w:lineRule="exact"/>
        <w:rPr>
          <w:rFonts w:ascii="Times New Roman" w:eastAsia="方正仿宋_GBK"/>
          <w:bCs/>
        </w:rPr>
      </w:pPr>
    </w:p>
    <w:p w:rsidR="002D3004" w:rsidRDefault="002D3004">
      <w:pPr>
        <w:spacing w:before="240" w:line="580" w:lineRule="exact"/>
        <w:rPr>
          <w:rFonts w:ascii="Times New Roman" w:eastAsia="方正仿宋_GBK"/>
          <w:bCs/>
        </w:rPr>
      </w:pPr>
    </w:p>
    <w:p w:rsidR="002D3004" w:rsidRDefault="002D3004">
      <w:pPr>
        <w:spacing w:before="240" w:line="580" w:lineRule="exact"/>
        <w:rPr>
          <w:rFonts w:ascii="Times New Roman" w:eastAsia="方正仿宋_GBK"/>
          <w:bCs/>
        </w:rPr>
      </w:pPr>
    </w:p>
    <w:p w:rsidR="002D3004" w:rsidRDefault="002D3004">
      <w:pPr>
        <w:spacing w:line="580" w:lineRule="exact"/>
        <w:rPr>
          <w:rFonts w:ascii="Times New Roman" w:eastAsia="方正仿宋_GBK"/>
          <w:bCs/>
        </w:rPr>
      </w:pPr>
    </w:p>
    <w:p w:rsidR="002D3004" w:rsidRDefault="002D3004">
      <w:pPr>
        <w:spacing w:before="240" w:line="580" w:lineRule="exact"/>
        <w:rPr>
          <w:rFonts w:ascii="Times New Roman" w:eastAsia="方正仿宋_GBK"/>
          <w:bCs/>
        </w:rPr>
      </w:pPr>
    </w:p>
    <w:p w:rsidR="002D3004" w:rsidRDefault="002D3004">
      <w:pPr>
        <w:spacing w:before="240" w:line="580" w:lineRule="exact"/>
        <w:rPr>
          <w:rFonts w:ascii="Times New Roman" w:eastAsia="方正仿宋_GBK"/>
          <w:bCs/>
        </w:rPr>
      </w:pPr>
    </w:p>
    <w:p w:rsidR="002D3004" w:rsidRDefault="002D3004">
      <w:pPr>
        <w:spacing w:before="240" w:line="580" w:lineRule="exact"/>
        <w:rPr>
          <w:rFonts w:ascii="Times New Roman" w:eastAsia="方正仿宋_GBK"/>
          <w:bCs/>
        </w:rPr>
      </w:pPr>
      <w:bookmarkStart w:id="0" w:name="_GoBack"/>
      <w:bookmarkEnd w:id="0"/>
    </w:p>
    <w:sectPr w:rsidR="002D3004">
      <w:pgSz w:w="11906" w:h="16838"/>
      <w:pgMar w:top="2098" w:right="1531" w:bottom="1985" w:left="1531" w:header="709" w:footer="1361" w:gutter="0"/>
      <w:cols w:space="720"/>
      <w:docGrid w:type="line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795E" w:rsidRDefault="0093795E">
      <w:r>
        <w:separator/>
      </w:r>
    </w:p>
  </w:endnote>
  <w:endnote w:type="continuationSeparator" w:id="0">
    <w:p w:rsidR="0093795E" w:rsidRDefault="00937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_GBK">
    <w:altName w:val="Arial Unicode MS"/>
    <w:charset w:val="86"/>
    <w:family w:val="script"/>
    <w:pitch w:val="default"/>
    <w:sig w:usb0="00000000" w:usb1="00000000" w:usb2="00000010" w:usb3="00000000" w:csb0="00040000" w:csb1="00000000"/>
  </w:font>
  <w:font w:name="方正仿宋简体">
    <w:altName w:val="Arial Unicode MS"/>
    <w:charset w:val="86"/>
    <w:family w:val="auto"/>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方正楷体_GBK">
    <w:altName w:val="Arial Unicode MS"/>
    <w:charset w:val="86"/>
    <w:family w:val="script"/>
    <w:pitch w:val="default"/>
    <w:sig w:usb0="00000000" w:usb1="00000000" w:usb2="00000010" w:usb3="00000000" w:csb0="00040000" w:csb1="00000000"/>
  </w:font>
  <w:font w:name="方正黑体_GBK">
    <w:altName w:val="Arial Unicode MS"/>
    <w:charset w:val="86"/>
    <w:family w:val="script"/>
    <w:pitch w:val="default"/>
    <w:sig w:usb0="00000000" w:usb1="0000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004" w:rsidRDefault="0093795E">
    <w:pPr>
      <w:pStyle w:val="a8"/>
      <w:ind w:firstLine="280"/>
      <w:rPr>
        <w:rFonts w:ascii="Times New Roman"/>
        <w:sz w:val="28"/>
        <w:szCs w:val="28"/>
      </w:rPr>
    </w:pPr>
    <w:r>
      <w:rPr>
        <w:rFonts w:ascii="Times New Roman" w:hint="eastAsia"/>
        <w:sz w:val="28"/>
        <w:szCs w:val="28"/>
      </w:rPr>
      <w:t>—</w:t>
    </w:r>
    <w:r>
      <w:rPr>
        <w:rFonts w:ascii="Times New Roman"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sidR="00D5634E" w:rsidRPr="00D5634E">
      <w:rPr>
        <w:rFonts w:ascii="Times New Roman"/>
        <w:noProof/>
        <w:sz w:val="28"/>
        <w:szCs w:val="28"/>
        <w:lang w:val="zh-CN"/>
      </w:rPr>
      <w:t>22</w:t>
    </w:r>
    <w:r>
      <w:rPr>
        <w:rFonts w:ascii="Times New Roman"/>
        <w:sz w:val="28"/>
        <w:szCs w:val="28"/>
      </w:rPr>
      <w:fldChar w:fldCharType="end"/>
    </w:r>
    <w:r>
      <w:rPr>
        <w:rFonts w:ascii="Times New Roman" w:hint="eastAsia"/>
        <w:sz w:val="28"/>
        <w:szCs w:val="28"/>
      </w:rPr>
      <w:t xml:space="preserve"> </w:t>
    </w:r>
    <w:r>
      <w:rPr>
        <w:rFonts w:ascii="Times New Roman"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004" w:rsidRDefault="0093795E">
    <w:pPr>
      <w:pStyle w:val="a8"/>
      <w:wordWrap w:val="0"/>
      <w:jc w:val="right"/>
      <w:rPr>
        <w:rFonts w:ascii="Times New Roman"/>
        <w:sz w:val="28"/>
        <w:szCs w:val="28"/>
      </w:rPr>
    </w:pPr>
    <w:r>
      <w:rPr>
        <w:rFonts w:ascii="Times New Roman" w:hint="eastAsia"/>
        <w:sz w:val="28"/>
        <w:szCs w:val="28"/>
      </w:rPr>
      <w:t>—</w:t>
    </w:r>
    <w:r>
      <w:rPr>
        <w:rFonts w:ascii="Times New Roman"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sidR="00D5634E" w:rsidRPr="00D5634E">
      <w:rPr>
        <w:rFonts w:ascii="Times New Roman"/>
        <w:noProof/>
        <w:sz w:val="28"/>
        <w:szCs w:val="28"/>
        <w:lang w:val="zh-CN"/>
      </w:rPr>
      <w:t>21</w:t>
    </w:r>
    <w:r>
      <w:rPr>
        <w:rFonts w:ascii="Times New Roman"/>
        <w:sz w:val="28"/>
        <w:szCs w:val="28"/>
      </w:rPr>
      <w:fldChar w:fldCharType="end"/>
    </w:r>
    <w:r>
      <w:rPr>
        <w:rFonts w:ascii="Times New Roman" w:hint="eastAsia"/>
        <w:sz w:val="28"/>
        <w:szCs w:val="28"/>
      </w:rPr>
      <w:t xml:space="preserve"> </w:t>
    </w:r>
    <w:r>
      <w:rPr>
        <w:rFonts w:ascii="Times New Roman" w:hint="eastAsia"/>
        <w:sz w:val="28"/>
        <w:szCs w:val="28"/>
      </w:rPr>
      <w:t>—</w:t>
    </w:r>
    <w:r>
      <w:rPr>
        <w:rFonts w:ascii="Times New Roman"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795E" w:rsidRDefault="0093795E">
      <w:r>
        <w:separator/>
      </w:r>
    </w:p>
  </w:footnote>
  <w:footnote w:type="continuationSeparator" w:id="0">
    <w:p w:rsidR="0093795E" w:rsidRDefault="009379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evenAndOddHeaders/>
  <w:drawingGridHorizontalSpacing w:val="158"/>
  <w:drawingGridVerticalSpacing w:val="579"/>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8E4275"/>
    <w:rsid w:val="002D3004"/>
    <w:rsid w:val="0035011D"/>
    <w:rsid w:val="008E4275"/>
    <w:rsid w:val="0093795E"/>
    <w:rsid w:val="00D5634E"/>
    <w:rsid w:val="038C431C"/>
    <w:rsid w:val="050339CA"/>
    <w:rsid w:val="05382FF9"/>
    <w:rsid w:val="06CF40AA"/>
    <w:rsid w:val="076A162E"/>
    <w:rsid w:val="0BE300B2"/>
    <w:rsid w:val="0CF32576"/>
    <w:rsid w:val="0D37173E"/>
    <w:rsid w:val="0F3C77C8"/>
    <w:rsid w:val="128679E9"/>
    <w:rsid w:val="135C5D83"/>
    <w:rsid w:val="16775FC6"/>
    <w:rsid w:val="17824C23"/>
    <w:rsid w:val="1B642891"/>
    <w:rsid w:val="1FC77C8F"/>
    <w:rsid w:val="265D49D2"/>
    <w:rsid w:val="26EA3CB9"/>
    <w:rsid w:val="272D447F"/>
    <w:rsid w:val="27C86728"/>
    <w:rsid w:val="2BFA7026"/>
    <w:rsid w:val="2C7A1F15"/>
    <w:rsid w:val="35370241"/>
    <w:rsid w:val="37FE30D2"/>
    <w:rsid w:val="3B9C4B8B"/>
    <w:rsid w:val="3C666012"/>
    <w:rsid w:val="3DBE4A78"/>
    <w:rsid w:val="3E163127"/>
    <w:rsid w:val="3FBA64B6"/>
    <w:rsid w:val="496A0054"/>
    <w:rsid w:val="4EA171B4"/>
    <w:rsid w:val="4EFB3926"/>
    <w:rsid w:val="551A4941"/>
    <w:rsid w:val="56757125"/>
    <w:rsid w:val="59360CA0"/>
    <w:rsid w:val="59FE5684"/>
    <w:rsid w:val="5B2262E8"/>
    <w:rsid w:val="5D1E0A6F"/>
    <w:rsid w:val="60411B92"/>
    <w:rsid w:val="61016D58"/>
    <w:rsid w:val="617D1584"/>
    <w:rsid w:val="62265778"/>
    <w:rsid w:val="63814D0C"/>
    <w:rsid w:val="67B75C50"/>
    <w:rsid w:val="6BB362CE"/>
    <w:rsid w:val="6BFF09B8"/>
    <w:rsid w:val="6FF869A5"/>
    <w:rsid w:val="70AB0B41"/>
    <w:rsid w:val="721A552E"/>
    <w:rsid w:val="72E75B47"/>
    <w:rsid w:val="75FD4045"/>
    <w:rsid w:val="779B58F1"/>
    <w:rsid w:val="7DB00540"/>
    <w:rsid w:val="7DF81A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Body Text" w:uiPriority="1" w:qFormat="1"/>
    <w:lsdException w:name="Subtitle" w:qFormat="1"/>
    <w:lsdException w:name="Date" w:qFormat="1"/>
    <w:lsdException w:name="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sz w:val="32"/>
      <w:szCs w:val="32"/>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qFormat/>
    <w:pPr>
      <w:shd w:val="clear" w:color="auto" w:fill="000080"/>
    </w:pPr>
  </w:style>
  <w:style w:type="paragraph" w:styleId="a4">
    <w:name w:val="Body Text"/>
    <w:basedOn w:val="a"/>
    <w:uiPriority w:val="1"/>
    <w:qFormat/>
    <w:rPr>
      <w:rFonts w:ascii="宋体" w:eastAsia="宋体" w:hAnsi="宋体" w:cs="宋体"/>
      <w:lang w:val="zh-CN" w:bidi="zh-CN"/>
    </w:rPr>
  </w:style>
  <w:style w:type="paragraph" w:styleId="a5">
    <w:name w:val="Plain Text"/>
    <w:basedOn w:val="a"/>
    <w:link w:val="Char"/>
    <w:qFormat/>
    <w:pPr>
      <w:widowControl/>
      <w:spacing w:before="100" w:beforeAutospacing="1" w:after="100" w:afterAutospacing="1"/>
      <w:jc w:val="left"/>
    </w:pPr>
    <w:rPr>
      <w:rFonts w:ascii="宋体" w:eastAsia="宋体" w:hAnsi="宋体"/>
      <w:sz w:val="24"/>
      <w:szCs w:val="24"/>
    </w:rPr>
  </w:style>
  <w:style w:type="paragraph" w:styleId="a6">
    <w:name w:val="Date"/>
    <w:basedOn w:val="a"/>
    <w:next w:val="a"/>
    <w:qFormat/>
  </w:style>
  <w:style w:type="paragraph" w:styleId="a7">
    <w:name w:val="Balloon Text"/>
    <w:basedOn w:val="a"/>
    <w:qFormat/>
    <w:rPr>
      <w:sz w:val="18"/>
      <w:szCs w:val="18"/>
    </w:rPr>
  </w:style>
  <w:style w:type="paragraph" w:styleId="a8">
    <w:name w:val="footer"/>
    <w:basedOn w:val="a"/>
    <w:link w:val="Char0"/>
    <w:uiPriority w:val="99"/>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widowControl/>
      <w:spacing w:before="100" w:beforeAutospacing="1" w:after="100" w:afterAutospacing="1"/>
      <w:jc w:val="left"/>
    </w:pPr>
    <w:rPr>
      <w:rFonts w:ascii="宋体" w:eastAsia="宋体" w:hAnsi="宋体" w:cs="宋体"/>
      <w:sz w:val="24"/>
      <w:szCs w:val="24"/>
    </w:rPr>
  </w:style>
  <w:style w:type="table" w:styleId="ab">
    <w:name w:val="Table Grid"/>
    <w:basedOn w:val="a1"/>
    <w:uiPriority w:val="39"/>
    <w:qFormat/>
    <w:rPr>
      <w:rFonts w:ascii="等线" w:eastAsia="等线" w:hAnsi="等线"/>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qFormat/>
  </w:style>
  <w:style w:type="character" w:styleId="ad">
    <w:name w:val="Hyperlink"/>
    <w:qFormat/>
    <w:rPr>
      <w:color w:val="0000FF"/>
      <w:u w:val="single"/>
    </w:rPr>
  </w:style>
  <w:style w:type="paragraph" w:customStyle="1" w:styleId="20">
    <w:name w:val="正文首行缩进2"/>
    <w:basedOn w:val="a"/>
    <w:qFormat/>
    <w:pPr>
      <w:adjustRightInd w:val="0"/>
      <w:spacing w:line="312" w:lineRule="atLeast"/>
      <w:ind w:firstLine="600"/>
    </w:pPr>
    <w:rPr>
      <w:rFonts w:ascii="Times New Roman"/>
      <w:szCs w:val="20"/>
    </w:rPr>
  </w:style>
  <w:style w:type="paragraph" w:styleId="ae">
    <w:name w:val="List Paragraph"/>
    <w:basedOn w:val="a"/>
    <w:uiPriority w:val="99"/>
    <w:qFormat/>
    <w:pPr>
      <w:ind w:firstLineChars="200" w:firstLine="420"/>
    </w:pPr>
    <w:rPr>
      <w:rFonts w:ascii="Calibri" w:eastAsia="宋体" w:hAnsi="Calibri"/>
      <w:kern w:val="2"/>
      <w:sz w:val="21"/>
      <w:szCs w:val="22"/>
    </w:rPr>
  </w:style>
  <w:style w:type="paragraph" w:customStyle="1" w:styleId="10">
    <w:name w:val="标题1"/>
    <w:basedOn w:val="a"/>
    <w:next w:val="a"/>
    <w:qFormat/>
    <w:pPr>
      <w:tabs>
        <w:tab w:val="left" w:pos="9193"/>
        <w:tab w:val="left" w:pos="9827"/>
      </w:tabs>
      <w:autoSpaceDE w:val="0"/>
      <w:autoSpaceDN w:val="0"/>
      <w:snapToGrid w:val="0"/>
      <w:spacing w:line="700" w:lineRule="atLeast"/>
      <w:jc w:val="center"/>
    </w:pPr>
    <w:rPr>
      <w:rFonts w:ascii="Times New Roman" w:eastAsia="方正小标宋_GBK"/>
      <w:snapToGrid w:val="0"/>
      <w:sz w:val="44"/>
      <w:szCs w:val="20"/>
    </w:rPr>
  </w:style>
  <w:style w:type="character" w:customStyle="1" w:styleId="font51">
    <w:name w:val="font51"/>
    <w:qFormat/>
    <w:rPr>
      <w:rFonts w:ascii="Times New Roman" w:hAnsi="Times New Roman" w:cs="Times New Roman" w:hint="default"/>
      <w:b/>
      <w:color w:val="000000"/>
      <w:sz w:val="28"/>
      <w:szCs w:val="28"/>
      <w:u w:val="none"/>
    </w:rPr>
  </w:style>
  <w:style w:type="character" w:customStyle="1" w:styleId="Char">
    <w:name w:val="纯文本 Char"/>
    <w:link w:val="a5"/>
    <w:qFormat/>
    <w:rPr>
      <w:rFonts w:ascii="宋体" w:hAnsi="宋体" w:cs="宋体"/>
      <w:sz w:val="24"/>
      <w:szCs w:val="24"/>
    </w:rPr>
  </w:style>
  <w:style w:type="character" w:customStyle="1" w:styleId="font31">
    <w:name w:val="font31"/>
    <w:qFormat/>
    <w:rPr>
      <w:rFonts w:ascii="宋体" w:eastAsia="宋体" w:hAnsi="宋体" w:cs="宋体" w:hint="eastAsia"/>
      <w:b/>
      <w:color w:val="000000"/>
      <w:sz w:val="28"/>
      <w:szCs w:val="28"/>
      <w:u w:val="none"/>
    </w:rPr>
  </w:style>
  <w:style w:type="character" w:customStyle="1" w:styleId="Char0">
    <w:name w:val="页脚 Char"/>
    <w:link w:val="a8"/>
    <w:uiPriority w:val="99"/>
    <w:qFormat/>
    <w:rPr>
      <w:rFonts w:ascii="仿宋_GB2312" w:eastAsia="仿宋_GB2312"/>
      <w:sz w:val="18"/>
      <w:szCs w:val="18"/>
    </w:rPr>
  </w:style>
  <w:style w:type="character" w:customStyle="1" w:styleId="21">
    <w:name w:val="标题2"/>
    <w:basedOn w:val="a0"/>
    <w:qFormat/>
  </w:style>
  <w:style w:type="character" w:customStyle="1" w:styleId="font71">
    <w:name w:val="font71"/>
    <w:qFormat/>
    <w:rPr>
      <w:rFonts w:ascii="方正仿宋简体" w:eastAsia="方正仿宋简体" w:hAnsi="方正仿宋简体" w:cs="方正仿宋简体" w:hint="eastAsia"/>
      <w:b/>
      <w:color w:val="000000"/>
      <w:sz w:val="28"/>
      <w:szCs w:val="2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2530</Words>
  <Characters>14421</Characters>
  <Application>Microsoft Office Word</Application>
  <DocSecurity>0</DocSecurity>
  <Lines>120</Lines>
  <Paragraphs>33</Paragraphs>
  <ScaleCrop>false</ScaleCrop>
  <Company>P R C</Company>
  <LinksUpToDate>false</LinksUpToDate>
  <CharactersWithSpaces>16918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中央财政支持开展居家和社区养老服务改革试点</dc:title>
  <dc:creator>admin</dc:creator>
  <cp:lastModifiedBy>Windows 用户</cp:lastModifiedBy>
  <cp:revision>4</cp:revision>
  <cp:lastPrinted>2021-12-30T00:59:00Z</cp:lastPrinted>
  <dcterms:created xsi:type="dcterms:W3CDTF">2021-12-21T01:25:00Z</dcterms:created>
  <dcterms:modified xsi:type="dcterms:W3CDTF">2022-01-04T02:23:00Z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09A0D08EBAC341F4A468F85828BFED06</vt:lpwstr>
  </property>
</Properties>
</file>