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DF7" w:rsidRDefault="000216A1">
      <w:pPr>
        <w:widowControl/>
        <w:tabs>
          <w:tab w:val="left" w:pos="1173"/>
          <w:tab w:val="left" w:pos="2253"/>
          <w:tab w:val="left" w:pos="7233"/>
          <w:tab w:val="left" w:pos="8093"/>
          <w:tab w:val="left" w:pos="8813"/>
        </w:tabs>
        <w:ind w:left="93"/>
        <w:jc w:val="left"/>
        <w:rPr>
          <w:rFonts w:eastAsia="黑体" w:cs="Times New Roman"/>
          <w:color w:val="000000"/>
          <w:kern w:val="0"/>
          <w:sz w:val="22"/>
          <w:szCs w:val="22"/>
        </w:rPr>
      </w:pPr>
      <w:r>
        <w:rPr>
          <w:rFonts w:eastAsia="黑体" w:cs="Times New Roman"/>
          <w:bCs/>
          <w:color w:val="333333"/>
          <w:kern w:val="0"/>
          <w:szCs w:val="32"/>
        </w:rPr>
        <w:t>附件</w:t>
      </w:r>
      <w:r>
        <w:rPr>
          <w:rFonts w:eastAsia="黑体" w:cs="Times New Roman"/>
          <w:bCs/>
          <w:color w:val="333333"/>
          <w:kern w:val="0"/>
          <w:szCs w:val="32"/>
        </w:rPr>
        <w:t>1</w:t>
      </w:r>
      <w:r>
        <w:rPr>
          <w:rFonts w:eastAsia="黑体" w:cs="Times New Roman"/>
          <w:bCs/>
          <w:color w:val="333333"/>
          <w:kern w:val="0"/>
          <w:szCs w:val="32"/>
        </w:rPr>
        <w:tab/>
      </w:r>
      <w:r>
        <w:rPr>
          <w:rFonts w:eastAsia="黑体" w:cs="Times New Roman"/>
          <w:color w:val="000000"/>
          <w:kern w:val="0"/>
          <w:sz w:val="22"/>
          <w:szCs w:val="22"/>
        </w:rPr>
        <w:tab/>
      </w:r>
      <w:r>
        <w:rPr>
          <w:rFonts w:eastAsia="黑体" w:cs="Times New Roman"/>
          <w:color w:val="000000"/>
          <w:kern w:val="0"/>
          <w:sz w:val="22"/>
          <w:szCs w:val="22"/>
        </w:rPr>
        <w:tab/>
      </w:r>
      <w:r>
        <w:rPr>
          <w:rFonts w:eastAsia="黑体" w:cs="Times New Roman"/>
          <w:color w:val="000000"/>
          <w:kern w:val="0"/>
          <w:sz w:val="22"/>
          <w:szCs w:val="22"/>
        </w:rPr>
        <w:tab/>
      </w:r>
      <w:r>
        <w:rPr>
          <w:rFonts w:eastAsia="黑体" w:cs="Times New Roman"/>
          <w:color w:val="000000"/>
          <w:kern w:val="0"/>
          <w:sz w:val="22"/>
          <w:szCs w:val="22"/>
        </w:rPr>
        <w:tab/>
      </w:r>
    </w:p>
    <w:p w:rsidR="002B1DF7" w:rsidRDefault="000216A1">
      <w:pPr>
        <w:widowControl/>
        <w:spacing w:before="120" w:line="560" w:lineRule="exact"/>
        <w:ind w:left="91"/>
        <w:jc w:val="center"/>
        <w:rPr>
          <w:rFonts w:eastAsia="方正小标宋简体" w:cs="Times New Roman"/>
          <w:color w:val="000000"/>
          <w:kern w:val="0"/>
          <w:sz w:val="44"/>
          <w:szCs w:val="44"/>
        </w:rPr>
      </w:pPr>
      <w:r>
        <w:rPr>
          <w:rFonts w:eastAsia="方正小标宋简体" w:cs="Times New Roman"/>
          <w:color w:val="000000"/>
          <w:kern w:val="0"/>
          <w:sz w:val="44"/>
          <w:szCs w:val="44"/>
        </w:rPr>
        <w:t>常州市工业企业安全生产网格化巡查重点</w:t>
      </w:r>
    </w:p>
    <w:p w:rsidR="002B1DF7" w:rsidRDefault="000216A1">
      <w:pPr>
        <w:widowControl/>
        <w:spacing w:before="120" w:line="560" w:lineRule="exact"/>
        <w:ind w:left="91"/>
        <w:jc w:val="center"/>
        <w:rPr>
          <w:rFonts w:eastAsia="楷体_GB2312" w:cs="Times New Roman"/>
          <w:color w:val="000000"/>
          <w:kern w:val="0"/>
          <w:szCs w:val="32"/>
        </w:rPr>
      </w:pPr>
      <w:r>
        <w:rPr>
          <w:rFonts w:eastAsia="楷体_GB2312" w:cs="Times New Roman"/>
          <w:color w:val="000000"/>
          <w:kern w:val="0"/>
          <w:szCs w:val="32"/>
        </w:rPr>
        <w:t>（重点行业领域企业）</w:t>
      </w:r>
    </w:p>
    <w:p w:rsidR="002B1DF7" w:rsidRDefault="002B1DF7">
      <w:pPr>
        <w:widowControl/>
        <w:spacing w:line="480" w:lineRule="exact"/>
        <w:ind w:left="91"/>
        <w:jc w:val="center"/>
        <w:rPr>
          <w:rFonts w:eastAsia="楷体_GB2312" w:cs="Times New Roman"/>
          <w:color w:val="000000"/>
          <w:kern w:val="0"/>
          <w:szCs w:val="32"/>
        </w:rPr>
      </w:pP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548"/>
        <w:gridCol w:w="1218"/>
        <w:gridCol w:w="4723"/>
        <w:gridCol w:w="736"/>
        <w:gridCol w:w="767"/>
        <w:gridCol w:w="1080"/>
      </w:tblGrid>
      <w:tr w:rsidR="002B1DF7">
        <w:trPr>
          <w:trHeight w:val="710"/>
          <w:tblHeader/>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黑体" w:cs="Times New Roman"/>
                <w:bCs/>
                <w:color w:val="333333"/>
                <w:kern w:val="0"/>
                <w:sz w:val="24"/>
              </w:rPr>
            </w:pPr>
            <w:r>
              <w:rPr>
                <w:rFonts w:eastAsia="黑体" w:cs="Times New Roman"/>
                <w:bCs/>
                <w:color w:val="333333"/>
                <w:kern w:val="0"/>
                <w:sz w:val="24"/>
              </w:rPr>
              <w:t>序号</w:t>
            </w:r>
          </w:p>
        </w:tc>
        <w:tc>
          <w:tcPr>
            <w:tcW w:w="1218"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bCs/>
                <w:color w:val="333333"/>
                <w:kern w:val="0"/>
                <w:sz w:val="24"/>
              </w:rPr>
            </w:pPr>
            <w:r>
              <w:rPr>
                <w:rFonts w:eastAsia="黑体" w:cs="Times New Roman"/>
                <w:bCs/>
                <w:color w:val="333333"/>
                <w:kern w:val="0"/>
                <w:sz w:val="24"/>
              </w:rPr>
              <w:t>核心</w:t>
            </w:r>
          </w:p>
          <w:p w:rsidR="002B1DF7" w:rsidRDefault="000216A1">
            <w:pPr>
              <w:widowControl/>
              <w:adjustRightInd w:val="0"/>
              <w:snapToGrid w:val="0"/>
              <w:spacing w:line="320" w:lineRule="exact"/>
              <w:ind w:left="-57" w:right="-57"/>
              <w:jc w:val="center"/>
              <w:rPr>
                <w:rFonts w:eastAsia="黑体" w:cs="Times New Roman"/>
                <w:bCs/>
                <w:color w:val="333333"/>
                <w:kern w:val="0"/>
                <w:sz w:val="24"/>
              </w:rPr>
            </w:pPr>
            <w:r>
              <w:rPr>
                <w:rFonts w:eastAsia="黑体" w:cs="Times New Roman"/>
                <w:bCs/>
                <w:color w:val="333333"/>
                <w:kern w:val="0"/>
                <w:sz w:val="24"/>
              </w:rPr>
              <w:t>要素</w:t>
            </w:r>
          </w:p>
        </w:tc>
        <w:tc>
          <w:tcPr>
            <w:tcW w:w="4723" w:type="dxa"/>
            <w:shd w:val="clear" w:color="auto" w:fill="auto"/>
            <w:vAlign w:val="center"/>
          </w:tcPr>
          <w:p w:rsidR="002B1DF7" w:rsidRDefault="000216A1">
            <w:pPr>
              <w:widowControl/>
              <w:adjustRightInd w:val="0"/>
              <w:snapToGrid w:val="0"/>
              <w:spacing w:line="320" w:lineRule="exact"/>
              <w:jc w:val="center"/>
              <w:rPr>
                <w:rFonts w:eastAsia="黑体" w:cs="Times New Roman"/>
                <w:bCs/>
                <w:color w:val="333333"/>
                <w:kern w:val="0"/>
                <w:sz w:val="24"/>
              </w:rPr>
            </w:pPr>
            <w:r>
              <w:rPr>
                <w:rFonts w:eastAsia="黑体" w:cs="Times New Roman"/>
                <w:bCs/>
                <w:color w:val="333333"/>
                <w:kern w:val="0"/>
                <w:sz w:val="24"/>
              </w:rPr>
              <w:t>检查内容</w:t>
            </w:r>
          </w:p>
        </w:tc>
        <w:tc>
          <w:tcPr>
            <w:tcW w:w="1503" w:type="dxa"/>
            <w:gridSpan w:val="2"/>
            <w:shd w:val="clear" w:color="auto" w:fill="auto"/>
            <w:vAlign w:val="center"/>
          </w:tcPr>
          <w:p w:rsidR="002B1DF7" w:rsidRDefault="000216A1">
            <w:pPr>
              <w:widowControl/>
              <w:adjustRightInd w:val="0"/>
              <w:snapToGrid w:val="0"/>
              <w:spacing w:line="320" w:lineRule="exact"/>
              <w:jc w:val="center"/>
              <w:rPr>
                <w:rFonts w:eastAsia="黑体" w:cs="Times New Roman"/>
                <w:bCs/>
                <w:color w:val="333333"/>
                <w:kern w:val="0"/>
                <w:sz w:val="24"/>
              </w:rPr>
            </w:pPr>
            <w:r>
              <w:rPr>
                <w:rFonts w:eastAsia="黑体" w:cs="Times New Roman"/>
                <w:bCs/>
                <w:color w:val="333333"/>
                <w:kern w:val="0"/>
                <w:sz w:val="24"/>
              </w:rPr>
              <w:t>判定</w:t>
            </w:r>
          </w:p>
        </w:tc>
        <w:tc>
          <w:tcPr>
            <w:tcW w:w="1080" w:type="dxa"/>
            <w:shd w:val="clear" w:color="auto" w:fill="auto"/>
            <w:vAlign w:val="center"/>
          </w:tcPr>
          <w:p w:rsidR="002B1DF7" w:rsidRDefault="000216A1">
            <w:pPr>
              <w:widowControl/>
              <w:adjustRightInd w:val="0"/>
              <w:snapToGrid w:val="0"/>
              <w:spacing w:line="320" w:lineRule="exact"/>
              <w:jc w:val="center"/>
              <w:rPr>
                <w:rFonts w:eastAsia="黑体" w:cs="Times New Roman"/>
                <w:bCs/>
                <w:color w:val="333333"/>
                <w:kern w:val="0"/>
                <w:sz w:val="24"/>
              </w:rPr>
            </w:pPr>
            <w:r>
              <w:rPr>
                <w:rFonts w:eastAsia="黑体" w:cs="Times New Roman"/>
                <w:bCs/>
                <w:color w:val="333333"/>
                <w:kern w:val="0"/>
                <w:sz w:val="24"/>
              </w:rPr>
              <w:t>备注</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w:t>
            </w:r>
          </w:p>
        </w:tc>
        <w:tc>
          <w:tcPr>
            <w:tcW w:w="1218"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安全生产依法经营</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企业是否依法取得安全生产相关证照和许可。</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是否在应急管理局信息系统中如实登记有关信息</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3</w:t>
            </w:r>
          </w:p>
        </w:tc>
        <w:tc>
          <w:tcPr>
            <w:tcW w:w="1218"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责任落实</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有没有全员安全生产责任制。</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4</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有没有按照规定设置安全生产管理机构或者配备安全生产管理人员。</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5</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矿山、金属冶炼、粉尘涉爆、涉氨制冷等行业和领域内达到一定规模的生产经营单位推行安全总监制度。</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6</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通过市局系统比对，主要负责人、安全管理机构及安全管理人员有没有开展各类安全生产检查</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7</w:t>
            </w:r>
          </w:p>
        </w:tc>
        <w:tc>
          <w:tcPr>
            <w:tcW w:w="1218"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安全投入</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有没有按照规定提取安全生产费用。</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8</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有没有一个年度内的安全生产费用使用的票据、记录。</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9</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高危行业企业是否按规定投保安全生产责任险。</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10</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有没有给员工配备劳动防护用品</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11</w:t>
            </w:r>
          </w:p>
        </w:tc>
        <w:tc>
          <w:tcPr>
            <w:tcW w:w="1218"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教育培训</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有没有对所有从业人员进行相应的安全培训。</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12</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主要负责人、安全管理人员、特种作业人员是否依法培训。</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13</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有没有一个年度内的教育培训记录，记录中有没有培训内容，有没有参加培训人员的签字。</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lastRenderedPageBreak/>
              <w:t>14</w:t>
            </w:r>
          </w:p>
        </w:tc>
        <w:tc>
          <w:tcPr>
            <w:tcW w:w="1218"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风险分级管控</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是否建立了安全风险分级管控制度。</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15</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是否开展了风险辨识，有没有风险辨识清单，有没有风险管控措施。</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16</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较大以上风险有没有按照规定上报省、市有关信息系统。</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17</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是否在</w:t>
            </w:r>
            <w:r>
              <w:rPr>
                <w:rFonts w:eastAsia="仿宋_GB2312" w:cs="Times New Roman" w:hint="eastAsia"/>
                <w:color w:val="000000"/>
                <w:kern w:val="0"/>
                <w:sz w:val="24"/>
              </w:rPr>
              <w:t>有</w:t>
            </w:r>
            <w:r>
              <w:rPr>
                <w:rFonts w:eastAsia="仿宋_GB2312" w:cs="Times New Roman"/>
                <w:color w:val="000000"/>
                <w:kern w:val="0"/>
                <w:sz w:val="24"/>
              </w:rPr>
              <w:t>较大危险因素的生产经营场所和有关设施、设备上，设置明显的安全警示标志。</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 xml:space="preserve">　</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 xml:space="preserve">　</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18</w:t>
            </w:r>
          </w:p>
        </w:tc>
        <w:tc>
          <w:tcPr>
            <w:tcW w:w="1218"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隐患排查</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有没有隐患排查治理制度。</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19</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有没有定期通过</w:t>
            </w:r>
            <w:r>
              <w:rPr>
                <w:rFonts w:eastAsia="仿宋_GB2312" w:cs="Times New Roman"/>
                <w:color w:val="000000"/>
                <w:kern w:val="0"/>
                <w:sz w:val="24"/>
              </w:rPr>
              <w:t>“</w:t>
            </w:r>
            <w:r>
              <w:rPr>
                <w:rFonts w:eastAsia="仿宋_GB2312" w:cs="Times New Roman"/>
                <w:color w:val="000000"/>
                <w:kern w:val="0"/>
                <w:sz w:val="24"/>
              </w:rPr>
              <w:t>常安码</w:t>
            </w:r>
            <w:r>
              <w:rPr>
                <w:rFonts w:eastAsia="仿宋_GB2312" w:cs="Times New Roman"/>
                <w:color w:val="000000"/>
                <w:kern w:val="0"/>
                <w:sz w:val="24"/>
              </w:rPr>
              <w:t>”</w:t>
            </w:r>
            <w:r>
              <w:rPr>
                <w:rFonts w:eastAsia="仿宋_GB2312" w:cs="Times New Roman"/>
                <w:color w:val="000000"/>
                <w:kern w:val="0"/>
                <w:sz w:val="24"/>
              </w:rPr>
              <w:t>开展隐患排查，及时消除事故隐患</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20</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有没有隐患排查治理记录。</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21</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重大事故隐患排查治理情况有没有按照规定上报辖市区应急管理部门</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hint="eastAsia"/>
                <w:color w:val="000000"/>
                <w:kern w:val="0"/>
                <w:sz w:val="24"/>
              </w:rPr>
              <w:t>22</w:t>
            </w:r>
          </w:p>
        </w:tc>
        <w:tc>
          <w:tcPr>
            <w:tcW w:w="1218"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w:t>
            </w:r>
            <w:r>
              <w:rPr>
                <w:rFonts w:eastAsia="仿宋_GB2312" w:cs="Times New Roman"/>
                <w:color w:val="000000"/>
                <w:kern w:val="0"/>
                <w:sz w:val="24"/>
              </w:rPr>
              <w:t>“</w:t>
            </w:r>
            <w:r>
              <w:rPr>
                <w:rFonts w:eastAsia="仿宋_GB2312" w:cs="Times New Roman"/>
                <w:color w:val="000000"/>
                <w:kern w:val="0"/>
                <w:sz w:val="24"/>
              </w:rPr>
              <w:t>三同时</w:t>
            </w:r>
            <w:r>
              <w:rPr>
                <w:rFonts w:eastAsia="仿宋_GB2312" w:cs="Times New Roman"/>
                <w:color w:val="000000"/>
                <w:kern w:val="0"/>
                <w:sz w:val="24"/>
              </w:rPr>
              <w:t>”</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hint="eastAsia"/>
                <w:color w:val="000000"/>
                <w:kern w:val="0"/>
                <w:sz w:val="24"/>
              </w:rPr>
              <w:t>危险化学品生产、</w:t>
            </w:r>
            <w:r>
              <w:rPr>
                <w:rFonts w:eastAsia="仿宋_GB2312" w:cs="Times New Roman"/>
                <w:color w:val="000000"/>
                <w:kern w:val="0"/>
                <w:sz w:val="24"/>
              </w:rPr>
              <w:t>非煤矿山</w:t>
            </w:r>
            <w:r>
              <w:rPr>
                <w:rFonts w:eastAsia="仿宋_GB2312" w:cs="Times New Roman" w:hint="eastAsia"/>
                <w:color w:val="000000"/>
                <w:kern w:val="0"/>
                <w:sz w:val="24"/>
              </w:rPr>
              <w:t>、</w:t>
            </w:r>
            <w:r>
              <w:rPr>
                <w:rFonts w:eastAsia="仿宋_GB2312" w:cs="Times New Roman"/>
                <w:color w:val="000000"/>
                <w:kern w:val="0"/>
                <w:sz w:val="24"/>
              </w:rPr>
              <w:t>金属冶炼建设项目在进行可行性研究时，进行安全预评价；</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23</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hint="eastAsia"/>
                <w:color w:val="000000"/>
                <w:kern w:val="0"/>
                <w:sz w:val="24"/>
              </w:rPr>
              <w:t>危险化学品生产、</w:t>
            </w:r>
            <w:r>
              <w:rPr>
                <w:rFonts w:eastAsia="仿宋_GB2312" w:cs="Times New Roman"/>
                <w:color w:val="000000"/>
                <w:kern w:val="0"/>
                <w:sz w:val="24"/>
              </w:rPr>
              <w:t>非煤矿山</w:t>
            </w:r>
            <w:r>
              <w:rPr>
                <w:rFonts w:eastAsia="仿宋_GB2312" w:cs="Times New Roman" w:hint="eastAsia"/>
                <w:color w:val="000000"/>
                <w:kern w:val="0"/>
                <w:sz w:val="24"/>
              </w:rPr>
              <w:t>、</w:t>
            </w:r>
            <w:r>
              <w:rPr>
                <w:rFonts w:eastAsia="仿宋_GB2312" w:cs="Times New Roman"/>
                <w:color w:val="000000"/>
                <w:kern w:val="0"/>
                <w:sz w:val="24"/>
              </w:rPr>
              <w:t>金属冶炼建设项目全设施设计完成后，向安全生产监督管理部门提出审查申请；</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24</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hint="eastAsia"/>
                <w:color w:val="000000"/>
                <w:kern w:val="0"/>
                <w:sz w:val="24"/>
              </w:rPr>
              <w:t>危险化学品生产、</w:t>
            </w:r>
            <w:r>
              <w:rPr>
                <w:rFonts w:eastAsia="仿宋_GB2312" w:cs="Times New Roman"/>
                <w:color w:val="000000"/>
                <w:kern w:val="0"/>
                <w:sz w:val="24"/>
              </w:rPr>
              <w:t>非煤矿山</w:t>
            </w:r>
            <w:r>
              <w:rPr>
                <w:rFonts w:eastAsia="仿宋_GB2312" w:cs="Times New Roman" w:hint="eastAsia"/>
                <w:color w:val="000000"/>
                <w:kern w:val="0"/>
                <w:sz w:val="24"/>
              </w:rPr>
              <w:t>、</w:t>
            </w:r>
            <w:r>
              <w:rPr>
                <w:rFonts w:eastAsia="仿宋_GB2312" w:cs="Times New Roman"/>
                <w:color w:val="000000"/>
                <w:kern w:val="0"/>
                <w:sz w:val="24"/>
              </w:rPr>
              <w:t>金属冶炼建设项目安全设施竣工或者试运行完成后，委托具有相应资质的安全评价机构对安全设施进行验收评价，并编制建设项目安全验收评价报告。</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25</w:t>
            </w:r>
          </w:p>
        </w:tc>
        <w:tc>
          <w:tcPr>
            <w:tcW w:w="1218"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重大危险源管理</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有没有定期对重大危险源的安全设施和安全监测监控系统进行检测、检验；</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26</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重大危险源有无到相关部门进行备案</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27</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企业是否按规定对重大危险源建立健全安全监测监控系统，并与监督部门进行联网。</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lastRenderedPageBreak/>
              <w:t>28</w:t>
            </w:r>
          </w:p>
        </w:tc>
        <w:tc>
          <w:tcPr>
            <w:tcW w:w="1218"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安全生产标准化</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企业是否开展安全生产标准化建设。</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29</w:t>
            </w:r>
          </w:p>
        </w:tc>
        <w:tc>
          <w:tcPr>
            <w:tcW w:w="1218"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预案演练</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企业是否编制应急救援预案</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30</w:t>
            </w:r>
          </w:p>
        </w:tc>
        <w:tc>
          <w:tcPr>
            <w:tcW w:w="1218"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是否按规定定期开展应急演练，是否有演练记录。</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31</w:t>
            </w:r>
          </w:p>
        </w:tc>
        <w:tc>
          <w:tcPr>
            <w:tcW w:w="1218"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外包作业</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现场发现的外包作业有没有签订安全生产协议并明确双方安全生产责任，有没有统一协调管理并定期安全检查。</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48"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32</w:t>
            </w:r>
          </w:p>
        </w:tc>
        <w:tc>
          <w:tcPr>
            <w:tcW w:w="1218"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危险作业</w:t>
            </w:r>
          </w:p>
        </w:tc>
        <w:tc>
          <w:tcPr>
            <w:tcW w:w="4723"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现场发现的危险作业有没有办理审批手续，有没有专人现场管理，现场是否符合要求。</w:t>
            </w:r>
          </w:p>
        </w:tc>
        <w:tc>
          <w:tcPr>
            <w:tcW w:w="736"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bl>
    <w:p w:rsidR="002B1DF7" w:rsidRDefault="002B1DF7" w:rsidP="00B94E46">
      <w:pPr>
        <w:overflowPunct w:val="0"/>
        <w:autoSpaceDE w:val="0"/>
        <w:autoSpaceDN w:val="0"/>
        <w:spacing w:line="560" w:lineRule="exact"/>
        <w:ind w:firstLineChars="1375" w:firstLine="4677"/>
        <w:jc w:val="center"/>
        <w:outlineLvl w:val="1"/>
        <w:rPr>
          <w:rFonts w:eastAsia="仿宋_GB2312" w:cs="Times New Roman"/>
          <w:snapToGrid w:val="0"/>
          <w:kern w:val="0"/>
          <w:szCs w:val="32"/>
        </w:rPr>
      </w:pPr>
    </w:p>
    <w:p w:rsidR="002B1DF7" w:rsidRDefault="000216A1">
      <w:pPr>
        <w:widowControl/>
        <w:jc w:val="left"/>
        <w:rPr>
          <w:rFonts w:eastAsia="仿宋_GB2312" w:cs="Times New Roman"/>
          <w:snapToGrid w:val="0"/>
          <w:kern w:val="0"/>
          <w:szCs w:val="32"/>
        </w:rPr>
      </w:pPr>
      <w:r>
        <w:rPr>
          <w:rFonts w:eastAsia="仿宋_GB2312" w:cs="Times New Roman"/>
          <w:snapToGrid w:val="0"/>
          <w:kern w:val="0"/>
          <w:szCs w:val="32"/>
        </w:rPr>
        <w:br w:type="page"/>
      </w:r>
    </w:p>
    <w:p w:rsidR="002B1DF7" w:rsidRDefault="000216A1">
      <w:pPr>
        <w:widowControl/>
        <w:tabs>
          <w:tab w:val="left" w:pos="1173"/>
          <w:tab w:val="left" w:pos="2253"/>
          <w:tab w:val="left" w:pos="7233"/>
          <w:tab w:val="left" w:pos="8093"/>
          <w:tab w:val="left" w:pos="8813"/>
        </w:tabs>
        <w:ind w:left="93"/>
        <w:jc w:val="left"/>
        <w:rPr>
          <w:rFonts w:eastAsia="黑体" w:cs="Times New Roman"/>
          <w:bCs/>
          <w:color w:val="333333"/>
          <w:kern w:val="0"/>
          <w:szCs w:val="32"/>
        </w:rPr>
      </w:pPr>
      <w:r>
        <w:rPr>
          <w:rFonts w:eastAsia="黑体" w:cs="Times New Roman"/>
          <w:bCs/>
          <w:color w:val="333333"/>
          <w:kern w:val="0"/>
          <w:szCs w:val="32"/>
        </w:rPr>
        <w:lastRenderedPageBreak/>
        <w:t>附件</w:t>
      </w:r>
      <w:r>
        <w:rPr>
          <w:rFonts w:eastAsia="黑体" w:cs="Times New Roman"/>
          <w:bCs/>
          <w:color w:val="333333"/>
          <w:kern w:val="0"/>
          <w:szCs w:val="32"/>
        </w:rPr>
        <w:t>2</w:t>
      </w:r>
      <w:r>
        <w:rPr>
          <w:rFonts w:eastAsia="黑体" w:cs="Times New Roman"/>
          <w:bCs/>
          <w:color w:val="333333"/>
          <w:kern w:val="0"/>
          <w:szCs w:val="32"/>
        </w:rPr>
        <w:tab/>
      </w:r>
      <w:r>
        <w:rPr>
          <w:rFonts w:eastAsia="黑体" w:cs="Times New Roman"/>
          <w:bCs/>
          <w:color w:val="333333"/>
          <w:kern w:val="0"/>
          <w:szCs w:val="32"/>
        </w:rPr>
        <w:tab/>
      </w:r>
      <w:r>
        <w:rPr>
          <w:rFonts w:eastAsia="黑体" w:cs="Times New Roman"/>
          <w:bCs/>
          <w:color w:val="333333"/>
          <w:kern w:val="0"/>
          <w:szCs w:val="32"/>
        </w:rPr>
        <w:tab/>
      </w:r>
      <w:r>
        <w:rPr>
          <w:rFonts w:eastAsia="黑体" w:cs="Times New Roman"/>
          <w:bCs/>
          <w:color w:val="333333"/>
          <w:kern w:val="0"/>
          <w:szCs w:val="32"/>
        </w:rPr>
        <w:tab/>
      </w:r>
      <w:r>
        <w:rPr>
          <w:rFonts w:eastAsia="黑体" w:cs="Times New Roman"/>
          <w:bCs/>
          <w:color w:val="333333"/>
          <w:kern w:val="0"/>
          <w:szCs w:val="32"/>
        </w:rPr>
        <w:tab/>
      </w:r>
    </w:p>
    <w:p w:rsidR="002B1DF7" w:rsidRDefault="000216A1">
      <w:pPr>
        <w:widowControl/>
        <w:spacing w:before="120" w:line="560" w:lineRule="exact"/>
        <w:ind w:left="91"/>
        <w:jc w:val="center"/>
        <w:rPr>
          <w:rFonts w:eastAsia="方正小标宋简体" w:cs="Times New Roman"/>
          <w:color w:val="000000"/>
          <w:kern w:val="0"/>
          <w:sz w:val="44"/>
          <w:szCs w:val="44"/>
        </w:rPr>
      </w:pPr>
      <w:r>
        <w:rPr>
          <w:rFonts w:eastAsia="方正小标宋简体" w:cs="Times New Roman"/>
          <w:color w:val="000000"/>
          <w:kern w:val="0"/>
          <w:sz w:val="44"/>
          <w:szCs w:val="44"/>
        </w:rPr>
        <w:t>常州市工业企业安全生产网格化巡查重点</w:t>
      </w:r>
    </w:p>
    <w:p w:rsidR="002B1DF7" w:rsidRDefault="000216A1">
      <w:pPr>
        <w:widowControl/>
        <w:spacing w:before="120" w:line="560" w:lineRule="exact"/>
        <w:ind w:left="91"/>
        <w:jc w:val="center"/>
        <w:rPr>
          <w:rFonts w:eastAsia="楷体_GB2312" w:cs="Times New Roman"/>
          <w:color w:val="000000"/>
          <w:kern w:val="0"/>
          <w:szCs w:val="32"/>
        </w:rPr>
      </w:pPr>
      <w:r>
        <w:rPr>
          <w:rFonts w:eastAsia="楷体_GB2312" w:cs="Times New Roman"/>
          <w:color w:val="000000"/>
          <w:kern w:val="0"/>
          <w:szCs w:val="32"/>
        </w:rPr>
        <w:t>（非重点行业领域规上企业）</w:t>
      </w:r>
    </w:p>
    <w:p w:rsidR="002B1DF7" w:rsidRDefault="002B1DF7">
      <w:pPr>
        <w:widowControl/>
        <w:spacing w:line="560" w:lineRule="exact"/>
        <w:ind w:left="91"/>
        <w:jc w:val="center"/>
        <w:rPr>
          <w:rFonts w:eastAsia="楷体_GB2312" w:cs="Times New Roman"/>
          <w:color w:val="000000"/>
          <w:kern w:val="0"/>
          <w:szCs w:val="32"/>
        </w:rPr>
      </w:pP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562"/>
        <w:gridCol w:w="1204"/>
        <w:gridCol w:w="4717"/>
        <w:gridCol w:w="742"/>
        <w:gridCol w:w="767"/>
        <w:gridCol w:w="1080"/>
      </w:tblGrid>
      <w:tr w:rsidR="002B1DF7">
        <w:trPr>
          <w:trHeight w:val="689"/>
          <w:tblHeader/>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黑体" w:cs="Times New Roman"/>
                <w:bCs/>
                <w:color w:val="333333"/>
                <w:kern w:val="0"/>
                <w:sz w:val="24"/>
              </w:rPr>
            </w:pPr>
            <w:r>
              <w:rPr>
                <w:rFonts w:eastAsia="黑体" w:cs="Times New Roman"/>
                <w:bCs/>
                <w:color w:val="333333"/>
                <w:kern w:val="0"/>
                <w:sz w:val="24"/>
              </w:rPr>
              <w:t>序号</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bCs/>
                <w:color w:val="333333"/>
                <w:kern w:val="0"/>
                <w:sz w:val="24"/>
              </w:rPr>
            </w:pPr>
            <w:r>
              <w:rPr>
                <w:rFonts w:eastAsia="黑体" w:cs="Times New Roman"/>
                <w:bCs/>
                <w:color w:val="333333"/>
                <w:kern w:val="0"/>
                <w:sz w:val="24"/>
              </w:rPr>
              <w:t>核心要素</w:t>
            </w:r>
          </w:p>
        </w:tc>
        <w:tc>
          <w:tcPr>
            <w:tcW w:w="4717" w:type="dxa"/>
            <w:shd w:val="clear" w:color="auto" w:fill="auto"/>
            <w:vAlign w:val="center"/>
          </w:tcPr>
          <w:p w:rsidR="002B1DF7" w:rsidRDefault="000216A1">
            <w:pPr>
              <w:widowControl/>
              <w:adjustRightInd w:val="0"/>
              <w:snapToGrid w:val="0"/>
              <w:spacing w:line="320" w:lineRule="exact"/>
              <w:jc w:val="center"/>
              <w:rPr>
                <w:rFonts w:eastAsia="黑体" w:cs="Times New Roman"/>
                <w:bCs/>
                <w:color w:val="333333"/>
                <w:kern w:val="0"/>
                <w:sz w:val="24"/>
              </w:rPr>
            </w:pPr>
            <w:r>
              <w:rPr>
                <w:rFonts w:eastAsia="黑体" w:cs="Times New Roman"/>
                <w:bCs/>
                <w:color w:val="333333"/>
                <w:kern w:val="0"/>
                <w:sz w:val="24"/>
              </w:rPr>
              <w:t>检查内容</w:t>
            </w:r>
          </w:p>
        </w:tc>
        <w:tc>
          <w:tcPr>
            <w:tcW w:w="1509" w:type="dxa"/>
            <w:gridSpan w:val="2"/>
            <w:shd w:val="clear" w:color="auto" w:fill="auto"/>
            <w:vAlign w:val="center"/>
          </w:tcPr>
          <w:p w:rsidR="002B1DF7" w:rsidRDefault="000216A1">
            <w:pPr>
              <w:widowControl/>
              <w:adjustRightInd w:val="0"/>
              <w:snapToGrid w:val="0"/>
              <w:spacing w:line="320" w:lineRule="exact"/>
              <w:jc w:val="center"/>
              <w:rPr>
                <w:rFonts w:eastAsia="黑体" w:cs="Times New Roman"/>
                <w:bCs/>
                <w:color w:val="333333"/>
                <w:kern w:val="0"/>
                <w:sz w:val="24"/>
              </w:rPr>
            </w:pPr>
            <w:r>
              <w:rPr>
                <w:rFonts w:eastAsia="黑体" w:cs="Times New Roman"/>
                <w:bCs/>
                <w:color w:val="333333"/>
                <w:kern w:val="0"/>
                <w:sz w:val="24"/>
              </w:rPr>
              <w:t>判定</w:t>
            </w:r>
          </w:p>
        </w:tc>
        <w:tc>
          <w:tcPr>
            <w:tcW w:w="1080" w:type="dxa"/>
            <w:shd w:val="clear" w:color="auto" w:fill="auto"/>
            <w:vAlign w:val="center"/>
          </w:tcPr>
          <w:p w:rsidR="002B1DF7" w:rsidRDefault="000216A1">
            <w:pPr>
              <w:widowControl/>
              <w:adjustRightInd w:val="0"/>
              <w:snapToGrid w:val="0"/>
              <w:spacing w:line="320" w:lineRule="exact"/>
              <w:jc w:val="center"/>
              <w:rPr>
                <w:rFonts w:eastAsia="黑体" w:cs="Times New Roman"/>
                <w:bCs/>
                <w:color w:val="333333"/>
                <w:kern w:val="0"/>
                <w:sz w:val="24"/>
              </w:rPr>
            </w:pPr>
            <w:r>
              <w:rPr>
                <w:rFonts w:eastAsia="黑体" w:cs="Times New Roman"/>
                <w:bCs/>
                <w:color w:val="333333"/>
                <w:kern w:val="0"/>
                <w:sz w:val="24"/>
              </w:rPr>
              <w:t>备注</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w:t>
            </w:r>
          </w:p>
        </w:tc>
        <w:tc>
          <w:tcPr>
            <w:tcW w:w="120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安全生产依法经营</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企业是否依法取得安全生产相关证照和许可。</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是否在应急管理局信息系统中登记有关信息</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3</w:t>
            </w:r>
          </w:p>
        </w:tc>
        <w:tc>
          <w:tcPr>
            <w:tcW w:w="120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责任落实</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有没有全员安全生产责任制。</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4</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有没有按照规定设置安全生产管理机构或者配备安全生产管理人员。</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5</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达到一定规模的生产经营单位推行安全总监制度。</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6</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通过市局系统比对，主要负责人、安全管理机构及安全管理人员有没有开展各类安全生产检查</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7</w:t>
            </w:r>
          </w:p>
        </w:tc>
        <w:tc>
          <w:tcPr>
            <w:tcW w:w="120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安全投入</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有没有按照规定提取安全生产费用。</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8</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有没有一个年度内的安全生产费用使用的票据、记录。</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9</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是否按规定投保安全生产责任险。</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10</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有没有给员工配备劳动防护用品</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11</w:t>
            </w:r>
          </w:p>
        </w:tc>
        <w:tc>
          <w:tcPr>
            <w:tcW w:w="120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教育培训</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有没有对所有从业人员进行相应的安全培训。</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12</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主要负责人、安全管理人员、特种作业人员是否依法培训。</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897"/>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13</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有没有一个年度内的教育培训记录，记录中有没有培训内容，有没有参加培训人员的签字。</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lastRenderedPageBreak/>
              <w:t>14</w:t>
            </w:r>
          </w:p>
        </w:tc>
        <w:tc>
          <w:tcPr>
            <w:tcW w:w="120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风险分级管控</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是否建立了安全风险分级管控制度。</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15</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是否开展了风险辨识，有没有风险辨识清单，有没有风险管控措施。</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16</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较大以上风险有没有按照规定上报省、市有关信息系统。</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17</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是否在</w:t>
            </w:r>
            <w:r>
              <w:rPr>
                <w:rFonts w:eastAsia="仿宋_GB2312" w:cs="Times New Roman" w:hint="eastAsia"/>
                <w:color w:val="000000"/>
                <w:kern w:val="0"/>
                <w:sz w:val="24"/>
              </w:rPr>
              <w:t>有</w:t>
            </w:r>
            <w:r>
              <w:rPr>
                <w:rFonts w:eastAsia="仿宋_GB2312" w:cs="Times New Roman"/>
                <w:color w:val="000000"/>
                <w:kern w:val="0"/>
                <w:sz w:val="24"/>
              </w:rPr>
              <w:t>较大危险因素的生产经营场所和有关设施、设备上，设置明显的安全警示标志。</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18</w:t>
            </w:r>
          </w:p>
        </w:tc>
        <w:tc>
          <w:tcPr>
            <w:tcW w:w="120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隐患排查</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有没有隐患排查治理制度。</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19</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有没有定期通过</w:t>
            </w:r>
            <w:r>
              <w:rPr>
                <w:rFonts w:eastAsia="仿宋_GB2312" w:cs="Times New Roman"/>
                <w:color w:val="000000"/>
                <w:kern w:val="0"/>
                <w:sz w:val="24"/>
              </w:rPr>
              <w:t>“</w:t>
            </w:r>
            <w:r>
              <w:rPr>
                <w:rFonts w:eastAsia="仿宋_GB2312" w:cs="Times New Roman"/>
                <w:color w:val="000000"/>
                <w:kern w:val="0"/>
                <w:sz w:val="24"/>
              </w:rPr>
              <w:t>常安码</w:t>
            </w:r>
            <w:r>
              <w:rPr>
                <w:rFonts w:eastAsia="仿宋_GB2312" w:cs="Times New Roman"/>
                <w:color w:val="000000"/>
                <w:kern w:val="0"/>
                <w:sz w:val="24"/>
              </w:rPr>
              <w:t>”</w:t>
            </w:r>
            <w:r>
              <w:rPr>
                <w:rFonts w:eastAsia="仿宋_GB2312" w:cs="Times New Roman"/>
                <w:color w:val="000000"/>
                <w:kern w:val="0"/>
                <w:sz w:val="24"/>
              </w:rPr>
              <w:t>开展隐患排查，及时消除事故隐患</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20</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有没有隐患排查治理记录。</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21</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重大事故隐患排查治理情况有没有按照规定上报辖市区应急管理部门</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hint="eastAsia"/>
                <w:color w:val="000000"/>
                <w:kern w:val="0"/>
                <w:sz w:val="24"/>
              </w:rPr>
              <w:t>22</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w:t>
            </w:r>
            <w:r>
              <w:rPr>
                <w:rFonts w:eastAsia="仿宋_GB2312" w:cs="Times New Roman"/>
                <w:color w:val="000000"/>
                <w:kern w:val="0"/>
                <w:sz w:val="24"/>
              </w:rPr>
              <w:t>“</w:t>
            </w:r>
            <w:r>
              <w:rPr>
                <w:rFonts w:eastAsia="仿宋_GB2312" w:cs="Times New Roman"/>
                <w:color w:val="000000"/>
                <w:kern w:val="0"/>
                <w:sz w:val="24"/>
              </w:rPr>
              <w:t>三同时</w:t>
            </w:r>
            <w:r>
              <w:rPr>
                <w:rFonts w:eastAsia="仿宋_GB2312" w:cs="Times New Roman"/>
                <w:color w:val="000000"/>
                <w:kern w:val="0"/>
                <w:sz w:val="24"/>
              </w:rPr>
              <w:t>”</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企业新改扩建项目有无开展三同时工作</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hint="eastAsia"/>
                <w:color w:val="000000"/>
                <w:kern w:val="0"/>
                <w:sz w:val="24"/>
              </w:rPr>
              <w:t>23</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安全生产标准化</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企业是否开展安全生产标准化建设。</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w:t>
            </w:r>
            <w:r>
              <w:rPr>
                <w:rFonts w:eastAsia="仿宋_GB2312" w:cs="Times New Roman" w:hint="eastAsia"/>
                <w:color w:val="000000"/>
                <w:kern w:val="0"/>
                <w:sz w:val="24"/>
              </w:rPr>
              <w:t>4</w:t>
            </w:r>
          </w:p>
        </w:tc>
        <w:tc>
          <w:tcPr>
            <w:tcW w:w="120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预案演练</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企业是否编制应急救援预案</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w:t>
            </w:r>
            <w:r>
              <w:rPr>
                <w:rFonts w:eastAsia="仿宋_GB2312" w:cs="Times New Roman" w:hint="eastAsia"/>
                <w:color w:val="000000"/>
                <w:kern w:val="0"/>
                <w:sz w:val="24"/>
              </w:rPr>
              <w:t>5</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是否按规定定期开展应急演练，是否有演练记录。</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w:t>
            </w:r>
            <w:r>
              <w:rPr>
                <w:rFonts w:eastAsia="仿宋_GB2312" w:cs="Times New Roman" w:hint="eastAsia"/>
                <w:color w:val="000000"/>
                <w:kern w:val="0"/>
                <w:sz w:val="24"/>
              </w:rPr>
              <w:t>6</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外包作业</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现场发现的外包作业有没有签订安全生产协议并明确双方安全生产责任，有没有统一协调管理并定期安全检查。</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680"/>
          <w:jc w:val="center"/>
        </w:trPr>
        <w:tc>
          <w:tcPr>
            <w:tcW w:w="56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2</w:t>
            </w:r>
            <w:r>
              <w:rPr>
                <w:rFonts w:eastAsia="仿宋_GB2312" w:cs="Times New Roman" w:hint="eastAsia"/>
                <w:color w:val="000000"/>
                <w:kern w:val="0"/>
                <w:sz w:val="24"/>
              </w:rPr>
              <w:t>7</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危险作业</w:t>
            </w:r>
          </w:p>
        </w:tc>
        <w:tc>
          <w:tcPr>
            <w:tcW w:w="4717" w:type="dxa"/>
            <w:shd w:val="clear" w:color="auto" w:fill="auto"/>
            <w:vAlign w:val="center"/>
          </w:tcPr>
          <w:p w:rsidR="002B1DF7" w:rsidRDefault="000216A1">
            <w:pPr>
              <w:widowControl/>
              <w:adjustRightInd w:val="0"/>
              <w:snapToGrid w:val="0"/>
              <w:spacing w:line="320" w:lineRule="exact"/>
              <w:rPr>
                <w:rFonts w:eastAsia="仿宋_GB2312" w:cs="Times New Roman"/>
                <w:color w:val="000000"/>
                <w:kern w:val="0"/>
                <w:sz w:val="24"/>
              </w:rPr>
            </w:pPr>
            <w:r>
              <w:rPr>
                <w:rFonts w:eastAsia="仿宋_GB2312" w:cs="Times New Roman"/>
                <w:color w:val="000000"/>
                <w:kern w:val="0"/>
                <w:sz w:val="24"/>
              </w:rPr>
              <w:t>现场发现的危险作业有没有办理审批手续，有没有专人现场管理，现场是否符合要求。</w:t>
            </w:r>
          </w:p>
        </w:tc>
        <w:tc>
          <w:tcPr>
            <w:tcW w:w="742"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是</w:t>
            </w:r>
          </w:p>
        </w:tc>
        <w:tc>
          <w:tcPr>
            <w:tcW w:w="767" w:type="dxa"/>
            <w:shd w:val="clear" w:color="auto" w:fill="auto"/>
            <w:vAlign w:val="center"/>
          </w:tcPr>
          <w:p w:rsidR="002B1DF7" w:rsidRDefault="000216A1">
            <w:pPr>
              <w:widowControl/>
              <w:adjustRightInd w:val="0"/>
              <w:snapToGrid w:val="0"/>
              <w:spacing w:line="320" w:lineRule="exact"/>
              <w:jc w:val="center"/>
              <w:rPr>
                <w:rFonts w:eastAsia="仿宋_GB2312" w:cs="Times New Roman"/>
                <w:color w:val="000000"/>
                <w:kern w:val="0"/>
                <w:sz w:val="24"/>
              </w:rPr>
            </w:pPr>
            <w:r>
              <w:rPr>
                <w:rFonts w:eastAsia="仿宋_GB2312" w:cs="Times New Roman"/>
                <w:color w:val="000000"/>
                <w:kern w:val="0"/>
                <w:sz w:val="24"/>
              </w:rPr>
              <w:t>否</w:t>
            </w:r>
          </w:p>
        </w:tc>
        <w:tc>
          <w:tcPr>
            <w:tcW w:w="1080" w:type="dxa"/>
            <w:shd w:val="clear" w:color="auto" w:fill="auto"/>
            <w:noWrap/>
            <w:vAlign w:val="center"/>
          </w:tcPr>
          <w:p w:rsidR="002B1DF7" w:rsidRDefault="000216A1">
            <w:pPr>
              <w:widowControl/>
              <w:adjustRightInd w:val="0"/>
              <w:snapToGrid w:val="0"/>
              <w:spacing w:line="320" w:lineRule="exact"/>
              <w:jc w:val="left"/>
              <w:rPr>
                <w:rFonts w:eastAsia="仿宋_GB2312" w:cs="Times New Roman"/>
                <w:color w:val="000000"/>
                <w:kern w:val="0"/>
                <w:sz w:val="24"/>
              </w:rPr>
            </w:pPr>
            <w:r>
              <w:rPr>
                <w:rFonts w:eastAsia="仿宋_GB2312" w:cs="Times New Roman"/>
                <w:color w:val="000000"/>
                <w:kern w:val="0"/>
                <w:sz w:val="24"/>
              </w:rPr>
              <w:t xml:space="preserve">　</w:t>
            </w:r>
          </w:p>
        </w:tc>
      </w:tr>
    </w:tbl>
    <w:p w:rsidR="002B1DF7" w:rsidRDefault="002B1DF7" w:rsidP="00B94E46">
      <w:pPr>
        <w:overflowPunct w:val="0"/>
        <w:autoSpaceDE w:val="0"/>
        <w:autoSpaceDN w:val="0"/>
        <w:spacing w:line="560" w:lineRule="exact"/>
        <w:ind w:firstLineChars="1375" w:firstLine="4677"/>
        <w:jc w:val="center"/>
        <w:outlineLvl w:val="1"/>
        <w:rPr>
          <w:rFonts w:eastAsia="仿宋_GB2312" w:cs="Times New Roman"/>
          <w:snapToGrid w:val="0"/>
          <w:kern w:val="0"/>
          <w:szCs w:val="32"/>
        </w:rPr>
      </w:pPr>
    </w:p>
    <w:p w:rsidR="002B1DF7" w:rsidRDefault="000216A1">
      <w:pPr>
        <w:widowControl/>
        <w:jc w:val="left"/>
        <w:rPr>
          <w:rFonts w:eastAsia="仿宋_GB2312" w:cs="Times New Roman"/>
          <w:snapToGrid w:val="0"/>
          <w:kern w:val="0"/>
          <w:szCs w:val="32"/>
        </w:rPr>
      </w:pPr>
      <w:r>
        <w:rPr>
          <w:rFonts w:eastAsia="仿宋_GB2312" w:cs="Times New Roman"/>
          <w:snapToGrid w:val="0"/>
          <w:kern w:val="0"/>
          <w:szCs w:val="32"/>
        </w:rPr>
        <w:br w:type="page"/>
      </w:r>
    </w:p>
    <w:p w:rsidR="002B1DF7" w:rsidRDefault="000216A1">
      <w:pPr>
        <w:widowControl/>
        <w:tabs>
          <w:tab w:val="left" w:pos="1173"/>
          <w:tab w:val="left" w:pos="2253"/>
          <w:tab w:val="left" w:pos="7233"/>
          <w:tab w:val="left" w:pos="8093"/>
          <w:tab w:val="left" w:pos="8813"/>
        </w:tabs>
        <w:ind w:left="93"/>
        <w:jc w:val="left"/>
        <w:rPr>
          <w:rFonts w:eastAsia="黑体" w:cs="Times New Roman"/>
          <w:bCs/>
          <w:color w:val="333333"/>
          <w:kern w:val="0"/>
          <w:szCs w:val="32"/>
        </w:rPr>
      </w:pPr>
      <w:r>
        <w:rPr>
          <w:rFonts w:eastAsia="黑体" w:cs="Times New Roman"/>
          <w:bCs/>
          <w:color w:val="333333"/>
          <w:kern w:val="0"/>
          <w:szCs w:val="32"/>
        </w:rPr>
        <w:lastRenderedPageBreak/>
        <w:t>附件</w:t>
      </w:r>
      <w:r>
        <w:rPr>
          <w:rFonts w:eastAsia="黑体" w:cs="Times New Roman"/>
          <w:bCs/>
          <w:color w:val="333333"/>
          <w:kern w:val="0"/>
          <w:szCs w:val="32"/>
        </w:rPr>
        <w:t>3</w:t>
      </w:r>
      <w:r>
        <w:rPr>
          <w:rFonts w:eastAsia="黑体" w:cs="Times New Roman"/>
          <w:bCs/>
          <w:color w:val="333333"/>
          <w:kern w:val="0"/>
          <w:szCs w:val="32"/>
        </w:rPr>
        <w:tab/>
      </w:r>
      <w:r>
        <w:rPr>
          <w:rFonts w:eastAsia="黑体" w:cs="Times New Roman"/>
          <w:bCs/>
          <w:color w:val="333333"/>
          <w:kern w:val="0"/>
          <w:szCs w:val="32"/>
        </w:rPr>
        <w:tab/>
      </w:r>
      <w:r>
        <w:rPr>
          <w:rFonts w:eastAsia="黑体" w:cs="Times New Roman"/>
          <w:bCs/>
          <w:color w:val="333333"/>
          <w:kern w:val="0"/>
          <w:szCs w:val="32"/>
        </w:rPr>
        <w:tab/>
      </w:r>
      <w:r>
        <w:rPr>
          <w:rFonts w:eastAsia="黑体" w:cs="Times New Roman"/>
          <w:bCs/>
          <w:color w:val="333333"/>
          <w:kern w:val="0"/>
          <w:szCs w:val="32"/>
        </w:rPr>
        <w:tab/>
      </w:r>
      <w:r>
        <w:rPr>
          <w:rFonts w:eastAsia="黑体" w:cs="Times New Roman"/>
          <w:bCs/>
          <w:color w:val="333333"/>
          <w:kern w:val="0"/>
          <w:szCs w:val="32"/>
        </w:rPr>
        <w:tab/>
      </w:r>
    </w:p>
    <w:p w:rsidR="002B1DF7" w:rsidRDefault="000216A1">
      <w:pPr>
        <w:widowControl/>
        <w:spacing w:before="120" w:line="560" w:lineRule="exact"/>
        <w:ind w:left="91"/>
        <w:jc w:val="center"/>
        <w:rPr>
          <w:rFonts w:eastAsia="方正小标宋简体" w:cs="Times New Roman"/>
          <w:color w:val="000000"/>
          <w:kern w:val="0"/>
          <w:sz w:val="44"/>
          <w:szCs w:val="44"/>
        </w:rPr>
      </w:pPr>
      <w:r>
        <w:rPr>
          <w:rFonts w:eastAsia="方正小标宋简体" w:cs="Times New Roman"/>
          <w:color w:val="000000"/>
          <w:kern w:val="0"/>
          <w:sz w:val="44"/>
          <w:szCs w:val="44"/>
        </w:rPr>
        <w:t>常州市工业企业安全生产网格化巡查重点</w:t>
      </w:r>
    </w:p>
    <w:p w:rsidR="002B1DF7" w:rsidRDefault="000216A1">
      <w:pPr>
        <w:widowControl/>
        <w:spacing w:before="120" w:line="560" w:lineRule="exact"/>
        <w:ind w:left="91"/>
        <w:jc w:val="center"/>
        <w:rPr>
          <w:rFonts w:eastAsia="楷体_GB2312" w:cs="Times New Roman"/>
          <w:color w:val="000000"/>
          <w:kern w:val="0"/>
          <w:szCs w:val="32"/>
        </w:rPr>
      </w:pPr>
      <w:r>
        <w:rPr>
          <w:rFonts w:eastAsia="楷体_GB2312" w:cs="Times New Roman"/>
          <w:color w:val="000000"/>
          <w:kern w:val="0"/>
          <w:szCs w:val="32"/>
        </w:rPr>
        <w:t>（非重点行业领域规下企业）</w:t>
      </w:r>
    </w:p>
    <w:p w:rsidR="002B1DF7" w:rsidRDefault="002B1DF7">
      <w:pPr>
        <w:widowControl/>
        <w:spacing w:line="560" w:lineRule="exact"/>
        <w:ind w:left="91"/>
        <w:jc w:val="center"/>
        <w:rPr>
          <w:rFonts w:eastAsia="楷体_GB2312" w:cs="Times New Roman"/>
          <w:color w:val="000000"/>
          <w:kern w:val="0"/>
          <w:szCs w:val="32"/>
        </w:rPr>
      </w:pP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562"/>
        <w:gridCol w:w="1204"/>
        <w:gridCol w:w="4619"/>
        <w:gridCol w:w="700"/>
        <w:gridCol w:w="700"/>
        <w:gridCol w:w="1287"/>
      </w:tblGrid>
      <w:tr w:rsidR="002B1DF7">
        <w:trPr>
          <w:trHeight w:val="678"/>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color w:val="000000"/>
                <w:kern w:val="0"/>
                <w:sz w:val="24"/>
              </w:rPr>
            </w:pPr>
            <w:r>
              <w:rPr>
                <w:rFonts w:eastAsia="黑体" w:cs="Times New Roman"/>
                <w:color w:val="000000"/>
                <w:kern w:val="0"/>
                <w:sz w:val="24"/>
              </w:rPr>
              <w:t>序号</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color w:val="000000"/>
                <w:kern w:val="0"/>
                <w:sz w:val="24"/>
              </w:rPr>
            </w:pPr>
            <w:r>
              <w:rPr>
                <w:rFonts w:eastAsia="黑体" w:cs="Times New Roman"/>
                <w:color w:val="000000"/>
                <w:kern w:val="0"/>
                <w:sz w:val="24"/>
              </w:rPr>
              <w:t>核心</w:t>
            </w:r>
            <w:r>
              <w:rPr>
                <w:rFonts w:eastAsia="黑体" w:cs="Times New Roman"/>
                <w:color w:val="000000"/>
                <w:kern w:val="0"/>
                <w:sz w:val="24"/>
              </w:rPr>
              <w:br/>
            </w:r>
            <w:r>
              <w:rPr>
                <w:rFonts w:eastAsia="黑体" w:cs="Times New Roman"/>
                <w:color w:val="000000"/>
                <w:kern w:val="0"/>
                <w:sz w:val="24"/>
              </w:rPr>
              <w:t>要素</w:t>
            </w:r>
          </w:p>
        </w:tc>
        <w:tc>
          <w:tcPr>
            <w:tcW w:w="4619"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color w:val="000000"/>
                <w:kern w:val="0"/>
                <w:sz w:val="24"/>
              </w:rPr>
            </w:pPr>
            <w:r>
              <w:rPr>
                <w:rFonts w:eastAsia="黑体" w:cs="Times New Roman"/>
                <w:color w:val="000000"/>
                <w:kern w:val="0"/>
                <w:sz w:val="24"/>
              </w:rPr>
              <w:t>检查内容</w:t>
            </w:r>
          </w:p>
        </w:tc>
        <w:tc>
          <w:tcPr>
            <w:tcW w:w="1400" w:type="dxa"/>
            <w:gridSpan w:val="2"/>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color w:val="000000"/>
                <w:kern w:val="0"/>
                <w:sz w:val="24"/>
              </w:rPr>
            </w:pPr>
            <w:r>
              <w:rPr>
                <w:rFonts w:eastAsia="黑体" w:cs="Times New Roman"/>
                <w:color w:val="000000"/>
                <w:kern w:val="0"/>
                <w:sz w:val="24"/>
              </w:rPr>
              <w:t>判定</w:t>
            </w:r>
          </w:p>
        </w:tc>
        <w:tc>
          <w:tcPr>
            <w:tcW w:w="1287"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color w:val="000000"/>
                <w:kern w:val="0"/>
                <w:sz w:val="24"/>
              </w:rPr>
            </w:pPr>
            <w:r>
              <w:rPr>
                <w:rFonts w:eastAsia="黑体" w:cs="Times New Roman"/>
                <w:color w:val="000000"/>
                <w:kern w:val="0"/>
                <w:sz w:val="24"/>
              </w:rPr>
              <w:t>措施</w:t>
            </w: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w:t>
            </w:r>
          </w:p>
        </w:tc>
        <w:tc>
          <w:tcPr>
            <w:tcW w:w="120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安全生产依法经营</w:t>
            </w: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企业是否依法取得安全生产相关证照和许可。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上报无营业执照的，补录未在系统中的</w:t>
            </w: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w:t>
            </w:r>
          </w:p>
        </w:tc>
        <w:tc>
          <w:tcPr>
            <w:tcW w:w="120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是否在应急管理局信息系统中登记有关信息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责任制</w:t>
            </w: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有没有全员安全生产责任制。</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记录并要求整改</w:t>
            </w: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安全投入</w:t>
            </w: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有没有一个年度内的安全生产费用使用的票据、记录</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记录并要求整改</w:t>
            </w: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教育培训</w:t>
            </w: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有没有一个年度内的教育培训记录，记录中有没有培训内容，有没有参加培训人员的签字。</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记录并要求整改</w:t>
            </w: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风险分级管控</w:t>
            </w: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是否开展了风险辨识，有没有风险辨识清单，有没有风险管控措施文本。</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记录并要求整改</w:t>
            </w: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隐患排查</w:t>
            </w: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有没有每月的安全检查记录，查出的隐患，有没有整改治理的记录。</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记录并要求整改</w:t>
            </w: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预案演练</w:t>
            </w: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有没有应急救援预案，有没有一个年度内的应急演练记录。</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记录并要求整改</w:t>
            </w: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9</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外包作业</w:t>
            </w: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现场发现的外包作业有没有签订安全生产协议并明确双方安全生产责任，有没有统一协调管理并定期安全检查。</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及时制止并上报</w:t>
            </w:r>
          </w:p>
        </w:tc>
      </w:tr>
      <w:tr w:rsidR="002B1DF7">
        <w:trPr>
          <w:trHeight w:val="794"/>
          <w:jc w:val="center"/>
        </w:trPr>
        <w:tc>
          <w:tcPr>
            <w:tcW w:w="562"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10</w:t>
            </w:r>
          </w:p>
        </w:tc>
        <w:tc>
          <w:tcPr>
            <w:tcW w:w="120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危险作业</w:t>
            </w:r>
          </w:p>
        </w:tc>
        <w:tc>
          <w:tcPr>
            <w:tcW w:w="461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现场发现的危险作业有没有办理审批手续，有没有专人现场管理。</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是</w:t>
            </w:r>
          </w:p>
        </w:tc>
        <w:tc>
          <w:tcPr>
            <w:tcW w:w="700"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否</w:t>
            </w:r>
          </w:p>
        </w:tc>
        <w:tc>
          <w:tcPr>
            <w:tcW w:w="128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及时制止并上报</w:t>
            </w:r>
          </w:p>
        </w:tc>
      </w:tr>
    </w:tbl>
    <w:p w:rsidR="002B1DF7" w:rsidRDefault="002B1DF7" w:rsidP="00B94E46">
      <w:pPr>
        <w:overflowPunct w:val="0"/>
        <w:autoSpaceDE w:val="0"/>
        <w:autoSpaceDN w:val="0"/>
        <w:spacing w:line="560" w:lineRule="exact"/>
        <w:ind w:firstLineChars="1375" w:firstLine="4677"/>
        <w:jc w:val="center"/>
        <w:outlineLvl w:val="1"/>
        <w:rPr>
          <w:rFonts w:eastAsia="仿宋_GB2312" w:cs="Times New Roman"/>
          <w:snapToGrid w:val="0"/>
          <w:kern w:val="0"/>
          <w:szCs w:val="32"/>
        </w:rPr>
      </w:pPr>
    </w:p>
    <w:p w:rsidR="002B1DF7" w:rsidRDefault="002B1DF7">
      <w:pPr>
        <w:widowControl/>
        <w:jc w:val="left"/>
        <w:rPr>
          <w:rFonts w:eastAsia="仿宋_GB2312" w:cs="Times New Roman"/>
          <w:snapToGrid w:val="0"/>
          <w:kern w:val="0"/>
          <w:szCs w:val="32"/>
        </w:rPr>
        <w:sectPr w:rsidR="002B1DF7">
          <w:footerReference w:type="even" r:id="rId7"/>
          <w:footerReference w:type="default" r:id="rId8"/>
          <w:pgSz w:w="11906" w:h="16838"/>
          <w:pgMar w:top="1814" w:right="1531" w:bottom="1985" w:left="1531" w:header="720" w:footer="1474" w:gutter="0"/>
          <w:cols w:space="0"/>
          <w:docGrid w:type="linesAndChars" w:linePitch="501" w:charSpace="4127"/>
        </w:sectPr>
      </w:pPr>
    </w:p>
    <w:p w:rsidR="002B1DF7" w:rsidRDefault="000216A1">
      <w:pPr>
        <w:widowControl/>
        <w:tabs>
          <w:tab w:val="left" w:pos="1173"/>
          <w:tab w:val="left" w:pos="2253"/>
          <w:tab w:val="left" w:pos="7233"/>
          <w:tab w:val="left" w:pos="8093"/>
          <w:tab w:val="left" w:pos="8813"/>
        </w:tabs>
        <w:spacing w:line="500" w:lineRule="exact"/>
        <w:jc w:val="left"/>
        <w:rPr>
          <w:rFonts w:eastAsia="黑体" w:cs="Times New Roman"/>
          <w:bCs/>
          <w:color w:val="333333"/>
          <w:kern w:val="0"/>
          <w:szCs w:val="32"/>
        </w:rPr>
      </w:pPr>
      <w:r>
        <w:rPr>
          <w:rFonts w:eastAsia="黑体" w:cs="Times New Roman"/>
          <w:bCs/>
          <w:color w:val="333333"/>
          <w:kern w:val="0"/>
          <w:szCs w:val="32"/>
        </w:rPr>
        <w:lastRenderedPageBreak/>
        <w:t>附件</w:t>
      </w:r>
      <w:r>
        <w:rPr>
          <w:rFonts w:eastAsia="黑体" w:cs="Times New Roman"/>
          <w:bCs/>
          <w:color w:val="333333"/>
          <w:kern w:val="0"/>
          <w:szCs w:val="32"/>
        </w:rPr>
        <w:t>4</w:t>
      </w:r>
      <w:r>
        <w:rPr>
          <w:rFonts w:eastAsia="黑体" w:cs="Times New Roman"/>
          <w:bCs/>
          <w:color w:val="333333"/>
          <w:kern w:val="0"/>
          <w:szCs w:val="32"/>
        </w:rPr>
        <w:tab/>
      </w:r>
      <w:r>
        <w:rPr>
          <w:rFonts w:eastAsia="黑体" w:cs="Times New Roman"/>
          <w:bCs/>
          <w:color w:val="333333"/>
          <w:kern w:val="0"/>
          <w:szCs w:val="32"/>
        </w:rPr>
        <w:tab/>
      </w:r>
      <w:r>
        <w:rPr>
          <w:rFonts w:eastAsia="黑体" w:cs="Times New Roman"/>
          <w:bCs/>
          <w:color w:val="333333"/>
          <w:kern w:val="0"/>
          <w:szCs w:val="32"/>
        </w:rPr>
        <w:tab/>
      </w:r>
    </w:p>
    <w:p w:rsidR="002B1DF7" w:rsidRDefault="000216A1">
      <w:pPr>
        <w:widowControl/>
        <w:spacing w:line="560" w:lineRule="exact"/>
        <w:ind w:left="91"/>
        <w:jc w:val="center"/>
        <w:rPr>
          <w:rFonts w:eastAsia="方正小标宋简体" w:cs="Times New Roman"/>
          <w:color w:val="000000"/>
          <w:kern w:val="0"/>
          <w:sz w:val="44"/>
          <w:szCs w:val="44"/>
        </w:rPr>
      </w:pPr>
      <w:r>
        <w:rPr>
          <w:rFonts w:eastAsia="方正小标宋简体" w:cs="Times New Roman"/>
          <w:color w:val="000000"/>
          <w:kern w:val="0"/>
          <w:sz w:val="44"/>
          <w:szCs w:val="44"/>
        </w:rPr>
        <w:t>常州市工业企业安全生产检查纲要</w:t>
      </w:r>
    </w:p>
    <w:p w:rsidR="002B1DF7" w:rsidRDefault="000216A1">
      <w:pPr>
        <w:widowControl/>
        <w:spacing w:before="120" w:line="560" w:lineRule="exact"/>
        <w:ind w:left="91"/>
        <w:jc w:val="center"/>
        <w:rPr>
          <w:rFonts w:eastAsia="楷体_GB2312" w:cs="Times New Roman"/>
          <w:color w:val="000000"/>
          <w:kern w:val="0"/>
          <w:szCs w:val="32"/>
        </w:rPr>
      </w:pPr>
      <w:r>
        <w:rPr>
          <w:rFonts w:eastAsia="楷体_GB2312" w:cs="Times New Roman"/>
          <w:color w:val="000000"/>
          <w:kern w:val="0"/>
          <w:szCs w:val="32"/>
        </w:rPr>
        <w:t>（第三方技术服务机构）</w:t>
      </w:r>
    </w:p>
    <w:p w:rsidR="002B1DF7" w:rsidRDefault="002B1DF7">
      <w:pPr>
        <w:widowControl/>
        <w:spacing w:line="480" w:lineRule="exact"/>
        <w:ind w:left="91"/>
        <w:jc w:val="center"/>
        <w:rPr>
          <w:rFonts w:eastAsia="楷体_GB2312" w:cs="Times New Roman"/>
          <w:color w:val="000000"/>
          <w:kern w:val="0"/>
          <w:szCs w:val="32"/>
        </w:rPr>
      </w:pP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717"/>
        <w:gridCol w:w="2254"/>
        <w:gridCol w:w="6929"/>
        <w:gridCol w:w="4275"/>
      </w:tblGrid>
      <w:tr w:rsidR="002B1DF7">
        <w:trPr>
          <w:trHeight w:val="567"/>
          <w:tblHeader/>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color w:val="000000"/>
                <w:kern w:val="0"/>
                <w:sz w:val="24"/>
              </w:rPr>
            </w:pPr>
            <w:r>
              <w:rPr>
                <w:rFonts w:eastAsia="黑体" w:cs="Times New Roman"/>
                <w:color w:val="000000"/>
                <w:kern w:val="0"/>
                <w:sz w:val="24"/>
              </w:rPr>
              <w:t>序号</w:t>
            </w:r>
          </w:p>
        </w:tc>
        <w:tc>
          <w:tcPr>
            <w:tcW w:w="2254"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color w:val="000000"/>
                <w:kern w:val="0"/>
                <w:sz w:val="24"/>
              </w:rPr>
            </w:pPr>
            <w:r>
              <w:rPr>
                <w:rFonts w:eastAsia="黑体" w:cs="Times New Roman"/>
                <w:color w:val="000000"/>
                <w:kern w:val="0"/>
                <w:sz w:val="24"/>
              </w:rPr>
              <w:t>核心要素</w:t>
            </w:r>
          </w:p>
        </w:tc>
        <w:tc>
          <w:tcPr>
            <w:tcW w:w="6929"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color w:val="000000"/>
                <w:kern w:val="0"/>
                <w:sz w:val="24"/>
              </w:rPr>
            </w:pPr>
            <w:r>
              <w:rPr>
                <w:rFonts w:eastAsia="黑体" w:cs="Times New Roman"/>
                <w:color w:val="000000"/>
                <w:kern w:val="0"/>
                <w:sz w:val="24"/>
              </w:rPr>
              <w:t>检查内容</w:t>
            </w:r>
          </w:p>
        </w:tc>
        <w:tc>
          <w:tcPr>
            <w:tcW w:w="4275" w:type="dxa"/>
            <w:shd w:val="clear" w:color="auto" w:fill="auto"/>
            <w:vAlign w:val="center"/>
          </w:tcPr>
          <w:p w:rsidR="002B1DF7" w:rsidRDefault="000216A1">
            <w:pPr>
              <w:widowControl/>
              <w:adjustRightInd w:val="0"/>
              <w:snapToGrid w:val="0"/>
              <w:spacing w:line="320" w:lineRule="exact"/>
              <w:ind w:left="-57" w:right="-57"/>
              <w:jc w:val="center"/>
              <w:rPr>
                <w:rFonts w:eastAsia="黑体" w:cs="Times New Roman"/>
                <w:color w:val="000000"/>
                <w:kern w:val="0"/>
                <w:sz w:val="24"/>
              </w:rPr>
            </w:pPr>
            <w:r>
              <w:rPr>
                <w:rFonts w:eastAsia="黑体" w:cs="Times New Roman"/>
                <w:color w:val="000000"/>
                <w:kern w:val="0"/>
                <w:sz w:val="24"/>
              </w:rPr>
              <w:t>市局信息化要求</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安全生产依法经营</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企业是否依法取得安全生产相关证照和许可</w:t>
            </w:r>
          </w:p>
        </w:tc>
        <w:tc>
          <w:tcPr>
            <w:tcW w:w="4275" w:type="dxa"/>
            <w:vMerge w:val="restart"/>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对比市局信息系统</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矿山企业依法取得安全生产许可证。</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生产经营单位不得使用应当淘汰的危及生产安全的工艺、设备。</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落实企业法定代表人和实际控制人的第一责任</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企业董事长、总经理等法定代表人和实际控制人是否为安全生产第一责任人</w:t>
            </w:r>
          </w:p>
        </w:tc>
        <w:tc>
          <w:tcPr>
            <w:tcW w:w="4275" w:type="dxa"/>
            <w:vMerge w:val="restart"/>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在常州市安全生产监督管理信息系统企业文件柜中，如实、实时填报有关基本信息</w:t>
            </w: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企业安全生产第一责任人关键时间节点是否在岗在位、盯牢现场。</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企业安全生产第一责任人是否经常深入一线检查安全生产工作。</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4. </w:t>
            </w:r>
            <w:r>
              <w:rPr>
                <w:rFonts w:eastAsia="仿宋_GB2312" w:cs="Times New Roman"/>
                <w:color w:val="000000"/>
                <w:kern w:val="0"/>
                <w:sz w:val="24"/>
              </w:rPr>
              <w:t>企业安全生产第一责任人是否每年至少一次向职工大会或职工代表大会、股东会或股东大会报告安全生产情况。</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5. </w:t>
            </w:r>
            <w:r>
              <w:rPr>
                <w:rFonts w:eastAsia="仿宋_GB2312" w:cs="Times New Roman"/>
                <w:color w:val="000000"/>
                <w:kern w:val="0"/>
                <w:sz w:val="24"/>
              </w:rPr>
              <w:t>是否建立完善企业安全承诺制度，并向社会和全体员工公开。</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9</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安全生产组织架构</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是否按照《江苏省安全生产条例》设置安全生产管理机构或配备专职安全生产管理人员；</w:t>
            </w:r>
          </w:p>
        </w:tc>
        <w:tc>
          <w:tcPr>
            <w:tcW w:w="4275" w:type="dxa"/>
            <w:vMerge w:val="restart"/>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在常州市安全生产监督管理信息系统企业文件柜中，如实、实时填报安全生产管理机构、安全管理人员、安全总监相关信息；系统关联展示企业从业人员培训、考核、取证情况。</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10</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矿山、金属冶炼、粉尘涉爆、涉氨制冷等行业和领域内达到一定规模的生产经营单位推行安全总监制度；</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11</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矿山、金属冶炼企业依法配备注册安全工程师，</w:t>
            </w:r>
            <w:r>
              <w:rPr>
                <w:rFonts w:eastAsia="仿宋_GB2312" w:cs="Times New Roman" w:hint="eastAsia"/>
                <w:color w:val="000000"/>
                <w:kern w:val="0"/>
                <w:sz w:val="24"/>
              </w:rPr>
              <w:t>鼓励</w:t>
            </w:r>
            <w:r>
              <w:rPr>
                <w:rFonts w:eastAsia="仿宋_GB2312" w:cs="Times New Roman"/>
                <w:color w:val="000000"/>
                <w:kern w:val="0"/>
                <w:sz w:val="24"/>
              </w:rPr>
              <w:t>其他生产经营单位聘用注册安全工程师从事安全生产管理工作；</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12</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4. </w:t>
            </w:r>
            <w:r>
              <w:rPr>
                <w:rFonts w:eastAsia="仿宋_GB2312" w:cs="Times New Roman"/>
                <w:color w:val="000000"/>
                <w:kern w:val="0"/>
                <w:sz w:val="24"/>
              </w:rPr>
              <w:t>矿山、金属冶炼单位的安全生产管理人员的任免，告知主管的负有安全生产监督管理职责的部门。</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13</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5. </w:t>
            </w:r>
            <w:r>
              <w:rPr>
                <w:rFonts w:eastAsia="仿宋_GB2312" w:cs="Times New Roman"/>
                <w:color w:val="000000"/>
                <w:kern w:val="0"/>
                <w:sz w:val="24"/>
              </w:rPr>
              <w:t>重点行业领域企业是否建立安全生产技术和管理团队，建立方式为：自身培养、市场化机制。</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14</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安全生产责任体系</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建立健全全员安全生产责任制，明确各岗位的责任人员、责任范围和考核标准等内容</w:t>
            </w:r>
          </w:p>
        </w:tc>
        <w:tc>
          <w:tcPr>
            <w:tcW w:w="4275" w:type="dxa"/>
            <w:vMerge w:val="restart"/>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非煤矿山、冶金等工贸企业在常州市安全生产监督管理信息系统中建立完善安全生产诚信承诺及信息公示制度。</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15</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对全员安全生产责任制落实情况的监督考核，保证全员安全生产责任制的落实；</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16</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主要负责人、安全生产管理机构和安全管理人员按照法定要求履行安全生产职责；</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17</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4.</w:t>
            </w:r>
            <w:r>
              <w:rPr>
                <w:rFonts w:eastAsia="仿宋_GB2312" w:cs="Times New Roman"/>
                <w:color w:val="000000"/>
                <w:kern w:val="0"/>
                <w:sz w:val="24"/>
              </w:rPr>
              <w:t>建立健全安全生产规章制度和安全操作规程。</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18</w:t>
            </w:r>
          </w:p>
        </w:tc>
        <w:tc>
          <w:tcPr>
            <w:tcW w:w="225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安全生产教育培训</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制定、实施安全培训制度、年度培训计划、安全培训管理档案；</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w:t>
            </w:r>
            <w:r>
              <w:rPr>
                <w:rFonts w:eastAsia="仿宋_GB2312" w:cs="Times New Roman"/>
                <w:color w:val="000000"/>
                <w:kern w:val="0"/>
                <w:sz w:val="24"/>
              </w:rPr>
              <w:t>三项岗位</w:t>
            </w:r>
            <w:r>
              <w:rPr>
                <w:rFonts w:eastAsia="仿宋_GB2312" w:cs="Times New Roman"/>
                <w:color w:val="000000"/>
                <w:kern w:val="0"/>
                <w:sz w:val="24"/>
              </w:rPr>
              <w:t>”</w:t>
            </w:r>
            <w:r>
              <w:rPr>
                <w:rFonts w:eastAsia="仿宋_GB2312" w:cs="Times New Roman"/>
                <w:color w:val="000000"/>
                <w:kern w:val="0"/>
                <w:sz w:val="24"/>
              </w:rPr>
              <w:t>人员、一般工贸企业主要负责人和安全管理人员、高危行业领域从业人员通过常州市安全生产教育培训考核系统进行培训，提升安全知识能力水平；培训考核结果关联至企业文件柜。</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19</w:t>
            </w:r>
          </w:p>
        </w:tc>
        <w:tc>
          <w:tcPr>
            <w:tcW w:w="2254" w:type="dxa"/>
            <w:vMerge w:val="restart"/>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主要负责人、安全生产管理人员经过安全培训并考核合格；</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金属冶炼、粉尘涉爆、涉氨制冷等高危行业企业班组长，有限空间作业负责人、作业人员、监护人员、救援人员通过常州市安全生产教育培训考核系统参加轮训。</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20</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特种作业人员经安全培训考核通过后持证上岗；</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21</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4. </w:t>
            </w:r>
            <w:r>
              <w:rPr>
                <w:rFonts w:eastAsia="仿宋_GB2312" w:cs="Times New Roman"/>
                <w:color w:val="000000"/>
                <w:kern w:val="0"/>
                <w:sz w:val="24"/>
              </w:rPr>
              <w:t>对从业人员、被派遣劳动者、实习学生开展安全生产教育培训，提高安全生产技能，增强事故预防和应急处理能力；</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22</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5. </w:t>
            </w:r>
            <w:r>
              <w:rPr>
                <w:rFonts w:eastAsia="仿宋_GB2312" w:cs="Times New Roman"/>
                <w:color w:val="000000"/>
                <w:kern w:val="0"/>
                <w:sz w:val="24"/>
              </w:rPr>
              <w:t>对新入职员工开展岗前安全教育培训；</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23</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6. </w:t>
            </w:r>
            <w:r>
              <w:rPr>
                <w:rFonts w:eastAsia="仿宋_GB2312" w:cs="Times New Roman"/>
                <w:color w:val="000000"/>
                <w:kern w:val="0"/>
                <w:sz w:val="24"/>
              </w:rPr>
              <w:t>应用新工艺、新技术、新材料、新设备以及转岗前对从业人员安全培训；</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24</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7. </w:t>
            </w:r>
            <w:r>
              <w:rPr>
                <w:rFonts w:eastAsia="仿宋_GB2312" w:cs="Times New Roman"/>
                <w:color w:val="000000"/>
                <w:kern w:val="0"/>
                <w:sz w:val="24"/>
              </w:rPr>
              <w:t>如实记录安全生产教育培训情况（时间、内容、参加人员、考核结果等）。</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25</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隐患排查治理、工业企业较大以上风险报告</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构建安全风险分级管控和隐患排查治理双重预防机制，健全风险防范化解机制；</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对辨识出的四类风险，在常州市工业企业安全生产风险管控系统中登记录入</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26</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建立安全风险分级管控制度，按照安全风险分级采取相应的管控措施；</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对辨识出的</w:t>
            </w:r>
            <w:r>
              <w:rPr>
                <w:rFonts w:eastAsia="仿宋_GB2312" w:cs="Times New Roman"/>
                <w:color w:val="000000"/>
                <w:kern w:val="0"/>
                <w:sz w:val="24"/>
              </w:rPr>
              <w:t>“</w:t>
            </w:r>
            <w:r>
              <w:rPr>
                <w:rFonts w:eastAsia="仿宋_GB2312" w:cs="Times New Roman"/>
                <w:color w:val="000000"/>
                <w:kern w:val="0"/>
                <w:sz w:val="24"/>
              </w:rPr>
              <w:t>四类风险</w:t>
            </w:r>
            <w:r>
              <w:rPr>
                <w:rFonts w:eastAsia="仿宋_GB2312" w:cs="Times New Roman"/>
                <w:color w:val="000000"/>
                <w:kern w:val="0"/>
                <w:sz w:val="24"/>
              </w:rPr>
              <w:t>”</w:t>
            </w:r>
            <w:r>
              <w:rPr>
                <w:rFonts w:eastAsia="仿宋_GB2312" w:cs="Times New Roman"/>
                <w:color w:val="000000"/>
                <w:kern w:val="0"/>
                <w:sz w:val="24"/>
              </w:rPr>
              <w:t>要通过市风险管控系统功能形成岗位风险告知卡与</w:t>
            </w:r>
            <w:r>
              <w:rPr>
                <w:rFonts w:eastAsia="仿宋_GB2312" w:cs="Times New Roman"/>
                <w:color w:val="000000"/>
                <w:kern w:val="0"/>
                <w:sz w:val="24"/>
              </w:rPr>
              <w:t>“</w:t>
            </w:r>
            <w:r>
              <w:rPr>
                <w:rFonts w:eastAsia="仿宋_GB2312" w:cs="Times New Roman"/>
                <w:color w:val="000000"/>
                <w:kern w:val="0"/>
                <w:sz w:val="24"/>
              </w:rPr>
              <w:t>常安码</w:t>
            </w:r>
            <w:r>
              <w:rPr>
                <w:rFonts w:eastAsia="仿宋_GB2312" w:cs="Times New Roman"/>
                <w:color w:val="000000"/>
                <w:kern w:val="0"/>
                <w:sz w:val="24"/>
              </w:rPr>
              <w:t>”</w:t>
            </w:r>
            <w:r>
              <w:rPr>
                <w:rFonts w:eastAsia="仿宋_GB2312" w:cs="Times New Roman"/>
                <w:color w:val="000000"/>
                <w:kern w:val="0"/>
                <w:sz w:val="24"/>
              </w:rPr>
              <w:t>，张贴在岗位或风险点的明显位置，风险告知卡要标明风险名称、可能导致的事故类型及其后果、主要管控措施、应急措施、现场照片、管控责任部门和责任人等内容。</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27</w:t>
            </w:r>
          </w:p>
        </w:tc>
        <w:tc>
          <w:tcPr>
            <w:tcW w:w="2254" w:type="dxa"/>
            <w:vMerge w:val="restart"/>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建立健全并落实生产安全事故隐患排查治理和建档监控等制度，采取技术、管理措施，及时发现并消除事故隐患；</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28</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4. </w:t>
            </w:r>
            <w:r>
              <w:rPr>
                <w:rFonts w:eastAsia="仿宋_GB2312" w:cs="Times New Roman"/>
                <w:color w:val="000000"/>
                <w:kern w:val="0"/>
                <w:sz w:val="24"/>
              </w:rPr>
              <w:t>定期组织安全生产管理人员、工程技术人员和其他相关人员排查本单位的事故隐患。对排查出的事故隐患，应当按照事故隐患的等级进行登记，建立事故隐患信息档案，并按照职责分工实施监控治理；</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29</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5. </w:t>
            </w:r>
            <w:r>
              <w:rPr>
                <w:rFonts w:eastAsia="仿宋_GB2312" w:cs="Times New Roman"/>
                <w:color w:val="000000"/>
                <w:kern w:val="0"/>
                <w:sz w:val="24"/>
              </w:rPr>
              <w:t>事故隐患排查治理情况应当如实记录，并通过职工大会或者职工代表大会、信息公示栏等方式向从业人员通报，重大事故隐患排查治理情况应当及时向负有安全生产监督管理职责的部门和职工大会或者职工代表大会报告；</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30</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6. </w:t>
            </w:r>
            <w:r>
              <w:rPr>
                <w:rFonts w:eastAsia="仿宋_GB2312" w:cs="Times New Roman"/>
                <w:color w:val="000000"/>
                <w:kern w:val="0"/>
                <w:sz w:val="24"/>
              </w:rPr>
              <w:t>每季、每年对本单位事故隐患排查治理情况进行统计分析，并分别于下一季度</w:t>
            </w:r>
            <w:r>
              <w:rPr>
                <w:rFonts w:eastAsia="仿宋_GB2312" w:cs="Times New Roman"/>
                <w:color w:val="000000"/>
                <w:kern w:val="0"/>
                <w:sz w:val="24"/>
              </w:rPr>
              <w:t>15</w:t>
            </w:r>
            <w:r>
              <w:rPr>
                <w:rFonts w:eastAsia="仿宋_GB2312" w:cs="Times New Roman"/>
                <w:color w:val="000000"/>
                <w:kern w:val="0"/>
                <w:sz w:val="24"/>
              </w:rPr>
              <w:t>日前和下一年</w:t>
            </w:r>
            <w:r>
              <w:rPr>
                <w:rFonts w:eastAsia="仿宋_GB2312" w:cs="Times New Roman"/>
                <w:color w:val="000000"/>
                <w:kern w:val="0"/>
                <w:sz w:val="24"/>
              </w:rPr>
              <w:t>1</w:t>
            </w:r>
            <w:r>
              <w:rPr>
                <w:rFonts w:eastAsia="仿宋_GB2312" w:cs="Times New Roman"/>
                <w:color w:val="000000"/>
                <w:kern w:val="0"/>
                <w:sz w:val="24"/>
              </w:rPr>
              <w:t>月</w:t>
            </w:r>
            <w:r>
              <w:rPr>
                <w:rFonts w:eastAsia="仿宋_GB2312" w:cs="Times New Roman"/>
                <w:color w:val="000000"/>
                <w:kern w:val="0"/>
                <w:sz w:val="24"/>
              </w:rPr>
              <w:t>31</w:t>
            </w:r>
            <w:r>
              <w:rPr>
                <w:rFonts w:eastAsia="仿宋_GB2312" w:cs="Times New Roman"/>
                <w:color w:val="000000"/>
                <w:kern w:val="0"/>
                <w:sz w:val="24"/>
              </w:rPr>
              <w:t>日前向安全监管监察部门和有关部门报送书面统计分析表；</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31</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7. </w:t>
            </w:r>
            <w:r>
              <w:rPr>
                <w:rFonts w:eastAsia="仿宋_GB2312" w:cs="Times New Roman"/>
                <w:color w:val="000000"/>
                <w:kern w:val="0"/>
                <w:sz w:val="24"/>
              </w:rPr>
              <w:t>对于重大事故隐患，由生产经营单位主要负责人组织制定并实施事故隐患治理方案，重大事故隐患治理流程按照《关于进一步规范工贸行业重大生产安全事故隐患检查及整改工作的指导意见》（常应急〔</w:t>
            </w:r>
            <w:r>
              <w:rPr>
                <w:rFonts w:eastAsia="仿宋_GB2312" w:cs="Times New Roman"/>
                <w:color w:val="000000"/>
                <w:kern w:val="0"/>
                <w:sz w:val="24"/>
              </w:rPr>
              <w:t>2021</w:t>
            </w:r>
            <w:r>
              <w:rPr>
                <w:rFonts w:eastAsia="仿宋_GB2312" w:cs="Times New Roman"/>
                <w:color w:val="000000"/>
                <w:kern w:val="0"/>
                <w:sz w:val="24"/>
              </w:rPr>
              <w:t>〕</w:t>
            </w:r>
            <w:r>
              <w:rPr>
                <w:rFonts w:eastAsia="仿宋_GB2312" w:cs="Times New Roman"/>
                <w:color w:val="000000"/>
                <w:kern w:val="0"/>
                <w:sz w:val="24"/>
              </w:rPr>
              <w:t>18</w:t>
            </w:r>
            <w:r>
              <w:rPr>
                <w:rFonts w:eastAsia="仿宋_GB2312" w:cs="Times New Roman"/>
                <w:color w:val="000000"/>
                <w:kern w:val="0"/>
                <w:sz w:val="24"/>
              </w:rPr>
              <w:t>号）执行；</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32</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8. </w:t>
            </w:r>
            <w:r>
              <w:rPr>
                <w:rFonts w:eastAsia="仿宋_GB2312" w:cs="Times New Roman"/>
                <w:color w:val="000000"/>
                <w:kern w:val="0"/>
                <w:sz w:val="24"/>
              </w:rPr>
              <w:t>制定安全风险辨识管控制度，确定符合本单位安全生产实际的辨识方法和程序，明确分级管控职责分工及其责任制考核奖惩办法；</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33</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9. </w:t>
            </w:r>
            <w:r>
              <w:rPr>
                <w:rFonts w:eastAsia="仿宋_GB2312" w:cs="Times New Roman"/>
                <w:color w:val="000000"/>
                <w:kern w:val="0"/>
                <w:sz w:val="24"/>
              </w:rPr>
              <w:t>企业应当建立安全风险管控清单并持续更新；对安全风险管控措施落实情况进行经常性检查；</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34</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10. </w:t>
            </w:r>
            <w:r>
              <w:rPr>
                <w:rFonts w:eastAsia="仿宋_GB2312" w:cs="Times New Roman"/>
                <w:color w:val="000000"/>
                <w:kern w:val="0"/>
                <w:sz w:val="24"/>
              </w:rPr>
              <w:t>通过公示栏公示较大以上安全风险的名称、所处位置、可能导致的事故类型及其后果、管控责任部门和监督举报电话等基本情况；</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35</w:t>
            </w:r>
          </w:p>
        </w:tc>
        <w:tc>
          <w:tcPr>
            <w:tcW w:w="2254" w:type="dxa"/>
            <w:vMerge w:val="restart"/>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11. </w:t>
            </w:r>
            <w:r>
              <w:rPr>
                <w:rFonts w:eastAsia="仿宋_GB2312" w:cs="Times New Roman"/>
                <w:color w:val="000000"/>
                <w:kern w:val="0"/>
                <w:sz w:val="24"/>
              </w:rPr>
              <w:t>在重大安全风险区域醒目位置设置安全风险警示牌，标明重大安全风险名称、可能导致的事故类型及其后果、主要管控措施、应急措施、报告方式、管控责任部门和责任人等内容；</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36</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12. </w:t>
            </w:r>
            <w:r>
              <w:rPr>
                <w:rFonts w:eastAsia="仿宋_GB2312" w:cs="Times New Roman"/>
                <w:color w:val="000000"/>
                <w:kern w:val="0"/>
                <w:sz w:val="24"/>
              </w:rPr>
              <w:t>将安全风险辨识管控纳入年度安全生产教育培训计划并组织实施，定期开展安全风险辨识管控知识教育和技能培训，提高全员安全风险辨识管控意识和管控能力；</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37</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13. </w:t>
            </w:r>
            <w:r>
              <w:rPr>
                <w:rFonts w:eastAsia="仿宋_GB2312" w:cs="Times New Roman"/>
                <w:color w:val="000000"/>
                <w:kern w:val="0"/>
                <w:sz w:val="24"/>
              </w:rPr>
              <w:t>建立安全风险档案；</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38</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14. </w:t>
            </w:r>
            <w:r>
              <w:rPr>
                <w:rFonts w:eastAsia="仿宋_GB2312" w:cs="Times New Roman"/>
                <w:color w:val="000000"/>
                <w:kern w:val="0"/>
                <w:sz w:val="24"/>
              </w:rPr>
              <w:t>通过全省统一的安全风险网上报告系统按期、如实报告较大以上安全风险；</w:t>
            </w:r>
          </w:p>
        </w:tc>
        <w:tc>
          <w:tcPr>
            <w:tcW w:w="4275" w:type="dxa"/>
            <w:shd w:val="clear" w:color="auto" w:fill="auto"/>
            <w:noWrap/>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39</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15. </w:t>
            </w:r>
            <w:r>
              <w:rPr>
                <w:rFonts w:eastAsia="仿宋_GB2312" w:cs="Times New Roman"/>
                <w:color w:val="000000"/>
                <w:kern w:val="0"/>
                <w:sz w:val="24"/>
              </w:rPr>
              <w:t>企业是否于每年第一季度完成安全风险定期报告</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40</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16. </w:t>
            </w:r>
            <w:r>
              <w:rPr>
                <w:rFonts w:eastAsia="仿宋_GB2312" w:cs="Times New Roman"/>
                <w:color w:val="000000"/>
                <w:kern w:val="0"/>
                <w:sz w:val="24"/>
              </w:rPr>
              <w:t>企业是否定期组织专家或委托第三方技术服务机构开展安全检测和检查。</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41</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危险作业安全管理</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企业是否加强危险作业安全管理，制定专项安全管理制度和措施。</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42</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企业是否组织对危险作业事项进行排查和风险分析，并进行技术交底、人员培训。</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43</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进行危险作业时，企业是否安排专人进行现场安全管理。</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1125"/>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44</w:t>
            </w:r>
          </w:p>
        </w:tc>
        <w:tc>
          <w:tcPr>
            <w:tcW w:w="225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w:t>
            </w:r>
            <w:r>
              <w:rPr>
                <w:rFonts w:eastAsia="仿宋_GB2312" w:cs="Times New Roman"/>
                <w:color w:val="000000"/>
                <w:kern w:val="0"/>
                <w:sz w:val="24"/>
              </w:rPr>
              <w:t>“</w:t>
            </w:r>
            <w:r>
              <w:rPr>
                <w:rFonts w:eastAsia="仿宋_GB2312" w:cs="Times New Roman"/>
                <w:color w:val="000000"/>
                <w:kern w:val="0"/>
                <w:sz w:val="24"/>
              </w:rPr>
              <w:t>三同时</w:t>
            </w:r>
            <w:r>
              <w:rPr>
                <w:rFonts w:eastAsia="仿宋_GB2312" w:cs="Times New Roman"/>
                <w:color w:val="000000"/>
                <w:kern w:val="0"/>
                <w:sz w:val="24"/>
              </w:rPr>
              <w:t>”</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新建、改建、扩建工程项目的安全设施，必须与主体工程同时设计、同时施工、同时投入生产和使用，安全设施投资应当纳入建设项目概算；</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在常州市安全生产监督管理信息系统企业文件柜中如实、实时填报安全生产</w:t>
            </w:r>
            <w:r>
              <w:rPr>
                <w:rFonts w:eastAsia="仿宋_GB2312" w:cs="Times New Roman"/>
                <w:color w:val="000000"/>
                <w:kern w:val="0"/>
                <w:sz w:val="24"/>
              </w:rPr>
              <w:t>“</w:t>
            </w:r>
            <w:r>
              <w:rPr>
                <w:rFonts w:eastAsia="仿宋_GB2312" w:cs="Times New Roman"/>
                <w:color w:val="000000"/>
                <w:kern w:val="0"/>
                <w:sz w:val="24"/>
              </w:rPr>
              <w:t>三同时</w:t>
            </w:r>
            <w:r>
              <w:rPr>
                <w:rFonts w:eastAsia="仿宋_GB2312" w:cs="Times New Roman"/>
                <w:color w:val="000000"/>
                <w:kern w:val="0"/>
                <w:sz w:val="24"/>
              </w:rPr>
              <w:t>”</w:t>
            </w:r>
            <w:r>
              <w:rPr>
                <w:rFonts w:eastAsia="仿宋_GB2312" w:cs="Times New Roman"/>
                <w:color w:val="000000"/>
                <w:kern w:val="0"/>
                <w:sz w:val="24"/>
              </w:rPr>
              <w:t>手续履行情况。</w:t>
            </w: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45</w:t>
            </w:r>
          </w:p>
        </w:tc>
        <w:tc>
          <w:tcPr>
            <w:tcW w:w="2254" w:type="dxa"/>
            <w:vMerge w:val="restart"/>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非煤矿山建设项目、金属冶炼建设项目在进行可行性研究时，进行安全预评价；其他建设项目，由生产经营单位对其安全生产条件和设施进行综合分析，形成书面报告备查；</w:t>
            </w:r>
          </w:p>
        </w:tc>
        <w:tc>
          <w:tcPr>
            <w:tcW w:w="4275" w:type="dxa"/>
            <w:vMerge w:val="restart"/>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46</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建设项目初步设计时，应当委托有相应资质的设计单位对建设项目安全设施同时进行设计，编制安全设施设计；</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47</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4. </w:t>
            </w:r>
            <w:r>
              <w:rPr>
                <w:rFonts w:eastAsia="仿宋_GB2312" w:cs="Times New Roman"/>
                <w:color w:val="000000"/>
                <w:kern w:val="0"/>
                <w:sz w:val="24"/>
              </w:rPr>
              <w:t>非煤矿山建设项目、金属冶炼建设项目全设施设计完成后，向安全生产监督管理部门提出审查申请；</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48</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5. </w:t>
            </w:r>
            <w:r>
              <w:rPr>
                <w:rFonts w:eastAsia="仿宋_GB2312" w:cs="Times New Roman"/>
                <w:color w:val="000000"/>
                <w:kern w:val="0"/>
                <w:sz w:val="24"/>
              </w:rPr>
              <w:t>建设项目安全设施的施工应当由取得相应资质的施工单位进行，并与建设项目主体工程同时施工；</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49</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6. </w:t>
            </w:r>
            <w:r>
              <w:rPr>
                <w:rFonts w:eastAsia="仿宋_GB2312" w:cs="Times New Roman"/>
                <w:color w:val="000000"/>
                <w:kern w:val="0"/>
                <w:sz w:val="24"/>
              </w:rPr>
              <w:t>建设项目安全设施建成后，应当对安全设施进行检查，对发现的问题及时整改；</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50</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7. </w:t>
            </w:r>
            <w:r>
              <w:rPr>
                <w:rFonts w:eastAsia="仿宋_GB2312" w:cs="Times New Roman"/>
                <w:color w:val="000000"/>
                <w:kern w:val="0"/>
                <w:sz w:val="24"/>
              </w:rPr>
              <w:t>非煤矿山建设项目、金属冶炼建设项目竣工后，根据规定建设项目需要试运行的，在正式投入生产或者使用前进行试运行（</w:t>
            </w:r>
            <w:r>
              <w:rPr>
                <w:rFonts w:eastAsia="仿宋_GB2312" w:cs="Times New Roman"/>
                <w:color w:val="000000"/>
                <w:kern w:val="0"/>
                <w:sz w:val="24"/>
              </w:rPr>
              <w:t>30-180</w:t>
            </w:r>
            <w:r>
              <w:rPr>
                <w:rFonts w:eastAsia="仿宋_GB2312" w:cs="Times New Roman"/>
                <w:color w:val="000000"/>
                <w:kern w:val="0"/>
                <w:sz w:val="24"/>
              </w:rPr>
              <w:t>日）；</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1125"/>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51</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8. </w:t>
            </w:r>
            <w:r>
              <w:rPr>
                <w:rFonts w:eastAsia="仿宋_GB2312" w:cs="Times New Roman"/>
                <w:color w:val="000000"/>
                <w:kern w:val="0"/>
                <w:sz w:val="24"/>
              </w:rPr>
              <w:t>非煤矿山建设项目、金属冶炼建设项目安全设施竣工或者试运行完成后，委托具有相应资质的安全评价机构对安全设施进行验收评价，并编制建设项目安全验收评价报告。</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52</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重大危险源管理</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建立完善重大危险源安全管理规章制度和安全操作规程，并采取有效措施保证其得到执行；</w:t>
            </w:r>
          </w:p>
        </w:tc>
        <w:tc>
          <w:tcPr>
            <w:tcW w:w="4275" w:type="dxa"/>
            <w:vMerge w:val="restart"/>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在常州市危险化学品安全生产风险监测预警系统及时维护重大危险源信息，接入监测信号。</w:t>
            </w:r>
          </w:p>
        </w:tc>
      </w:tr>
      <w:tr w:rsidR="002B1DF7">
        <w:trPr>
          <w:trHeight w:val="73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53</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根据构成重大危险源的危险化学品种类、数量、生产、使用工艺（方式）或者相关设备、设施等实际情况，按要求建立健全安全监测监控体系，完善控制措施；</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54</w:t>
            </w:r>
          </w:p>
        </w:tc>
        <w:tc>
          <w:tcPr>
            <w:tcW w:w="2254" w:type="dxa"/>
            <w:vMerge w:val="restart"/>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定期对重大危险源的安全设施和安全监测监控系统进行检测、检验，并进行经常性维护、保养，保证重大危险源的安全设施和安全监测监控系统有效、可靠运行；</w:t>
            </w:r>
          </w:p>
        </w:tc>
        <w:tc>
          <w:tcPr>
            <w:tcW w:w="4275" w:type="dxa"/>
            <w:vMerge w:val="restart"/>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55</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4. </w:t>
            </w:r>
            <w:r>
              <w:rPr>
                <w:rFonts w:eastAsia="仿宋_GB2312" w:cs="Times New Roman"/>
                <w:color w:val="000000"/>
                <w:kern w:val="0"/>
                <w:sz w:val="24"/>
              </w:rPr>
              <w:t>明确重大危险源中关键装置、重点部位的责任人或者责任机构，并对重大危险源的安全生产状况进行定期检查，及时采取措施消除事故隐患；</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56</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5. </w:t>
            </w:r>
            <w:r>
              <w:rPr>
                <w:rFonts w:eastAsia="仿宋_GB2312" w:cs="Times New Roman"/>
                <w:color w:val="000000"/>
                <w:kern w:val="0"/>
                <w:sz w:val="24"/>
              </w:rPr>
              <w:t>对辨识确认的重大危险源及时、逐项进行登记建档；</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57</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6. </w:t>
            </w:r>
            <w:r>
              <w:rPr>
                <w:rFonts w:eastAsia="仿宋_GB2312" w:cs="Times New Roman"/>
                <w:color w:val="000000"/>
                <w:spacing w:val="-6"/>
                <w:kern w:val="0"/>
                <w:sz w:val="24"/>
              </w:rPr>
              <w:t>完成重大危险源安全评估报告或者安全评价报告后</w:t>
            </w:r>
            <w:r>
              <w:rPr>
                <w:rFonts w:eastAsia="仿宋_GB2312" w:cs="Times New Roman"/>
                <w:color w:val="000000"/>
                <w:spacing w:val="-6"/>
                <w:kern w:val="0"/>
                <w:sz w:val="24"/>
              </w:rPr>
              <w:t>15</w:t>
            </w:r>
            <w:r>
              <w:rPr>
                <w:rFonts w:eastAsia="仿宋_GB2312" w:cs="Times New Roman"/>
                <w:color w:val="000000"/>
                <w:spacing w:val="-6"/>
                <w:kern w:val="0"/>
                <w:sz w:val="24"/>
              </w:rPr>
              <w:t>日内，应当填写重大危险源备案申请表，连同其他重大危险源档案材料，报送所在地县级人民政府安全生产监督管理部门备案。</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58</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企业是否按规定对重大危险源建立健全安全监测监控系统，并与监督部门进行联网。</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59</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安全生产投入</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按照《企业安全生产费用提取和使用管理办法》提取和使用安全生产费用，安全生产费用在成本中据实列支。</w:t>
            </w:r>
          </w:p>
        </w:tc>
        <w:tc>
          <w:tcPr>
            <w:tcW w:w="4275" w:type="dxa"/>
            <w:vMerge w:val="restart"/>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冶金、机械、非金属矿山企业通过常州市企业安全生产费用提取使用管理系统实时上报。</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60</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企业是否建立健全安全生产费用提取管理使用制度</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61</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企业是否将安全生产投入纳入年度生产经营计划和财务预算</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62</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4. </w:t>
            </w:r>
            <w:r>
              <w:rPr>
                <w:rFonts w:eastAsia="仿宋_GB2312" w:cs="Times New Roman"/>
                <w:color w:val="000000"/>
                <w:kern w:val="0"/>
                <w:sz w:val="24"/>
              </w:rPr>
              <w:t>是否足额提取并按规定使用安全生产费用，是否节余过多</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63</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5. </w:t>
            </w:r>
            <w:r>
              <w:rPr>
                <w:rFonts w:eastAsia="仿宋_GB2312" w:cs="Times New Roman"/>
                <w:color w:val="000000"/>
                <w:kern w:val="0"/>
                <w:sz w:val="24"/>
              </w:rPr>
              <w:t>是否对安全投入进行内部审计和外部审计，经费使用是否合规</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64</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6. </w:t>
            </w:r>
            <w:r>
              <w:rPr>
                <w:rFonts w:eastAsia="仿宋_GB2312" w:cs="Times New Roman"/>
                <w:color w:val="000000"/>
                <w:kern w:val="0"/>
                <w:sz w:val="24"/>
              </w:rPr>
              <w:t>高危行业企业是否按规定投保安全生产责任险。</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65</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应急救援</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编制综合应急预案、专项应急预案和现场处置方案；</w:t>
            </w:r>
          </w:p>
        </w:tc>
        <w:tc>
          <w:tcPr>
            <w:tcW w:w="4275" w:type="dxa"/>
            <w:vMerge w:val="restart"/>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在常州市安全生产监督管理信息系统企业文件柜中，如实、实时备案生产安全事故应急救援预案、应急演练、应急资源调查和应急物资配备等工作情况。</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66</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编制应急预案前，应当进行事故风险辨识、评估和应急资源调查；</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67</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编制的各类应急预案之间应当相互衔接，并与相关人民政府及其部门、应急救援队伍和涉及的其他单位的应急预案相衔接；</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68</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4. </w:t>
            </w:r>
            <w:r>
              <w:rPr>
                <w:rFonts w:eastAsia="仿宋_GB2312" w:cs="Times New Roman"/>
                <w:color w:val="000000"/>
                <w:kern w:val="0"/>
                <w:sz w:val="24"/>
              </w:rPr>
              <w:t>应当在编制应急预案的基础上，针对工作场所、岗位的特点，编制简明、实用、有效的应急处置卡；</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69</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5. </w:t>
            </w:r>
            <w:r>
              <w:rPr>
                <w:rFonts w:eastAsia="仿宋_GB2312" w:cs="Times New Roman"/>
                <w:color w:val="000000"/>
                <w:kern w:val="0"/>
                <w:sz w:val="24"/>
              </w:rPr>
              <w:t>矿山、金属冶炼企业和中型规模以上的其他生产经营单位，应当对本单位编制的应急预案进行评审，并形成书面评审纪要，其他生产经营单位可以根据自身需要，对本单位编制的应急预案进行论证；</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70</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6. </w:t>
            </w:r>
            <w:r>
              <w:rPr>
                <w:rFonts w:eastAsia="仿宋_GB2312" w:cs="Times New Roman"/>
                <w:color w:val="000000"/>
                <w:kern w:val="0"/>
                <w:sz w:val="24"/>
              </w:rPr>
              <w:t>矿山、金属冶炼企业应当在应急预案公布之日起</w:t>
            </w:r>
            <w:r>
              <w:rPr>
                <w:rFonts w:eastAsia="仿宋_GB2312" w:cs="Times New Roman"/>
                <w:color w:val="000000"/>
                <w:kern w:val="0"/>
                <w:sz w:val="24"/>
              </w:rPr>
              <w:t>20</w:t>
            </w:r>
            <w:r>
              <w:rPr>
                <w:rFonts w:eastAsia="仿宋_GB2312" w:cs="Times New Roman"/>
                <w:color w:val="000000"/>
                <w:kern w:val="0"/>
                <w:sz w:val="24"/>
              </w:rPr>
              <w:t>个工作日内，按照分级属地原则，向县级以上人民政府应急管理部门和其他负有安全生产监督管理职责的部门进行备案，并依法向社会公布。</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71</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7. </w:t>
            </w:r>
            <w:r>
              <w:rPr>
                <w:rFonts w:eastAsia="仿宋_GB2312" w:cs="Times New Roman"/>
                <w:color w:val="000000"/>
                <w:kern w:val="0"/>
                <w:sz w:val="24"/>
              </w:rPr>
              <w:t>组织开展应急预案、应急知识、自救互救和避险逃生技能的培训活动，使有关人员了解应急预案内容，熟悉应急职责、应急处置程序和措施；</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72</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8. </w:t>
            </w:r>
            <w:r>
              <w:rPr>
                <w:rFonts w:eastAsia="仿宋_GB2312" w:cs="Times New Roman"/>
                <w:color w:val="000000"/>
                <w:kern w:val="0"/>
                <w:sz w:val="24"/>
              </w:rPr>
              <w:t>制定应急预案演练计划；</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73</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9. </w:t>
            </w:r>
            <w:r>
              <w:rPr>
                <w:rFonts w:eastAsia="仿宋_GB2312" w:cs="Times New Roman"/>
                <w:color w:val="000000"/>
                <w:kern w:val="0"/>
                <w:sz w:val="24"/>
              </w:rPr>
              <w:t>根据事故风险特点，每年至少组织一次综合应急预案演练或者专项应急预案演练，每半年至少组织一次现场处置方案演练；</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74</w:t>
            </w:r>
          </w:p>
        </w:tc>
        <w:tc>
          <w:tcPr>
            <w:tcW w:w="2254" w:type="dxa"/>
            <w:vMerge w:val="restart"/>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00" w:lineRule="exact"/>
              <w:ind w:left="-57" w:right="-57"/>
              <w:rPr>
                <w:rFonts w:eastAsia="仿宋_GB2312" w:cs="Times New Roman"/>
                <w:color w:val="000000"/>
                <w:kern w:val="0"/>
                <w:sz w:val="24"/>
              </w:rPr>
            </w:pPr>
            <w:r>
              <w:rPr>
                <w:rFonts w:eastAsia="仿宋_GB2312" w:cs="Times New Roman"/>
                <w:color w:val="000000"/>
                <w:kern w:val="0"/>
                <w:sz w:val="24"/>
              </w:rPr>
              <w:t xml:space="preserve">10. </w:t>
            </w:r>
            <w:r>
              <w:rPr>
                <w:rFonts w:eastAsia="仿宋_GB2312" w:cs="Times New Roman"/>
                <w:color w:val="000000"/>
                <w:kern w:val="0"/>
                <w:sz w:val="24"/>
              </w:rPr>
              <w:t>应急预案演练结束后，对应急预案演练效果进行评估，撰写应急预案演练评估报告，分析存在的问题，并对应急预案提出修订意见；</w:t>
            </w:r>
          </w:p>
        </w:tc>
        <w:tc>
          <w:tcPr>
            <w:tcW w:w="4275" w:type="dxa"/>
            <w:vMerge w:val="restart"/>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75</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00" w:lineRule="exact"/>
              <w:ind w:left="-57" w:right="-57"/>
              <w:rPr>
                <w:rFonts w:eastAsia="仿宋_GB2312" w:cs="Times New Roman"/>
                <w:color w:val="000000"/>
                <w:kern w:val="0"/>
                <w:sz w:val="24"/>
              </w:rPr>
            </w:pPr>
            <w:r>
              <w:rPr>
                <w:rFonts w:eastAsia="仿宋_GB2312" w:cs="Times New Roman"/>
                <w:color w:val="000000"/>
                <w:kern w:val="0"/>
                <w:sz w:val="24"/>
              </w:rPr>
              <w:t xml:space="preserve">11. </w:t>
            </w:r>
            <w:r>
              <w:rPr>
                <w:rFonts w:eastAsia="仿宋_GB2312" w:cs="Times New Roman"/>
                <w:color w:val="000000"/>
                <w:kern w:val="0"/>
                <w:sz w:val="24"/>
              </w:rPr>
              <w:t>建立应急预案定期评估制度，对预案内容的针对性和实用性进行分析，并对应急预案是否需要修订作出结论；</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76</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00" w:lineRule="exact"/>
              <w:ind w:left="-57" w:right="-57"/>
              <w:rPr>
                <w:rFonts w:eastAsia="仿宋_GB2312" w:cs="Times New Roman"/>
                <w:color w:val="000000"/>
                <w:kern w:val="0"/>
                <w:sz w:val="24"/>
              </w:rPr>
            </w:pPr>
            <w:r>
              <w:rPr>
                <w:rFonts w:eastAsia="仿宋_GB2312" w:cs="Times New Roman"/>
                <w:color w:val="000000"/>
                <w:kern w:val="0"/>
                <w:sz w:val="24"/>
              </w:rPr>
              <w:t xml:space="preserve">12. </w:t>
            </w:r>
            <w:r>
              <w:rPr>
                <w:rFonts w:eastAsia="仿宋_GB2312" w:cs="Times New Roman"/>
                <w:color w:val="000000"/>
                <w:kern w:val="0"/>
                <w:sz w:val="24"/>
              </w:rPr>
              <w:t>矿山、金属冶炼和中型规模以上的其他生产经营单位，应当每三年进行一次应急预案评估；</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77</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00" w:lineRule="exact"/>
              <w:ind w:left="-57" w:right="-57"/>
              <w:rPr>
                <w:rFonts w:eastAsia="仿宋_GB2312" w:cs="Times New Roman"/>
                <w:color w:val="000000"/>
                <w:kern w:val="0"/>
                <w:sz w:val="24"/>
              </w:rPr>
            </w:pPr>
            <w:r>
              <w:rPr>
                <w:rFonts w:eastAsia="仿宋_GB2312" w:cs="Times New Roman"/>
                <w:color w:val="000000"/>
                <w:kern w:val="0"/>
                <w:sz w:val="24"/>
              </w:rPr>
              <w:t xml:space="preserve">13. </w:t>
            </w:r>
            <w:r>
              <w:rPr>
                <w:rFonts w:eastAsia="仿宋_GB2312" w:cs="Times New Roman"/>
                <w:color w:val="000000"/>
                <w:kern w:val="0"/>
                <w:sz w:val="24"/>
              </w:rPr>
              <w:t>按照应急预案的规定，落实应急指挥体系、应急救援队伍、应急物资及装备，建立应急物资、装备配备及其使用档案，并对应急物资、装备进行定期检测和维护，使其处于适用状态；</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78</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00" w:lineRule="exact"/>
              <w:ind w:left="-57" w:right="-57"/>
              <w:rPr>
                <w:rFonts w:eastAsia="仿宋_GB2312" w:cs="Times New Roman"/>
                <w:color w:val="000000"/>
                <w:kern w:val="0"/>
                <w:sz w:val="24"/>
              </w:rPr>
            </w:pPr>
            <w:r>
              <w:rPr>
                <w:rFonts w:eastAsia="仿宋_GB2312" w:cs="Times New Roman"/>
                <w:color w:val="000000"/>
                <w:kern w:val="0"/>
                <w:sz w:val="24"/>
              </w:rPr>
              <w:t xml:space="preserve">14. </w:t>
            </w:r>
            <w:r>
              <w:rPr>
                <w:rFonts w:eastAsia="仿宋_GB2312" w:cs="Times New Roman"/>
                <w:color w:val="000000"/>
                <w:kern w:val="0"/>
                <w:sz w:val="24"/>
              </w:rPr>
              <w:t>矿山、金属冶炼单位建立应急救援组织；生产经营规模较小的，可以不建立应急救援组织，但应当指定兼职的应急救援人员。</w:t>
            </w:r>
          </w:p>
        </w:tc>
        <w:tc>
          <w:tcPr>
            <w:tcW w:w="4275" w:type="dxa"/>
            <w:vMerge/>
            <w:shd w:val="clear" w:color="auto" w:fill="auto"/>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79</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发包、出租</w:t>
            </w:r>
          </w:p>
        </w:tc>
        <w:tc>
          <w:tcPr>
            <w:tcW w:w="6929" w:type="dxa"/>
            <w:shd w:val="clear" w:color="auto" w:fill="auto"/>
            <w:vAlign w:val="center"/>
          </w:tcPr>
          <w:p w:rsidR="002B1DF7" w:rsidRDefault="000216A1">
            <w:pPr>
              <w:widowControl/>
              <w:adjustRightInd w:val="0"/>
              <w:snapToGrid w:val="0"/>
              <w:spacing w:line="30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生产经营项目、场所发包或者出租给其他单位的，应当与承包单位、承租单位签订专门的安全生产管理协议，或者在承包合同、租赁合同中约定各自的安全生产管理职责；安全生产管理协议中应当明确双方安全风险辨识管控职责措施；</w:t>
            </w:r>
          </w:p>
        </w:tc>
        <w:tc>
          <w:tcPr>
            <w:tcW w:w="4275" w:type="dxa"/>
            <w:vMerge w:val="restart"/>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在常州市安全生产监督管理信息系统</w:t>
            </w:r>
            <w:r>
              <w:rPr>
                <w:rFonts w:eastAsia="仿宋_GB2312" w:cs="Times New Roman"/>
                <w:color w:val="000000"/>
                <w:kern w:val="0"/>
                <w:sz w:val="24"/>
              </w:rPr>
              <w:t>“</w:t>
            </w:r>
            <w:r>
              <w:rPr>
                <w:rFonts w:eastAsia="仿宋_GB2312" w:cs="Times New Roman"/>
                <w:color w:val="000000"/>
                <w:kern w:val="0"/>
                <w:sz w:val="24"/>
              </w:rPr>
              <w:t>厂中厂</w:t>
            </w:r>
            <w:r>
              <w:rPr>
                <w:rFonts w:eastAsia="仿宋_GB2312" w:cs="Times New Roman"/>
                <w:color w:val="000000"/>
                <w:kern w:val="0"/>
                <w:sz w:val="24"/>
              </w:rPr>
              <w:t>”</w:t>
            </w:r>
            <w:r>
              <w:rPr>
                <w:rFonts w:eastAsia="仿宋_GB2312" w:cs="Times New Roman"/>
                <w:color w:val="000000"/>
                <w:kern w:val="0"/>
                <w:sz w:val="24"/>
              </w:rPr>
              <w:t>模块中定期维护承包、承租安全生产信息。</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80</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0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对承包单位、承租单位的安全生产工作统一协调、管理，定期进行安全检查，发现安全问题的，及时督促整改。</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81</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劳动防护用品</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为从业人员提供符合国家标准或者行业标准的劳动防护用品。</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82</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企业是否加强职工劳动防护用品配备使用的监督管理，如实记录购买和发放劳动防护用品情况，并督促、教育从业人员正确佩戴、使用。</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83</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安全生产标准化</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企业是否开展安全生产标准化建设。</w:t>
            </w:r>
          </w:p>
        </w:tc>
        <w:tc>
          <w:tcPr>
            <w:tcW w:w="4275" w:type="dxa"/>
            <w:vMerge w:val="restart"/>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通过常州市标准化系统填报基础台账资料，提交自评报告，线上申请评审并持续有效运行。</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84</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企业是否按照安全生产标准化要求，建设常态长效化管理机制。</w:t>
            </w:r>
          </w:p>
        </w:tc>
        <w:tc>
          <w:tcPr>
            <w:tcW w:w="4275" w:type="dxa"/>
            <w:vMerge/>
            <w:vAlign w:val="center"/>
          </w:tcPr>
          <w:p w:rsidR="002B1DF7" w:rsidRDefault="002B1DF7">
            <w:pPr>
              <w:widowControl/>
              <w:adjustRightInd w:val="0"/>
              <w:snapToGrid w:val="0"/>
              <w:spacing w:line="320" w:lineRule="exact"/>
              <w:ind w:left="-57" w:right="-57"/>
              <w:rPr>
                <w:rFonts w:eastAsia="仿宋_GB2312" w:cs="Times New Roman"/>
                <w:color w:val="000000"/>
                <w:kern w:val="0"/>
                <w:sz w:val="24"/>
              </w:rPr>
            </w:pP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85</w:t>
            </w:r>
          </w:p>
        </w:tc>
        <w:tc>
          <w:tcPr>
            <w:tcW w:w="2254"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安全生产责任保险</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国家鼓励生产经营单位投保安全生产责任保险；属于国家规定的高危行业、领域的生产经营单位，应当投保安全生产责任保险。</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通过常州市安全生产责任保险管理信息系统完成投保，共保体提供专家定期服务。</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86</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加强复工复产安全管理</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企业复工复产前，是否按规定制定复工复产方案。</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87</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企业复工复产前，是否对设施设备、应急报警、放射防护、防雷防爆装置等保护设施进行全面检查。</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88</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提升智能制造水平</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企业是否按要求及时更新推广应用先进适用安全生产工艺和技术装备。</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89</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企业是否积极推进</w:t>
            </w:r>
            <w:r>
              <w:rPr>
                <w:rFonts w:eastAsia="仿宋_GB2312" w:cs="Times New Roman"/>
                <w:color w:val="000000"/>
                <w:kern w:val="0"/>
                <w:sz w:val="24"/>
              </w:rPr>
              <w:t>“</w:t>
            </w:r>
            <w:r>
              <w:rPr>
                <w:rFonts w:eastAsia="仿宋_GB2312" w:cs="Times New Roman"/>
                <w:color w:val="000000"/>
                <w:kern w:val="0"/>
                <w:sz w:val="24"/>
              </w:rPr>
              <w:t>机械化换人、自动化减人</w:t>
            </w:r>
            <w:r>
              <w:rPr>
                <w:rFonts w:eastAsia="仿宋_GB2312" w:cs="Times New Roman"/>
                <w:color w:val="000000"/>
                <w:kern w:val="0"/>
                <w:sz w:val="24"/>
              </w:rPr>
              <w:t>”</w:t>
            </w:r>
            <w:r>
              <w:rPr>
                <w:rFonts w:eastAsia="仿宋_GB2312" w:cs="Times New Roman"/>
                <w:color w:val="000000"/>
                <w:kern w:val="0"/>
                <w:sz w:val="24"/>
              </w:rPr>
              <w:t>。</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90</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生产安全事故及举一反三</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1. </w:t>
            </w:r>
            <w:r>
              <w:rPr>
                <w:rFonts w:eastAsia="仿宋_GB2312" w:cs="Times New Roman"/>
                <w:color w:val="000000"/>
                <w:kern w:val="0"/>
                <w:sz w:val="24"/>
              </w:rPr>
              <w:t>事故发生后</w:t>
            </w:r>
            <w:r>
              <w:rPr>
                <w:rFonts w:eastAsia="仿宋_GB2312" w:cs="Times New Roman" w:hint="eastAsia"/>
                <w:color w:val="000000"/>
                <w:kern w:val="0"/>
                <w:sz w:val="24"/>
              </w:rPr>
              <w:t>，</w:t>
            </w:r>
            <w:r>
              <w:rPr>
                <w:rFonts w:eastAsia="仿宋_GB2312" w:cs="Times New Roman"/>
                <w:color w:val="000000"/>
                <w:kern w:val="0"/>
                <w:sz w:val="24"/>
              </w:rPr>
              <w:t>企业是否严格遵守事故报告规定，按要求及时、完整、客观地向有关部门报告事故。</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91</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2. </w:t>
            </w:r>
            <w:r>
              <w:rPr>
                <w:rFonts w:eastAsia="仿宋_GB2312" w:cs="Times New Roman"/>
                <w:color w:val="000000"/>
                <w:kern w:val="0"/>
                <w:sz w:val="24"/>
              </w:rPr>
              <w:t>企业是否存在瞒报、漏报、谎报、迟报事故等问题。</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92</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3. </w:t>
            </w:r>
            <w:r>
              <w:rPr>
                <w:rFonts w:eastAsia="仿宋_GB2312" w:cs="Times New Roman"/>
                <w:color w:val="000000"/>
                <w:kern w:val="0"/>
                <w:sz w:val="24"/>
              </w:rPr>
              <w:t>企业法定代表人和实际控制人是否按规定第一时间到达事故现场，并立即启动事故应急救援预案。</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94</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4. </w:t>
            </w:r>
            <w:r>
              <w:rPr>
                <w:rFonts w:eastAsia="仿宋_GB2312" w:cs="Times New Roman"/>
                <w:color w:val="000000"/>
                <w:kern w:val="0"/>
                <w:sz w:val="24"/>
              </w:rPr>
              <w:t>企业是否主动配合有关部门对责任事故的调查处理，并妥善做好事故善后工作。</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95</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5. </w:t>
            </w:r>
            <w:r>
              <w:rPr>
                <w:rFonts w:eastAsia="仿宋_GB2312" w:cs="Times New Roman"/>
                <w:color w:val="000000"/>
                <w:kern w:val="0"/>
                <w:sz w:val="24"/>
              </w:rPr>
              <w:t>企业是否按照事故调查报告全面落实整改措施，自觉接受监督检查，深刻吸取教训，强化举一反三。</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730"/>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lastRenderedPageBreak/>
              <w:t>96</w:t>
            </w:r>
          </w:p>
        </w:tc>
        <w:tc>
          <w:tcPr>
            <w:tcW w:w="2254" w:type="dxa"/>
            <w:vMerge w:val="restart"/>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6. </w:t>
            </w:r>
            <w:r>
              <w:rPr>
                <w:rFonts w:eastAsia="仿宋_GB2312" w:cs="Times New Roman"/>
                <w:color w:val="000000"/>
                <w:kern w:val="0"/>
                <w:sz w:val="24"/>
              </w:rPr>
              <w:t>企业是否加强对轻微事故、未遂事故的调查处理及原因分析，研究落实预防改进措施。</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760"/>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97</w:t>
            </w:r>
          </w:p>
        </w:tc>
        <w:tc>
          <w:tcPr>
            <w:tcW w:w="2254" w:type="dxa"/>
            <w:vMerge/>
            <w:shd w:val="clear" w:color="auto" w:fill="auto"/>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7. </w:t>
            </w:r>
            <w:r>
              <w:rPr>
                <w:rFonts w:eastAsia="仿宋_GB2312" w:cs="Times New Roman"/>
                <w:color w:val="000000"/>
                <w:kern w:val="0"/>
                <w:sz w:val="24"/>
              </w:rPr>
              <w:t>企业是否建立事故信息共享机制，针对同行业、本地区发生的典型事故，及时组织学习反思、警示教育和自查自纠。</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775"/>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98</w:t>
            </w:r>
          </w:p>
        </w:tc>
        <w:tc>
          <w:tcPr>
            <w:tcW w:w="2254" w:type="dxa"/>
            <w:vMerge w:val="restart"/>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安全生产专项整治</w:t>
            </w: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非煤矿山企业：对照重大事故隐患判定标准，按照</w:t>
            </w:r>
            <w:r>
              <w:rPr>
                <w:rFonts w:eastAsia="仿宋_GB2312" w:cs="Times New Roman"/>
                <w:color w:val="000000"/>
                <w:kern w:val="0"/>
                <w:sz w:val="24"/>
              </w:rPr>
              <w:t>“</w:t>
            </w:r>
            <w:r>
              <w:rPr>
                <w:rFonts w:eastAsia="仿宋_GB2312" w:cs="Times New Roman"/>
                <w:color w:val="000000"/>
                <w:kern w:val="0"/>
                <w:sz w:val="24"/>
              </w:rPr>
              <w:t>五落实</w:t>
            </w:r>
            <w:r>
              <w:rPr>
                <w:rFonts w:eastAsia="仿宋_GB2312" w:cs="Times New Roman"/>
                <w:color w:val="000000"/>
                <w:kern w:val="0"/>
                <w:sz w:val="24"/>
              </w:rPr>
              <w:t>”</w:t>
            </w:r>
            <w:r>
              <w:rPr>
                <w:rFonts w:eastAsia="仿宋_GB2312" w:cs="Times New Roman"/>
                <w:color w:val="000000"/>
                <w:kern w:val="0"/>
                <w:sz w:val="24"/>
              </w:rPr>
              <w:t>工作要求持续开展自查自纠，全面规范治理重大隐患。</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99</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冶金等工贸企业：冶金、有色、建材、机械、轻工、纺织、烟草、商贸对照重大事故隐患判定标准，持续开展重大隐患深化治理；涉及钢铁、粉尘涉爆、深井铸造、有限空间重点监管领域企业分别对照八项、六项、七项、四项重点执法事项深入开展排查治理</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r w:rsidR="002B1DF7">
        <w:trPr>
          <w:trHeight w:val="567"/>
          <w:jc w:val="center"/>
        </w:trPr>
        <w:tc>
          <w:tcPr>
            <w:tcW w:w="717" w:type="dxa"/>
            <w:shd w:val="clear" w:color="auto" w:fill="auto"/>
            <w:vAlign w:val="center"/>
          </w:tcPr>
          <w:p w:rsidR="002B1DF7" w:rsidRDefault="000216A1">
            <w:pPr>
              <w:widowControl/>
              <w:adjustRightInd w:val="0"/>
              <w:snapToGrid w:val="0"/>
              <w:spacing w:line="320" w:lineRule="exact"/>
              <w:ind w:left="-57" w:right="-57"/>
              <w:jc w:val="center"/>
              <w:rPr>
                <w:rFonts w:eastAsia="仿宋_GB2312" w:cs="Times New Roman"/>
                <w:color w:val="000000"/>
                <w:kern w:val="0"/>
                <w:sz w:val="24"/>
              </w:rPr>
            </w:pPr>
            <w:r>
              <w:rPr>
                <w:rFonts w:eastAsia="仿宋_GB2312" w:cs="Times New Roman"/>
                <w:color w:val="000000"/>
                <w:kern w:val="0"/>
                <w:sz w:val="24"/>
              </w:rPr>
              <w:t>100</w:t>
            </w:r>
          </w:p>
        </w:tc>
        <w:tc>
          <w:tcPr>
            <w:tcW w:w="2254" w:type="dxa"/>
            <w:vMerge/>
            <w:vAlign w:val="center"/>
          </w:tcPr>
          <w:p w:rsidR="002B1DF7" w:rsidRDefault="002B1DF7">
            <w:pPr>
              <w:widowControl/>
              <w:adjustRightInd w:val="0"/>
              <w:snapToGrid w:val="0"/>
              <w:spacing w:line="320" w:lineRule="exact"/>
              <w:ind w:left="-57" w:right="-57"/>
              <w:jc w:val="center"/>
              <w:rPr>
                <w:rFonts w:eastAsia="仿宋_GB2312" w:cs="Times New Roman"/>
                <w:color w:val="000000"/>
                <w:kern w:val="0"/>
                <w:sz w:val="24"/>
              </w:rPr>
            </w:pPr>
          </w:p>
        </w:tc>
        <w:tc>
          <w:tcPr>
            <w:tcW w:w="6929"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使用危化品企业：按照</w:t>
            </w:r>
            <w:r>
              <w:rPr>
                <w:rFonts w:eastAsia="仿宋_GB2312" w:cs="Times New Roman"/>
                <w:color w:val="000000"/>
                <w:kern w:val="0"/>
                <w:sz w:val="24"/>
              </w:rPr>
              <w:t>16</w:t>
            </w:r>
            <w:r>
              <w:rPr>
                <w:rFonts w:eastAsia="仿宋_GB2312" w:cs="Times New Roman"/>
                <w:color w:val="000000"/>
                <w:kern w:val="0"/>
                <w:sz w:val="24"/>
              </w:rPr>
              <w:t>项专项整治重点深入开展首轮自查自纠，涉及危化品仓库手续不全的，按照相关要求至工信部门、行政审批部门完善备案手续。</w:t>
            </w:r>
          </w:p>
        </w:tc>
        <w:tc>
          <w:tcPr>
            <w:tcW w:w="4275" w:type="dxa"/>
            <w:shd w:val="clear" w:color="auto" w:fill="auto"/>
            <w:vAlign w:val="center"/>
          </w:tcPr>
          <w:p w:rsidR="002B1DF7" w:rsidRDefault="000216A1">
            <w:pPr>
              <w:widowControl/>
              <w:adjustRightInd w:val="0"/>
              <w:snapToGrid w:val="0"/>
              <w:spacing w:line="320" w:lineRule="exact"/>
              <w:ind w:left="-57" w:right="-57"/>
              <w:rPr>
                <w:rFonts w:eastAsia="仿宋_GB2312" w:cs="Times New Roman"/>
                <w:color w:val="000000"/>
                <w:kern w:val="0"/>
                <w:sz w:val="24"/>
              </w:rPr>
            </w:pPr>
            <w:r>
              <w:rPr>
                <w:rFonts w:eastAsia="仿宋_GB2312" w:cs="Times New Roman"/>
                <w:color w:val="000000"/>
                <w:kern w:val="0"/>
                <w:sz w:val="24"/>
              </w:rPr>
              <w:t xml:space="preserve">　</w:t>
            </w:r>
          </w:p>
        </w:tc>
      </w:tr>
    </w:tbl>
    <w:p w:rsidR="002B1DF7" w:rsidRDefault="002B1DF7" w:rsidP="002B1DF7">
      <w:pPr>
        <w:overflowPunct w:val="0"/>
        <w:autoSpaceDE w:val="0"/>
        <w:autoSpaceDN w:val="0"/>
        <w:spacing w:line="560" w:lineRule="exact"/>
        <w:ind w:firstLineChars="1375" w:firstLine="4677"/>
        <w:jc w:val="center"/>
        <w:outlineLvl w:val="1"/>
        <w:rPr>
          <w:rFonts w:eastAsia="仿宋_GB2312" w:cs="Times New Roman"/>
          <w:snapToGrid w:val="0"/>
          <w:kern w:val="0"/>
          <w:szCs w:val="32"/>
        </w:rPr>
      </w:pPr>
    </w:p>
    <w:sectPr w:rsidR="002B1DF7" w:rsidSect="002B1DF7">
      <w:pgSz w:w="16838" w:h="11906" w:orient="landscape"/>
      <w:pgMar w:top="1418" w:right="1418" w:bottom="1758" w:left="1418" w:header="720" w:footer="1474" w:gutter="0"/>
      <w:cols w:space="0"/>
      <w:docGrid w:type="linesAndChars" w:linePitch="501" w:charSpace="412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16A1" w:rsidRDefault="000216A1" w:rsidP="002B1DF7">
      <w:r>
        <w:separator/>
      </w:r>
    </w:p>
  </w:endnote>
  <w:endnote w:type="continuationSeparator" w:id="1">
    <w:p w:rsidR="000216A1" w:rsidRDefault="000216A1" w:rsidP="002B1D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DF7" w:rsidRDefault="002B1DF7">
    <w:pPr>
      <w:pStyle w:val="a4"/>
    </w:pPr>
    <w:r>
      <w:pict>
        <v:shapetype id="_x0000_t202" coordsize="21600,21600" o:spt="202" path="m,l,21600r21600,l21600,xe">
          <v:stroke joinstyle="miter"/>
          <v:path gradientshapeok="t" o:connecttype="rect"/>
        </v:shapetype>
        <v:shape id="_x0000_s4098" type="#_x0000_t202" style="position:absolute;margin-left:0;margin-top:0;width:2in;height:2in;z-index:251660288;mso-wrap-style:none;mso-position-horizontal:center;mso-position-horizontal-relative:margin" filled="f" stroked="f">
          <v:textbox style="mso-fit-shape-to-text:t" inset="0,0,0,0">
            <w:txbxContent>
              <w:p w:rsidR="002B1DF7" w:rsidRDefault="002B1DF7">
                <w:pPr>
                  <w:pStyle w:val="a4"/>
                </w:pPr>
                <w:r>
                  <w:fldChar w:fldCharType="begin"/>
                </w:r>
                <w:r w:rsidR="000216A1">
                  <w:instrText xml:space="preserve"> PAGE  \* MERGEFORMAT </w:instrText>
                </w:r>
                <w:r>
                  <w:fldChar w:fldCharType="separate"/>
                </w:r>
                <w:r w:rsidR="00B94E46">
                  <w:rPr>
                    <w:noProof/>
                  </w:rPr>
                  <w:t>4</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DF7" w:rsidRDefault="002B1DF7">
    <w:pPr>
      <w:pStyle w:val="a4"/>
      <w:jc w:val="center"/>
      <w:rPr>
        <w:sz w:val="28"/>
        <w:szCs w:val="28"/>
      </w:rPr>
    </w:pPr>
    <w:r w:rsidRPr="002B1DF7">
      <w:rPr>
        <w:sz w:val="28"/>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9264;mso-wrap-style:none;mso-position-horizontal:center;mso-position-horizontal-relative:margin" filled="f" stroked="f">
          <v:textbox style="mso-fit-shape-to-text:t" inset="0,0,0,0">
            <w:txbxContent>
              <w:sdt>
                <w:sdtPr>
                  <w:rPr>
                    <w:sz w:val="28"/>
                    <w:szCs w:val="28"/>
                  </w:rPr>
                  <w:id w:val="28630224"/>
                </w:sdtPr>
                <w:sdtContent>
                  <w:p w:rsidR="002B1DF7" w:rsidRDefault="000216A1">
                    <w:pPr>
                      <w:pStyle w:val="a4"/>
                      <w:jc w:val="center"/>
                      <w:rPr>
                        <w:sz w:val="28"/>
                        <w:szCs w:val="28"/>
                      </w:rPr>
                    </w:pPr>
                    <w:r>
                      <w:rPr>
                        <w:rFonts w:hint="eastAsia"/>
                        <w:sz w:val="28"/>
                        <w:szCs w:val="28"/>
                      </w:rPr>
                      <w:t>—</w:t>
                    </w:r>
                    <w:r>
                      <w:rPr>
                        <w:rFonts w:hint="eastAsia"/>
                        <w:sz w:val="28"/>
                        <w:szCs w:val="28"/>
                      </w:rPr>
                      <w:t xml:space="preserve"> </w:t>
                    </w:r>
                    <w:r w:rsidR="002B1DF7">
                      <w:rPr>
                        <w:sz w:val="28"/>
                        <w:szCs w:val="28"/>
                      </w:rPr>
                      <w:fldChar w:fldCharType="begin"/>
                    </w:r>
                    <w:r>
                      <w:rPr>
                        <w:sz w:val="28"/>
                        <w:szCs w:val="28"/>
                      </w:rPr>
                      <w:instrText xml:space="preserve"> PAGE   \* MERGEFORMAT </w:instrText>
                    </w:r>
                    <w:r w:rsidR="002B1DF7">
                      <w:rPr>
                        <w:sz w:val="28"/>
                        <w:szCs w:val="28"/>
                      </w:rPr>
                      <w:fldChar w:fldCharType="separate"/>
                    </w:r>
                    <w:r w:rsidR="00B94E46" w:rsidRPr="00B94E46">
                      <w:rPr>
                        <w:noProof/>
                        <w:sz w:val="28"/>
                        <w:szCs w:val="28"/>
                        <w:lang w:val="zh-CN"/>
                      </w:rPr>
                      <w:t>17</w:t>
                    </w:r>
                    <w:r w:rsidR="002B1DF7">
                      <w:rPr>
                        <w:sz w:val="28"/>
                        <w:szCs w:val="28"/>
                      </w:rPr>
                      <w:fldChar w:fldCharType="end"/>
                    </w:r>
                    <w:r>
                      <w:rPr>
                        <w:rFonts w:hint="eastAsia"/>
                        <w:sz w:val="28"/>
                        <w:szCs w:val="28"/>
                      </w:rPr>
                      <w:t xml:space="preserve"> </w:t>
                    </w:r>
                    <w:r>
                      <w:rPr>
                        <w:rFonts w:hint="eastAsia"/>
                        <w:sz w:val="28"/>
                        <w:szCs w:val="28"/>
                      </w:rPr>
                      <w:t>—</w:t>
                    </w:r>
                  </w:p>
                </w:sdtContent>
              </w:sdt>
              <w:p w:rsidR="002B1DF7" w:rsidRDefault="002B1DF7">
                <w:pPr>
                  <w:pStyle w:val="a0"/>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16A1" w:rsidRDefault="000216A1" w:rsidP="002B1DF7">
      <w:r>
        <w:separator/>
      </w:r>
    </w:p>
  </w:footnote>
  <w:footnote w:type="continuationSeparator" w:id="1">
    <w:p w:rsidR="000216A1" w:rsidRDefault="000216A1" w:rsidP="002B1D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evenAndOddHeaders/>
  <w:drawingGridHorizontalSpacing w:val="170"/>
  <w:drawingGridVerticalSpacing w:val="250"/>
  <w:noPunctuationKerning/>
  <w:characterSpacingControl w:val="compressPunctuation"/>
  <w:hdrShapeDefaults>
    <o:shapedefaults v:ext="edit" spidmax="6146"/>
    <o:shapelayout v:ext="edit">
      <o:idmap v:ext="edit" data="3,4"/>
    </o:shapelayout>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
  <w:rsids>
    <w:rsidRoot w:val="00FF50BD"/>
    <w:rsid w:val="000216A1"/>
    <w:rsid w:val="002B1DF7"/>
    <w:rsid w:val="003F7B1B"/>
    <w:rsid w:val="00657EB8"/>
    <w:rsid w:val="00874940"/>
    <w:rsid w:val="00B94E46"/>
    <w:rsid w:val="00FF50BD"/>
    <w:rsid w:val="2D7D277A"/>
    <w:rsid w:val="2E99139D"/>
    <w:rsid w:val="2ED44DFF"/>
    <w:rsid w:val="51B80506"/>
    <w:rsid w:val="5AB314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Variab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2B1DF7"/>
    <w:pPr>
      <w:widowControl w:val="0"/>
      <w:jc w:val="both"/>
    </w:pPr>
    <w:rPr>
      <w:rFonts w:eastAsia="仿宋" w:cstheme="minorBidi"/>
      <w:kern w:val="2"/>
      <w:sz w:val="32"/>
      <w:szCs w:val="24"/>
    </w:rPr>
  </w:style>
  <w:style w:type="paragraph" w:styleId="1">
    <w:name w:val="heading 1"/>
    <w:basedOn w:val="a"/>
    <w:next w:val="a"/>
    <w:qFormat/>
    <w:rsid w:val="002B1DF7"/>
    <w:pPr>
      <w:spacing w:beforeAutospacing="1" w:afterAutospacing="1"/>
      <w:jc w:val="left"/>
      <w:outlineLvl w:val="0"/>
    </w:pPr>
    <w:rPr>
      <w:rFonts w:ascii="宋体" w:eastAsia="宋体" w:hAnsi="宋体" w:cs="Times New Roman" w:hint="eastAsia"/>
      <w:b/>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段"/>
    <w:next w:val="a"/>
    <w:uiPriority w:val="99"/>
    <w:qFormat/>
    <w:rsid w:val="002B1DF7"/>
    <w:pPr>
      <w:autoSpaceDE w:val="0"/>
      <w:autoSpaceDN w:val="0"/>
      <w:ind w:firstLine="200"/>
      <w:jc w:val="both"/>
    </w:pPr>
    <w:rPr>
      <w:rFonts w:ascii="宋体" w:hAnsi="Calibri"/>
      <w:sz w:val="21"/>
      <w:szCs w:val="22"/>
    </w:rPr>
  </w:style>
  <w:style w:type="paragraph" w:styleId="a4">
    <w:name w:val="footer"/>
    <w:basedOn w:val="a"/>
    <w:link w:val="Char"/>
    <w:uiPriority w:val="99"/>
    <w:qFormat/>
    <w:rsid w:val="002B1DF7"/>
    <w:pPr>
      <w:tabs>
        <w:tab w:val="center" w:pos="4153"/>
        <w:tab w:val="right" w:pos="8306"/>
      </w:tabs>
      <w:snapToGrid w:val="0"/>
      <w:jc w:val="left"/>
    </w:pPr>
    <w:rPr>
      <w:sz w:val="18"/>
    </w:rPr>
  </w:style>
  <w:style w:type="paragraph" w:styleId="a5">
    <w:name w:val="header"/>
    <w:basedOn w:val="a"/>
    <w:qFormat/>
    <w:rsid w:val="002B1DF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2B1DF7"/>
    <w:pPr>
      <w:jc w:val="left"/>
    </w:pPr>
    <w:rPr>
      <w:rFonts w:cs="Times New Roman"/>
      <w:kern w:val="0"/>
      <w:sz w:val="24"/>
    </w:rPr>
  </w:style>
  <w:style w:type="character" w:styleId="a7">
    <w:name w:val="Strong"/>
    <w:basedOn w:val="a1"/>
    <w:qFormat/>
    <w:rsid w:val="002B1DF7"/>
    <w:rPr>
      <w:b/>
    </w:rPr>
  </w:style>
  <w:style w:type="character" w:styleId="a8">
    <w:name w:val="FollowedHyperlink"/>
    <w:basedOn w:val="a1"/>
    <w:qFormat/>
    <w:rsid w:val="002B1DF7"/>
    <w:rPr>
      <w:color w:val="333333"/>
      <w:u w:val="none"/>
    </w:rPr>
  </w:style>
  <w:style w:type="character" w:styleId="a9">
    <w:name w:val="Emphasis"/>
    <w:basedOn w:val="a1"/>
    <w:qFormat/>
    <w:rsid w:val="002B1DF7"/>
  </w:style>
  <w:style w:type="character" w:styleId="HTML">
    <w:name w:val="HTML Definition"/>
    <w:basedOn w:val="a1"/>
    <w:qFormat/>
    <w:rsid w:val="002B1DF7"/>
  </w:style>
  <w:style w:type="character" w:styleId="HTML0">
    <w:name w:val="HTML Acronym"/>
    <w:basedOn w:val="a1"/>
    <w:qFormat/>
    <w:rsid w:val="002B1DF7"/>
  </w:style>
  <w:style w:type="character" w:styleId="HTML1">
    <w:name w:val="HTML Variable"/>
    <w:basedOn w:val="a1"/>
    <w:qFormat/>
    <w:rsid w:val="002B1DF7"/>
  </w:style>
  <w:style w:type="character" w:styleId="aa">
    <w:name w:val="Hyperlink"/>
    <w:basedOn w:val="a1"/>
    <w:qFormat/>
    <w:rsid w:val="002B1DF7"/>
    <w:rPr>
      <w:color w:val="333333"/>
      <w:u w:val="none"/>
    </w:rPr>
  </w:style>
  <w:style w:type="character" w:styleId="HTML2">
    <w:name w:val="HTML Code"/>
    <w:basedOn w:val="a1"/>
    <w:qFormat/>
    <w:rsid w:val="002B1DF7"/>
    <w:rPr>
      <w:rFonts w:ascii="Courier New" w:hAnsi="Courier New"/>
      <w:color w:val="333333"/>
      <w:sz w:val="21"/>
      <w:szCs w:val="21"/>
      <w:shd w:val="clear" w:color="auto" w:fill="F8F8F8"/>
    </w:rPr>
  </w:style>
  <w:style w:type="character" w:styleId="HTML3">
    <w:name w:val="HTML Cite"/>
    <w:basedOn w:val="a1"/>
    <w:qFormat/>
    <w:rsid w:val="002B1DF7"/>
  </w:style>
  <w:style w:type="character" w:customStyle="1" w:styleId="layui-layer-tabnow">
    <w:name w:val="layui-layer-tabnow"/>
    <w:basedOn w:val="a1"/>
    <w:qFormat/>
    <w:rsid w:val="002B1DF7"/>
    <w:rPr>
      <w:bdr w:val="single" w:sz="6" w:space="0" w:color="CCCCCC"/>
      <w:shd w:val="clear" w:color="auto" w:fill="FFFFFF"/>
    </w:rPr>
  </w:style>
  <w:style w:type="character" w:customStyle="1" w:styleId="dot">
    <w:name w:val="dot"/>
    <w:basedOn w:val="a1"/>
    <w:qFormat/>
    <w:rsid w:val="002B1DF7"/>
  </w:style>
  <w:style w:type="character" w:customStyle="1" w:styleId="time">
    <w:name w:val="time"/>
    <w:basedOn w:val="a1"/>
    <w:qFormat/>
    <w:rsid w:val="002B1DF7"/>
    <w:rPr>
      <w:color w:val="999999"/>
    </w:rPr>
  </w:style>
  <w:style w:type="character" w:customStyle="1" w:styleId="first-child">
    <w:name w:val="first-child"/>
    <w:basedOn w:val="a1"/>
    <w:qFormat/>
    <w:rsid w:val="002B1DF7"/>
  </w:style>
  <w:style w:type="character" w:customStyle="1" w:styleId="layui-this2">
    <w:name w:val="layui-this2"/>
    <w:basedOn w:val="a1"/>
    <w:qFormat/>
    <w:rsid w:val="002B1DF7"/>
    <w:rPr>
      <w:bdr w:val="single" w:sz="6" w:space="0" w:color="EEEEEE"/>
      <w:shd w:val="clear" w:color="auto" w:fill="FFFFFF"/>
    </w:rPr>
  </w:style>
  <w:style w:type="character" w:customStyle="1" w:styleId="hover24">
    <w:name w:val="hover24"/>
    <w:basedOn w:val="a1"/>
    <w:qFormat/>
    <w:rsid w:val="002B1DF7"/>
    <w:rPr>
      <w:shd w:val="clear" w:color="auto" w:fill="929292"/>
    </w:rPr>
  </w:style>
  <w:style w:type="character" w:customStyle="1" w:styleId="hover25">
    <w:name w:val="hover25"/>
    <w:basedOn w:val="a1"/>
    <w:qFormat/>
    <w:rsid w:val="002B1DF7"/>
    <w:rPr>
      <w:color w:val="000000"/>
      <w:shd w:val="clear" w:color="auto" w:fill="FFFFFF"/>
    </w:rPr>
  </w:style>
  <w:style w:type="character" w:customStyle="1" w:styleId="wsdc-result-more">
    <w:name w:val="wsdc-result-more"/>
    <w:basedOn w:val="a1"/>
    <w:qFormat/>
    <w:rsid w:val="002B1DF7"/>
    <w:rPr>
      <w:sz w:val="18"/>
      <w:szCs w:val="18"/>
      <w:bdr w:val="single" w:sz="6" w:space="0" w:color="CCCCCC"/>
      <w:shd w:val="clear" w:color="auto" w:fill="F4F4F4"/>
    </w:rPr>
  </w:style>
  <w:style w:type="character" w:customStyle="1" w:styleId="article-icon">
    <w:name w:val="article-icon"/>
    <w:basedOn w:val="a1"/>
    <w:qFormat/>
    <w:rsid w:val="002B1DF7"/>
  </w:style>
  <w:style w:type="character" w:customStyle="1" w:styleId="wx-space">
    <w:name w:val="wx-space"/>
    <w:basedOn w:val="a1"/>
    <w:qFormat/>
    <w:rsid w:val="002B1DF7"/>
  </w:style>
  <w:style w:type="character" w:customStyle="1" w:styleId="wx-space1">
    <w:name w:val="wx-space1"/>
    <w:basedOn w:val="a1"/>
    <w:qFormat/>
    <w:rsid w:val="002B1DF7"/>
  </w:style>
  <w:style w:type="character" w:customStyle="1" w:styleId="layui-laypage-curr">
    <w:name w:val="layui-laypage-curr"/>
    <w:basedOn w:val="a1"/>
    <w:qFormat/>
    <w:rsid w:val="002B1DF7"/>
  </w:style>
  <w:style w:type="character" w:customStyle="1" w:styleId="layui-this">
    <w:name w:val="layui-this"/>
    <w:basedOn w:val="a1"/>
    <w:qFormat/>
    <w:rsid w:val="002B1DF7"/>
    <w:rPr>
      <w:bdr w:val="single" w:sz="6" w:space="0" w:color="EEEEEE"/>
      <w:shd w:val="clear" w:color="auto" w:fill="FFFFFF"/>
    </w:rPr>
  </w:style>
  <w:style w:type="character" w:customStyle="1" w:styleId="hover22">
    <w:name w:val="hover22"/>
    <w:basedOn w:val="a1"/>
    <w:qFormat/>
    <w:rsid w:val="002B1DF7"/>
    <w:rPr>
      <w:color w:val="000000"/>
      <w:shd w:val="clear" w:color="auto" w:fill="FFFFFF"/>
    </w:rPr>
  </w:style>
  <w:style w:type="character" w:customStyle="1" w:styleId="hover23">
    <w:name w:val="hover23"/>
    <w:basedOn w:val="a1"/>
    <w:qFormat/>
    <w:rsid w:val="002B1DF7"/>
    <w:rPr>
      <w:shd w:val="clear" w:color="auto" w:fill="929292"/>
    </w:rPr>
  </w:style>
  <w:style w:type="character" w:customStyle="1" w:styleId="on1">
    <w:name w:val="on1"/>
    <w:basedOn w:val="a1"/>
    <w:qFormat/>
    <w:rsid w:val="002B1DF7"/>
    <w:rPr>
      <w:color w:val="0F92D6"/>
      <w:sz w:val="33"/>
      <w:szCs w:val="33"/>
    </w:rPr>
  </w:style>
  <w:style w:type="character" w:customStyle="1" w:styleId="first-child1">
    <w:name w:val="first-child1"/>
    <w:basedOn w:val="a1"/>
    <w:qFormat/>
    <w:rsid w:val="002B1DF7"/>
  </w:style>
  <w:style w:type="paragraph" w:styleId="ab">
    <w:name w:val="List Paragraph"/>
    <w:basedOn w:val="a"/>
    <w:uiPriority w:val="99"/>
    <w:unhideWhenUsed/>
    <w:qFormat/>
    <w:rsid w:val="002B1DF7"/>
    <w:pPr>
      <w:ind w:firstLine="420"/>
    </w:pPr>
  </w:style>
  <w:style w:type="character" w:customStyle="1" w:styleId="Char">
    <w:name w:val="页脚 Char"/>
    <w:basedOn w:val="a1"/>
    <w:link w:val="a4"/>
    <w:uiPriority w:val="99"/>
    <w:qFormat/>
    <w:rsid w:val="002B1DF7"/>
    <w:rPr>
      <w:rFonts w:eastAsia="仿宋" w:cstheme="minorBidi"/>
      <w:kern w:val="2"/>
      <w:sz w:val="18"/>
      <w:szCs w:val="24"/>
    </w:rPr>
  </w:style>
  <w:style w:type="paragraph" w:styleId="ac">
    <w:name w:val="Balloon Text"/>
    <w:basedOn w:val="a"/>
    <w:link w:val="Char0"/>
    <w:rsid w:val="00B94E46"/>
    <w:rPr>
      <w:sz w:val="18"/>
      <w:szCs w:val="18"/>
    </w:rPr>
  </w:style>
  <w:style w:type="character" w:customStyle="1" w:styleId="Char0">
    <w:name w:val="批注框文本 Char"/>
    <w:basedOn w:val="a1"/>
    <w:link w:val="ac"/>
    <w:rsid w:val="00B94E46"/>
    <w:rPr>
      <w:rFonts w:eastAsia="仿宋"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1424</Words>
  <Characters>8121</Characters>
  <Application>Microsoft Office Word</Application>
  <DocSecurity>0</DocSecurity>
  <Lines>67</Lines>
  <Paragraphs>19</Paragraphs>
  <ScaleCrop>false</ScaleCrop>
  <Company>mycomputer</Company>
  <LinksUpToDate>false</LinksUpToDate>
  <CharactersWithSpaces>9526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3</cp:revision>
  <cp:lastPrinted>2021-12-29T00:51:00Z</cp:lastPrinted>
  <dcterms:created xsi:type="dcterms:W3CDTF">2021-11-18T08:12:00Z</dcterms:created>
  <dcterms:modified xsi:type="dcterms:W3CDTF">2021-12-30T01:54:00Z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AF29C5CC1A834DFF8BA53353226FF35F</vt:lpwstr>
  </property>
</Properties>
</file>