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60" w:lineRule="exact"/>
        <w:rPr>
          <w:rFonts w:hint="eastAsia" w:ascii="方正黑体_GBK" w:eastAsia="方正黑体_GBK"/>
          <w:sz w:val="32"/>
          <w:szCs w:val="32"/>
        </w:rPr>
      </w:pPr>
      <w:r>
        <w:rPr>
          <w:rFonts w:hint="eastAsia" w:ascii="方正黑体_GBK" w:eastAsia="方正黑体_GBK"/>
          <w:sz w:val="32"/>
          <w:szCs w:val="32"/>
        </w:rPr>
        <w:t>附件</w:t>
      </w:r>
    </w:p>
    <w:p>
      <w:pPr>
        <w:spacing w:before="240" w:after="240" w:line="570" w:lineRule="exact"/>
        <w:jc w:val="center"/>
        <w:rPr>
          <w:rFonts w:hint="eastAsia" w:ascii="方正小标宋_GBK" w:eastAsia="方正小标宋_GBK"/>
          <w:sz w:val="44"/>
          <w:szCs w:val="44"/>
        </w:rPr>
      </w:pPr>
      <w:r>
        <w:rPr>
          <w:rFonts w:hint="eastAsia" w:ascii="方正小标宋_GBK" w:eastAsia="方正小标宋_GBK"/>
          <w:sz w:val="44"/>
          <w:szCs w:val="44"/>
        </w:rPr>
        <w:t>常州市政府部门规范行政审批中介服务事项清单</w:t>
      </w:r>
    </w:p>
    <w:tbl>
      <w:tblPr>
        <w:tblStyle w:val="3"/>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520"/>
        <w:gridCol w:w="1518"/>
        <w:gridCol w:w="1618"/>
        <w:gridCol w:w="3116"/>
        <w:gridCol w:w="1276"/>
        <w:gridCol w:w="2261"/>
        <w:gridCol w:w="485"/>
        <w:gridCol w:w="1989"/>
        <w:gridCol w:w="96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0" w:type="auto"/>
            <w:noWrap w:val="0"/>
            <w:vAlign w:val="center"/>
          </w:tcPr>
          <w:p>
            <w:pPr>
              <w:spacing w:line="240" w:lineRule="exact"/>
              <w:ind w:left="-105" w:leftChars="-50" w:right="-105" w:rightChars="-50"/>
              <w:jc w:val="center"/>
              <w:rPr>
                <w:rFonts w:ascii="Times New Roman" w:hAnsi="Times New Roman" w:eastAsia="方正黑体_GBK"/>
                <w:szCs w:val="21"/>
              </w:rPr>
            </w:pPr>
            <w:bookmarkStart w:id="0" w:name="_Hlk86654816"/>
            <w:r>
              <w:rPr>
                <w:rFonts w:ascii="Times New Roman" w:hAnsi="Times New Roman" w:eastAsia="方正黑体_GBK"/>
                <w:szCs w:val="21"/>
              </w:rPr>
              <w:t>序号</w:t>
            </w:r>
          </w:p>
        </w:tc>
        <w:tc>
          <w:tcPr>
            <w:tcW w:w="0" w:type="auto"/>
            <w:noWrap w:val="0"/>
            <w:vAlign w:val="center"/>
          </w:tcPr>
          <w:p>
            <w:pPr>
              <w:spacing w:line="240" w:lineRule="exact"/>
              <w:ind w:left="-105" w:leftChars="-50" w:right="-105" w:rightChars="-50"/>
              <w:jc w:val="center"/>
              <w:rPr>
                <w:rFonts w:ascii="Times New Roman" w:hAnsi="Times New Roman" w:eastAsia="方正黑体_GBK"/>
                <w:szCs w:val="21"/>
              </w:rPr>
            </w:pPr>
            <w:r>
              <w:rPr>
                <w:rFonts w:ascii="Times New Roman" w:hAnsi="Times New Roman" w:eastAsia="方正黑体_GBK"/>
                <w:szCs w:val="21"/>
              </w:rPr>
              <w:t>主管部门</w:t>
            </w:r>
          </w:p>
        </w:tc>
        <w:tc>
          <w:tcPr>
            <w:tcW w:w="0" w:type="auto"/>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中介事项</w:t>
            </w:r>
          </w:p>
        </w:tc>
        <w:tc>
          <w:tcPr>
            <w:tcW w:w="0" w:type="auto"/>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审批事项</w:t>
            </w:r>
          </w:p>
        </w:tc>
        <w:tc>
          <w:tcPr>
            <w:tcW w:w="3116" w:type="dxa"/>
            <w:noWrap w:val="0"/>
            <w:vAlign w:val="center"/>
          </w:tcPr>
          <w:p>
            <w:pPr>
              <w:overflowPunct w:val="0"/>
              <w:autoSpaceDE w:val="0"/>
              <w:autoSpaceDN w:val="0"/>
              <w:adjustRightInd w:val="0"/>
              <w:snapToGrid w:val="0"/>
              <w:spacing w:line="240" w:lineRule="exact"/>
              <w:jc w:val="center"/>
              <w:rPr>
                <w:rFonts w:ascii="Times New Roman" w:hAnsi="Times New Roman" w:eastAsia="方正黑体_GBK"/>
                <w:szCs w:val="21"/>
              </w:rPr>
            </w:pPr>
            <w:r>
              <w:rPr>
                <w:rFonts w:ascii="Times New Roman" w:hAnsi="Times New Roman" w:eastAsia="方正黑体_GBK"/>
                <w:szCs w:val="21"/>
              </w:rPr>
              <w:t>中介服务事项设定依据</w:t>
            </w:r>
          </w:p>
        </w:tc>
        <w:tc>
          <w:tcPr>
            <w:tcW w:w="1276" w:type="dxa"/>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中介机构</w:t>
            </w:r>
          </w:p>
        </w:tc>
        <w:tc>
          <w:tcPr>
            <w:tcW w:w="2261" w:type="dxa"/>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收费标准</w:t>
            </w:r>
          </w:p>
        </w:tc>
        <w:tc>
          <w:tcPr>
            <w:tcW w:w="0" w:type="auto"/>
            <w:noWrap w:val="0"/>
            <w:vAlign w:val="center"/>
          </w:tcPr>
          <w:p>
            <w:pPr>
              <w:spacing w:line="240" w:lineRule="exact"/>
              <w:ind w:left="-105" w:leftChars="-50" w:right="-105" w:rightChars="-50"/>
              <w:jc w:val="center"/>
              <w:rPr>
                <w:rFonts w:ascii="Times New Roman" w:hAnsi="Times New Roman" w:eastAsia="方正黑体_GBK"/>
                <w:szCs w:val="21"/>
              </w:rPr>
            </w:pPr>
            <w:r>
              <w:rPr>
                <w:rFonts w:ascii="Times New Roman" w:hAnsi="Times New Roman" w:eastAsia="方正黑体_GBK"/>
                <w:szCs w:val="21"/>
              </w:rPr>
              <w:t>服务时间</w:t>
            </w:r>
          </w:p>
        </w:tc>
        <w:tc>
          <w:tcPr>
            <w:tcW w:w="0" w:type="auto"/>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规范要求</w:t>
            </w:r>
          </w:p>
        </w:tc>
        <w:tc>
          <w:tcPr>
            <w:tcW w:w="0" w:type="auto"/>
            <w:noWrap w:val="0"/>
            <w:vAlign w:val="center"/>
          </w:tcPr>
          <w:p>
            <w:pPr>
              <w:spacing w:line="240" w:lineRule="exact"/>
              <w:jc w:val="center"/>
              <w:rPr>
                <w:rFonts w:ascii="Times New Roman" w:hAnsi="Times New Roman" w:eastAsia="方正黑体_GBK"/>
                <w:szCs w:val="21"/>
              </w:rPr>
            </w:pPr>
            <w:r>
              <w:rPr>
                <w:rFonts w:ascii="Times New Roman" w:hAnsi="Times New Roman" w:eastAsia="方正黑体_GBK"/>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02"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w:t>
            </w:r>
          </w:p>
        </w:tc>
        <w:tc>
          <w:tcPr>
            <w:tcW w:w="0" w:type="auto"/>
            <w:noWrap w:val="0"/>
            <w:vAlign w:val="center"/>
          </w:tcPr>
          <w:p>
            <w:pPr>
              <w:widowControl/>
              <w:spacing w:line="280" w:lineRule="exact"/>
              <w:jc w:val="center"/>
              <w:rPr>
                <w:rFonts w:ascii="Times New Roman" w:hAnsi="Times New Roman"/>
                <w:szCs w:val="21"/>
              </w:rPr>
            </w:pPr>
            <w:r>
              <w:rPr>
                <w:rFonts w:ascii="Times New Roman" w:hAnsi="宋体"/>
                <w:szCs w:val="21"/>
              </w:rPr>
              <w:t>市发展和改革委员会</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编制项目申请报告</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企业、事业单位、社会团体等投资建设的固定资产投资项目核准</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【国务院决定】《国务院关于投资体制改革的决定》（国发〔</w:t>
            </w:r>
            <w:r>
              <w:rPr>
                <w:rFonts w:ascii="Times New Roman" w:hAnsi="Times New Roman"/>
                <w:szCs w:val="21"/>
              </w:rPr>
              <w:t>2004</w:t>
            </w:r>
            <w:r>
              <w:rPr>
                <w:rFonts w:ascii="Times New Roman" w:hAnsi="宋体"/>
                <w:szCs w:val="21"/>
              </w:rPr>
              <w:t>〕</w:t>
            </w:r>
            <w:r>
              <w:rPr>
                <w:rFonts w:ascii="Times New Roman" w:hAnsi="Times New Roman"/>
                <w:szCs w:val="21"/>
              </w:rPr>
              <w:t>20</w:t>
            </w:r>
            <w:r>
              <w:rPr>
                <w:rFonts w:ascii="Times New Roman" w:hAnsi="宋体"/>
                <w:szCs w:val="21"/>
              </w:rPr>
              <w:t>号）</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二、</w:t>
            </w:r>
            <w:r>
              <w:rPr>
                <w:rFonts w:ascii="Times New Roman" w:hAnsi="Times New Roman"/>
                <w:szCs w:val="21"/>
              </w:rPr>
              <w:t>（</w:t>
            </w:r>
            <w:r>
              <w:rPr>
                <w:rFonts w:ascii="Times New Roman" w:hAnsi="宋体"/>
                <w:szCs w:val="21"/>
              </w:rPr>
              <w:t>二</w:t>
            </w:r>
            <w:r>
              <w:rPr>
                <w:rFonts w:ascii="Times New Roman" w:hAnsi="Times New Roman"/>
                <w:szCs w:val="21"/>
              </w:rPr>
              <w:t>）</w:t>
            </w:r>
            <w:r>
              <w:rPr>
                <w:rFonts w:ascii="Times New Roman" w:hAnsi="宋体"/>
                <w:szCs w:val="21"/>
              </w:rPr>
              <w:t>规范政府核准制。企业投资建设实行核准制的项目，仅需向政府提交项目申请报告。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资质的评估机构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20" w:lineRule="exact"/>
              <w:rPr>
                <w:rFonts w:ascii="Times New Roman" w:hAnsi="Times New Roman"/>
                <w:szCs w:val="21"/>
              </w:rPr>
            </w:pPr>
            <w:r>
              <w:rPr>
                <w:rFonts w:ascii="Times New Roman" w:hAnsi="宋体"/>
                <w:szCs w:val="21"/>
              </w:rPr>
              <w:t>申请人可按要求自行编制项目申请报告，也可委托有关机构编制，审批部门不得以任何形式要求申请人必须委托特定中介机构提供服务。</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22"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市发展和改革委员会</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固定资产投资项目节能评估文件编制</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固定资产投资项目节能评估和审查</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【法律】《中华人民共和国节约能源法》</w:t>
            </w:r>
          </w:p>
          <w:p>
            <w:pPr>
              <w:overflowPunct w:val="0"/>
              <w:autoSpaceDE w:val="0"/>
              <w:autoSpaceDN w:val="0"/>
              <w:adjustRightInd w:val="0"/>
              <w:snapToGrid w:val="0"/>
              <w:spacing w:line="320" w:lineRule="exact"/>
              <w:rPr>
                <w:rFonts w:ascii="Times New Roman" w:hAnsi="Times New Roman"/>
                <w:szCs w:val="21"/>
                <w:shd w:val="clear" w:color="auto" w:fill="FFFFFF"/>
              </w:rPr>
            </w:pPr>
            <w:r>
              <w:rPr>
                <w:rFonts w:ascii="Times New Roman" w:hAnsi="宋体"/>
                <w:szCs w:val="21"/>
              </w:rPr>
              <w:t>第十五条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国家实行固定资产投资项目节能评估和审查制度。不符合强制性节能标准的项目，建设单位不得开工建设；已经建成的，不得投入生产、使用。政府投资项目不符合强制性节能标准的，依法负责项目审批的机关不得批准建设。具体办法由国务院管理节能工作的部门会同国务院有关部门制定。</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能力的编制机构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20" w:lineRule="exact"/>
              <w:rPr>
                <w:rFonts w:ascii="Times New Roman" w:hAnsi="Times New Roman"/>
                <w:szCs w:val="21"/>
              </w:rPr>
            </w:pPr>
            <w:r>
              <w:rPr>
                <w:rFonts w:ascii="Times New Roman" w:hAnsi="宋体"/>
                <w:szCs w:val="21"/>
              </w:rPr>
              <w:t>申请人可按要求自行编制节能评估文件，也可委托有关机构编制，审批部门不得以任何形式要求申请人必须委托特定中介机构提供服务；保留审批部门现有的固定资产投资项目节能评估文件技术评估、评审。</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01" w:hRule="atLeast"/>
          <w:jc w:val="center"/>
        </w:trPr>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Times New Roman"/>
                <w:bCs/>
                <w:kern w:val="0"/>
                <w:szCs w:val="21"/>
              </w:rPr>
              <w:t>3</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市公安局</w:t>
            </w:r>
          </w:p>
        </w:tc>
        <w:tc>
          <w:tcPr>
            <w:tcW w:w="0" w:type="auto"/>
            <w:noWrap w:val="0"/>
            <w:vAlign w:val="center"/>
          </w:tcPr>
          <w:p>
            <w:pPr>
              <w:spacing w:line="320" w:lineRule="exact"/>
              <w:rPr>
                <w:rFonts w:ascii="Times New Roman" w:hAnsi="Times New Roman"/>
                <w:szCs w:val="21"/>
              </w:rPr>
            </w:pPr>
            <w:r>
              <w:rPr>
                <w:rFonts w:ascii="Times New Roman" w:hAnsi="宋体"/>
                <w:szCs w:val="21"/>
              </w:rPr>
              <w:t>爆破设计、施工方案评估</w:t>
            </w:r>
          </w:p>
        </w:tc>
        <w:tc>
          <w:tcPr>
            <w:tcW w:w="0" w:type="auto"/>
            <w:noWrap w:val="0"/>
            <w:vAlign w:val="center"/>
          </w:tcPr>
          <w:p>
            <w:pPr>
              <w:spacing w:line="320" w:lineRule="exact"/>
              <w:rPr>
                <w:rFonts w:ascii="Times New Roman" w:hAnsi="Times New Roman"/>
                <w:szCs w:val="21"/>
              </w:rPr>
            </w:pPr>
            <w:r>
              <w:rPr>
                <w:rFonts w:ascii="Times New Roman" w:hAnsi="宋体"/>
                <w:szCs w:val="21"/>
              </w:rPr>
              <w:t>爆破作业许可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【法规】《民用爆炸物品安全管理条例》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第三十五条</w:t>
            </w:r>
            <w:r>
              <w:rPr>
                <w:rFonts w:hint="eastAsia" w:ascii="Times New Roman" w:hAnsi="宋体"/>
                <w:szCs w:val="21"/>
              </w:rPr>
              <w:t xml:space="preserve">  </w:t>
            </w:r>
            <w:r>
              <w:rPr>
                <w:rFonts w:ascii="Times New Roman" w:hAnsi="宋体"/>
                <w:szCs w:val="21"/>
              </w:rPr>
              <w:t>在城市、风景名胜区和重要工程设施附近实施爆破作业的，应当向爆破作业所在地设区的市级人民政府公安机关提出申请，提交《爆破作业单位许可证》和具有相应资质的安全评估企业出具的爆破设计、施工方案评估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资质的评估机构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申请人可选择有资质的机构出具报告，审批部门不得以任何形式要求申请人到指定的中介机构提供服务</w:t>
            </w:r>
          </w:p>
        </w:tc>
        <w:tc>
          <w:tcPr>
            <w:tcW w:w="0" w:type="auto"/>
            <w:noWrap w:val="0"/>
            <w:vAlign w:val="center"/>
          </w:tcPr>
          <w:p>
            <w:pPr>
              <w:autoSpaceDE w:val="0"/>
              <w:autoSpaceDN w:val="0"/>
              <w:snapToGrid w:val="0"/>
              <w:spacing w:line="320" w:lineRule="exact"/>
              <w:rPr>
                <w:rFonts w:ascii="Times New Roman" w:hAnsi="Times New Roman"/>
                <w:bCs/>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22" w:hRule="atLeast"/>
          <w:jc w:val="center"/>
        </w:trPr>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Times New Roman"/>
                <w:bCs/>
                <w:kern w:val="0"/>
                <w:szCs w:val="21"/>
              </w:rPr>
              <w:t>4</w:t>
            </w:r>
          </w:p>
        </w:tc>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宋体"/>
                <w:bCs/>
                <w:kern w:val="0"/>
                <w:szCs w:val="21"/>
              </w:rPr>
              <w:t>市公安局</w:t>
            </w:r>
          </w:p>
        </w:tc>
        <w:tc>
          <w:tcPr>
            <w:tcW w:w="0" w:type="auto"/>
            <w:noWrap w:val="0"/>
            <w:vAlign w:val="center"/>
          </w:tcPr>
          <w:p>
            <w:pPr>
              <w:spacing w:line="320" w:lineRule="exact"/>
              <w:rPr>
                <w:rFonts w:ascii="Times New Roman" w:hAnsi="Times New Roman"/>
                <w:szCs w:val="21"/>
              </w:rPr>
            </w:pPr>
            <w:r>
              <w:rPr>
                <w:rFonts w:ascii="Times New Roman" w:hAnsi="宋体"/>
                <w:szCs w:val="21"/>
              </w:rPr>
              <w:t>机动车运行安全技术检验</w:t>
            </w:r>
          </w:p>
        </w:tc>
        <w:tc>
          <w:tcPr>
            <w:tcW w:w="0" w:type="auto"/>
            <w:noWrap w:val="0"/>
            <w:vAlign w:val="center"/>
          </w:tcPr>
          <w:p>
            <w:pPr>
              <w:spacing w:line="320" w:lineRule="exact"/>
              <w:rPr>
                <w:rFonts w:ascii="Times New Roman" w:hAnsi="Times New Roman"/>
                <w:szCs w:val="21"/>
              </w:rPr>
            </w:pPr>
            <w:r>
              <w:rPr>
                <w:rFonts w:ascii="Times New Roman" w:hAnsi="宋体"/>
                <w:szCs w:val="21"/>
              </w:rPr>
              <w:t>机动车登记</w:t>
            </w:r>
          </w:p>
        </w:tc>
        <w:tc>
          <w:tcPr>
            <w:tcW w:w="3116" w:type="dxa"/>
            <w:noWrap w:val="0"/>
            <w:vAlign w:val="center"/>
          </w:tcPr>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【法律】《中华人民共和国道路交通安全法》</w:t>
            </w:r>
          </w:p>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第十条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准予登记的机动车应当符合机动车国家安全技术标准。申请机动车登记时，应当接受对该机动车的安全技术检验。但是，经国家机动车产品主管部门依据机动车国家安全技术标准认定的企业生产的机动车型，该车型的新车在出厂时经检验符合机动车国家安全技术标准，获得检验合格证的，免予安全技术检验。</w:t>
            </w:r>
          </w:p>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第十三条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对登记后上道路行驶的机动车，应当依照法律、行政法规的规定，根据车辆用途、载客载货数量、使用年限等不同情况，定期进行安全技术检验。对提供机动车行驶证和机动车第三者责任强制保险单的，机动车安全技术检验机构应当予以检验，任何单位不得附加其他条件。对符合机动车国家安全技术标准的，公安机关交通管理部门应当发给检验合格标志。</w:t>
            </w:r>
          </w:p>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公安机关交通管理部门、机动车安全技术检验机构不得要求机动车到指定的场所进行维修、保养。</w:t>
            </w:r>
          </w:p>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机动车安全技术检验机构对机动车检验收取费用，应当严格执行国务院价格主管部门核定的收费标准。</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资质的机动车安全技术检验机构</w:t>
            </w:r>
          </w:p>
        </w:tc>
        <w:tc>
          <w:tcPr>
            <w:tcW w:w="2261" w:type="dxa"/>
            <w:noWrap w:val="0"/>
            <w:vAlign w:val="center"/>
          </w:tcPr>
          <w:p>
            <w:pPr>
              <w:spacing w:line="320" w:lineRule="exact"/>
              <w:jc w:val="center"/>
              <w:rPr>
                <w:rFonts w:ascii="Times New Roman" w:hAnsi="Times New Roman"/>
                <w:szCs w:val="21"/>
              </w:rPr>
            </w:pPr>
            <w:r>
              <w:rPr>
                <w:rFonts w:ascii="Times New Roman" w:hAnsi="宋体"/>
                <w:szCs w:val="21"/>
              </w:rPr>
              <w:t>根据发改价格</w:t>
            </w:r>
            <w:r>
              <w:rPr>
                <w:rFonts w:ascii="Times New Roman" w:hAnsi="Times New Roman"/>
                <w:szCs w:val="21"/>
              </w:rPr>
              <w:t>〔2019〕798</w:t>
            </w:r>
            <w:r>
              <w:rPr>
                <w:rFonts w:ascii="Times New Roman" w:hAnsi="宋体"/>
                <w:szCs w:val="21"/>
              </w:rPr>
              <w:t>号；省发改委收费发</w:t>
            </w:r>
            <w:r>
              <w:rPr>
                <w:rFonts w:ascii="Times New Roman" w:hAnsi="Times New Roman"/>
                <w:szCs w:val="21"/>
              </w:rPr>
              <w:t>〔2019〕1527</w:t>
            </w:r>
            <w:r>
              <w:rPr>
                <w:rFonts w:ascii="Times New Roman" w:hAnsi="宋体"/>
                <w:szCs w:val="21"/>
              </w:rPr>
              <w:t>号文件精神，市场调节价</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申请人可选择有资质的机构出具报告，审批部门不得以任何形式要求申请人到指定的中介机构提供服务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67" w:hRule="atLeast"/>
          <w:jc w:val="center"/>
        </w:trPr>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Times New Roman"/>
                <w:bCs/>
                <w:kern w:val="0"/>
                <w:szCs w:val="21"/>
              </w:rPr>
              <w:t>5</w:t>
            </w:r>
          </w:p>
        </w:tc>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宋体"/>
                <w:bCs/>
                <w:kern w:val="0"/>
                <w:szCs w:val="21"/>
              </w:rPr>
              <w:t>市民政局</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出具验资报告</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社会团体（市级）的设立登记</w:t>
            </w:r>
            <w:r>
              <w:rPr>
                <w:rFonts w:ascii="Times New Roman" w:hAnsi="Times New Roman"/>
                <w:bCs/>
                <w:kern w:val="0"/>
                <w:szCs w:val="21"/>
              </w:rPr>
              <w:t xml:space="preserve"> </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【法规】《社会团体登记管理条例》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第十一条</w:t>
            </w:r>
            <w:r>
              <w:rPr>
                <w:rFonts w:hint="eastAsia" w:ascii="Times New Roman" w:hAnsi="宋体"/>
                <w:szCs w:val="21"/>
              </w:rPr>
              <w:t xml:space="preserve">  </w:t>
            </w:r>
            <w:r>
              <w:rPr>
                <w:rFonts w:ascii="Times New Roman" w:hAnsi="宋体"/>
                <w:szCs w:val="21"/>
              </w:rPr>
              <w:t>申请登记社会团体，发起人应当向登记管理机关提交下列文件：</w:t>
            </w:r>
          </w:p>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szCs w:val="21"/>
              </w:rPr>
              <w:t>（三）验资报告、场所使用权证明；</w:t>
            </w:r>
          </w:p>
        </w:tc>
        <w:tc>
          <w:tcPr>
            <w:tcW w:w="1276" w:type="dxa"/>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依法设立的验资机构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申请人委托依法设立的验资机构进行验资，登记部门不得以任何形式要求申请人委托特定中介服务机构提供服务。</w:t>
            </w:r>
          </w:p>
        </w:tc>
        <w:tc>
          <w:tcPr>
            <w:tcW w:w="0" w:type="auto"/>
            <w:noWrap w:val="0"/>
            <w:vAlign w:val="center"/>
          </w:tcPr>
          <w:p>
            <w:pPr>
              <w:autoSpaceDE w:val="0"/>
              <w:autoSpaceDN w:val="0"/>
              <w:snapToGrid w:val="0"/>
              <w:spacing w:line="320" w:lineRule="exact"/>
              <w:rPr>
                <w:rFonts w:ascii="Times New Roman" w:hAnsi="Times New Roman"/>
                <w:bCs/>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76" w:hRule="exact"/>
          <w:jc w:val="center"/>
        </w:trPr>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Times New Roman"/>
                <w:bCs/>
                <w:kern w:val="0"/>
                <w:szCs w:val="21"/>
              </w:rPr>
              <w:t>6</w:t>
            </w:r>
          </w:p>
        </w:tc>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宋体"/>
                <w:bCs/>
                <w:kern w:val="0"/>
                <w:szCs w:val="21"/>
              </w:rPr>
              <w:t>市民政局</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出具验资报告</w:t>
            </w:r>
          </w:p>
        </w:tc>
        <w:tc>
          <w:tcPr>
            <w:tcW w:w="0" w:type="auto"/>
            <w:noWrap w:val="0"/>
            <w:vAlign w:val="center"/>
          </w:tcPr>
          <w:p>
            <w:pPr>
              <w:autoSpaceDE w:val="0"/>
              <w:autoSpaceDN w:val="0"/>
              <w:snapToGrid w:val="0"/>
              <w:spacing w:line="320" w:lineRule="exact"/>
              <w:rPr>
                <w:rFonts w:hint="eastAsia" w:ascii="Times New Roman" w:hAnsi="宋体"/>
                <w:bCs/>
                <w:kern w:val="0"/>
                <w:szCs w:val="21"/>
              </w:rPr>
            </w:pPr>
            <w:r>
              <w:rPr>
                <w:rFonts w:ascii="Times New Roman" w:hAnsi="宋体"/>
                <w:bCs/>
                <w:kern w:val="0"/>
                <w:szCs w:val="21"/>
              </w:rPr>
              <w:t>民办非企业</w:t>
            </w:r>
          </w:p>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单位（市级）的设立登记</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bCs/>
                <w:kern w:val="0"/>
                <w:szCs w:val="21"/>
              </w:rPr>
              <w:t>【法规】《民办非企业单位登记管理暂行条例》</w:t>
            </w:r>
          </w:p>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bCs/>
                <w:kern w:val="0"/>
                <w:szCs w:val="21"/>
              </w:rPr>
              <w:t>第九条</w:t>
            </w:r>
            <w:r>
              <w:rPr>
                <w:rFonts w:hint="eastAsia" w:ascii="Times New Roman" w:hAnsi="宋体"/>
                <w:bCs/>
                <w:kern w:val="0"/>
                <w:szCs w:val="21"/>
              </w:rPr>
              <w:t xml:space="preserve">  </w:t>
            </w:r>
            <w:r>
              <w:rPr>
                <w:rFonts w:ascii="Times New Roman" w:hAnsi="宋体"/>
                <w:bCs/>
                <w:kern w:val="0"/>
                <w:szCs w:val="21"/>
              </w:rPr>
              <w:t>申请民办非企业单位登记，举办者应当向登记管理机关提交下列文件：</w:t>
            </w:r>
          </w:p>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bCs/>
                <w:kern w:val="0"/>
                <w:szCs w:val="21"/>
              </w:rPr>
              <w:t>（四）验资报告；</w:t>
            </w:r>
          </w:p>
        </w:tc>
        <w:tc>
          <w:tcPr>
            <w:tcW w:w="1276" w:type="dxa"/>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依法设立的验资机构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申请人委托依法设立的验资机构进行验资，登记部门不得以任何形式要求申请人委托特定中介服务机构提供服务。</w:t>
            </w:r>
          </w:p>
        </w:tc>
        <w:tc>
          <w:tcPr>
            <w:tcW w:w="0" w:type="auto"/>
            <w:noWrap w:val="0"/>
            <w:vAlign w:val="center"/>
          </w:tcPr>
          <w:p>
            <w:pPr>
              <w:autoSpaceDE w:val="0"/>
              <w:autoSpaceDN w:val="0"/>
              <w:snapToGrid w:val="0"/>
              <w:spacing w:line="320" w:lineRule="exact"/>
              <w:rPr>
                <w:rFonts w:ascii="Times New Roman" w:hAnsi="Times New Roman"/>
                <w:bCs/>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35" w:hRule="exact"/>
          <w:jc w:val="center"/>
        </w:trPr>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Times New Roman"/>
                <w:bCs/>
                <w:kern w:val="0"/>
                <w:szCs w:val="21"/>
              </w:rPr>
              <w:t>7</w:t>
            </w:r>
          </w:p>
        </w:tc>
        <w:tc>
          <w:tcPr>
            <w:tcW w:w="0" w:type="auto"/>
            <w:noWrap w:val="0"/>
            <w:vAlign w:val="center"/>
          </w:tcPr>
          <w:p>
            <w:pPr>
              <w:autoSpaceDE w:val="0"/>
              <w:autoSpaceDN w:val="0"/>
              <w:snapToGrid w:val="0"/>
              <w:spacing w:line="320" w:lineRule="exact"/>
              <w:jc w:val="center"/>
              <w:rPr>
                <w:rFonts w:ascii="Times New Roman" w:hAnsi="Times New Roman"/>
                <w:bCs/>
                <w:kern w:val="0"/>
                <w:szCs w:val="21"/>
              </w:rPr>
            </w:pPr>
            <w:r>
              <w:rPr>
                <w:rFonts w:ascii="Times New Roman" w:hAnsi="宋体"/>
                <w:bCs/>
                <w:kern w:val="0"/>
                <w:szCs w:val="21"/>
              </w:rPr>
              <w:t>市民政局</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出具验资报告</w:t>
            </w:r>
          </w:p>
        </w:tc>
        <w:tc>
          <w:tcPr>
            <w:tcW w:w="0" w:type="auto"/>
            <w:noWrap w:val="0"/>
            <w:vAlign w:val="center"/>
          </w:tcPr>
          <w:p>
            <w:pPr>
              <w:autoSpaceDE w:val="0"/>
              <w:autoSpaceDN w:val="0"/>
              <w:snapToGrid w:val="0"/>
              <w:spacing w:line="320" w:lineRule="exact"/>
              <w:rPr>
                <w:rFonts w:hint="eastAsia" w:ascii="Times New Roman" w:hAnsi="宋体"/>
                <w:bCs/>
                <w:kern w:val="0"/>
                <w:szCs w:val="21"/>
              </w:rPr>
            </w:pPr>
            <w:r>
              <w:rPr>
                <w:rFonts w:ascii="Times New Roman" w:hAnsi="宋体"/>
                <w:bCs/>
                <w:kern w:val="0"/>
                <w:szCs w:val="21"/>
              </w:rPr>
              <w:t>基金会设立</w:t>
            </w:r>
          </w:p>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登记</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bCs/>
                <w:kern w:val="0"/>
                <w:szCs w:val="21"/>
              </w:rPr>
              <w:t>【法规】《基金会管理条例》</w:t>
            </w:r>
          </w:p>
          <w:p>
            <w:pPr>
              <w:overflowPunct w:val="0"/>
              <w:autoSpaceDE w:val="0"/>
              <w:autoSpaceDN w:val="0"/>
              <w:adjustRightInd w:val="0"/>
              <w:snapToGrid w:val="0"/>
              <w:spacing w:line="320" w:lineRule="exact"/>
              <w:rPr>
                <w:rFonts w:ascii="Times New Roman" w:hAnsi="Times New Roman"/>
                <w:bCs/>
                <w:kern w:val="0"/>
                <w:szCs w:val="21"/>
              </w:rPr>
            </w:pPr>
            <w:r>
              <w:rPr>
                <w:rFonts w:ascii="Times New Roman" w:hAnsi="宋体"/>
                <w:bCs/>
                <w:kern w:val="0"/>
                <w:szCs w:val="21"/>
              </w:rPr>
              <w:t>第九条</w:t>
            </w:r>
            <w:r>
              <w:rPr>
                <w:rFonts w:hint="eastAsia" w:ascii="Times New Roman" w:hAnsi="宋体"/>
                <w:bCs/>
                <w:kern w:val="0"/>
                <w:szCs w:val="21"/>
              </w:rPr>
              <w:t xml:space="preserve"> </w:t>
            </w:r>
            <w:r>
              <w:rPr>
                <w:rFonts w:ascii="Times New Roman" w:hAnsi="Times New Roman"/>
                <w:bCs/>
                <w:kern w:val="0"/>
                <w:szCs w:val="21"/>
              </w:rPr>
              <w:t xml:space="preserve"> </w:t>
            </w:r>
            <w:r>
              <w:rPr>
                <w:rFonts w:ascii="Times New Roman" w:hAnsi="宋体"/>
                <w:bCs/>
                <w:kern w:val="0"/>
                <w:szCs w:val="21"/>
              </w:rPr>
              <w:t>申请设立基金会，申请人应当向登记管理机关提交下列文件：</w:t>
            </w:r>
            <w:r>
              <w:rPr>
                <w:rFonts w:ascii="Times New Roman" w:hAnsi="Times New Roman"/>
                <w:bCs/>
                <w:kern w:val="0"/>
                <w:szCs w:val="21"/>
              </w:rPr>
              <w:t>……</w:t>
            </w:r>
            <w:r>
              <w:rPr>
                <w:rFonts w:ascii="Times New Roman" w:hAnsi="宋体"/>
                <w:bCs/>
                <w:kern w:val="0"/>
                <w:szCs w:val="21"/>
              </w:rPr>
              <w:t>（三）验资证明和住所证明</w:t>
            </w:r>
          </w:p>
        </w:tc>
        <w:tc>
          <w:tcPr>
            <w:tcW w:w="1276" w:type="dxa"/>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依法设立的验资机构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utoSpaceDE w:val="0"/>
              <w:autoSpaceDN w:val="0"/>
              <w:snapToGrid w:val="0"/>
              <w:spacing w:line="320" w:lineRule="exact"/>
              <w:rPr>
                <w:rFonts w:ascii="Times New Roman" w:hAnsi="Times New Roman"/>
                <w:bCs/>
                <w:kern w:val="0"/>
                <w:szCs w:val="21"/>
              </w:rPr>
            </w:pPr>
            <w:r>
              <w:rPr>
                <w:rFonts w:ascii="Times New Roman" w:hAnsi="宋体"/>
                <w:bCs/>
                <w:kern w:val="0"/>
                <w:szCs w:val="21"/>
              </w:rPr>
              <w:t>申请人委托依法设立的验资机构进行验资，登记部门不得以任何形式要求申请人委托特定中介服务机构提供服务。</w:t>
            </w:r>
          </w:p>
        </w:tc>
        <w:tc>
          <w:tcPr>
            <w:tcW w:w="0" w:type="auto"/>
            <w:noWrap w:val="0"/>
            <w:vAlign w:val="center"/>
          </w:tcPr>
          <w:p>
            <w:pPr>
              <w:autoSpaceDE w:val="0"/>
              <w:autoSpaceDN w:val="0"/>
              <w:snapToGrid w:val="0"/>
              <w:spacing w:line="320" w:lineRule="exact"/>
              <w:rPr>
                <w:rFonts w:ascii="Times New Roman" w:hAnsi="Times New Roman"/>
                <w:bCs/>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22" w:hRule="exact"/>
          <w:jc w:val="center"/>
        </w:trPr>
        <w:tc>
          <w:tcPr>
            <w:tcW w:w="0" w:type="auto"/>
            <w:noWrap w:val="0"/>
            <w:vAlign w:val="center"/>
          </w:tcPr>
          <w:p>
            <w:pPr>
              <w:adjustRightInd w:val="0"/>
              <w:spacing w:line="260" w:lineRule="exact"/>
              <w:jc w:val="center"/>
              <w:rPr>
                <w:rFonts w:ascii="Times New Roman" w:hAnsi="Times New Roman"/>
                <w:szCs w:val="21"/>
              </w:rPr>
            </w:pPr>
            <w:r>
              <w:rPr>
                <w:rFonts w:ascii="Times New Roman" w:hAnsi="Times New Roman"/>
                <w:szCs w:val="21"/>
              </w:rPr>
              <w:t>8</w:t>
            </w:r>
          </w:p>
        </w:tc>
        <w:tc>
          <w:tcPr>
            <w:tcW w:w="0" w:type="auto"/>
            <w:noWrap w:val="0"/>
            <w:vAlign w:val="center"/>
          </w:tcPr>
          <w:p>
            <w:pPr>
              <w:adjustRightInd w:val="0"/>
              <w:spacing w:line="260" w:lineRule="exact"/>
              <w:jc w:val="center"/>
              <w:rPr>
                <w:rFonts w:ascii="Times New Roman" w:hAnsi="Times New Roman"/>
                <w:szCs w:val="21"/>
              </w:rPr>
            </w:pPr>
            <w:r>
              <w:rPr>
                <w:rFonts w:ascii="Times New Roman" w:hAnsi="宋体"/>
                <w:szCs w:val="21"/>
              </w:rPr>
              <w:t>市自然资源和规划局</w:t>
            </w:r>
          </w:p>
        </w:tc>
        <w:tc>
          <w:tcPr>
            <w:tcW w:w="0" w:type="auto"/>
            <w:noWrap w:val="0"/>
            <w:vAlign w:val="center"/>
          </w:tcPr>
          <w:p>
            <w:pPr>
              <w:adjustRightInd w:val="0"/>
              <w:spacing w:line="260" w:lineRule="exact"/>
              <w:rPr>
                <w:rFonts w:ascii="Times New Roman" w:hAnsi="Times New Roman"/>
                <w:szCs w:val="21"/>
              </w:rPr>
            </w:pPr>
            <w:r>
              <w:rPr>
                <w:rFonts w:ascii="Times New Roman" w:hAnsi="宋体"/>
                <w:szCs w:val="21"/>
              </w:rPr>
              <w:t>现势性地形图（管线图）更新测绘</w:t>
            </w:r>
          </w:p>
        </w:tc>
        <w:tc>
          <w:tcPr>
            <w:tcW w:w="0" w:type="auto"/>
            <w:noWrap w:val="0"/>
            <w:vAlign w:val="center"/>
          </w:tcPr>
          <w:p>
            <w:pPr>
              <w:adjustRightInd w:val="0"/>
              <w:spacing w:line="260" w:lineRule="exact"/>
              <w:rPr>
                <w:rFonts w:ascii="Times New Roman" w:hAnsi="Times New Roman"/>
                <w:szCs w:val="21"/>
              </w:rPr>
            </w:pPr>
            <w:r>
              <w:rPr>
                <w:rFonts w:ascii="Times New Roman" w:hAnsi="宋体"/>
                <w:szCs w:val="21"/>
              </w:rPr>
              <w:t>建设项目用地预审和选址意见书的核发</w:t>
            </w:r>
          </w:p>
        </w:tc>
        <w:tc>
          <w:tcPr>
            <w:tcW w:w="3116" w:type="dxa"/>
            <w:noWrap w:val="0"/>
            <w:vAlign w:val="center"/>
          </w:tcPr>
          <w:p>
            <w:pPr>
              <w:overflowPunct w:val="0"/>
              <w:autoSpaceDE w:val="0"/>
              <w:autoSpaceDN w:val="0"/>
              <w:adjustRightInd w:val="0"/>
              <w:snapToGrid w:val="0"/>
              <w:spacing w:line="260" w:lineRule="exact"/>
              <w:rPr>
                <w:rFonts w:ascii="Times New Roman" w:hAnsi="Times New Roman"/>
                <w:szCs w:val="21"/>
              </w:rPr>
            </w:pPr>
            <w:r>
              <w:rPr>
                <w:rFonts w:ascii="Times New Roman" w:hAnsi="宋体"/>
                <w:szCs w:val="21"/>
              </w:rPr>
              <w:t>【法规】《江苏省城乡规划条例》</w:t>
            </w:r>
          </w:p>
          <w:p>
            <w:pPr>
              <w:overflowPunct w:val="0"/>
              <w:autoSpaceDE w:val="0"/>
              <w:autoSpaceDN w:val="0"/>
              <w:adjustRightInd w:val="0"/>
              <w:snapToGrid w:val="0"/>
              <w:spacing w:line="260" w:lineRule="exact"/>
              <w:rPr>
                <w:rFonts w:ascii="Times New Roman" w:hAnsi="Times New Roman"/>
                <w:szCs w:val="21"/>
              </w:rPr>
            </w:pPr>
            <w:r>
              <w:rPr>
                <w:rFonts w:ascii="Times New Roman" w:hAnsi="宋体"/>
                <w:szCs w:val="21"/>
              </w:rPr>
              <w:t>第三十一条：根据国家规定需要申请选址意见书的建设项目，城乡规划主管部门可以参与建设项目前期选址工作，提出选址建议；建设单位应当在报送有关部门批准或者核准建设项目前，向有关城乡规划主管部门申请核发选址意见书。申请核发选址意见书，应当提交下列材料：（三）标明拟选址位置的地形图。</w:t>
            </w:r>
          </w:p>
        </w:tc>
        <w:tc>
          <w:tcPr>
            <w:tcW w:w="1276" w:type="dxa"/>
            <w:noWrap w:val="0"/>
            <w:vAlign w:val="center"/>
          </w:tcPr>
          <w:p>
            <w:pPr>
              <w:adjustRightInd w:val="0"/>
              <w:spacing w:line="260" w:lineRule="exact"/>
              <w:rPr>
                <w:rFonts w:hint="eastAsia" w:ascii="Times New Roman" w:hAnsi="宋体"/>
                <w:szCs w:val="21"/>
              </w:rPr>
            </w:pPr>
            <w:r>
              <w:rPr>
                <w:rFonts w:ascii="Times New Roman" w:hAnsi="宋体"/>
                <w:szCs w:val="21"/>
              </w:rPr>
              <w:t>具备相应</w:t>
            </w:r>
          </w:p>
          <w:p>
            <w:pPr>
              <w:adjustRightInd w:val="0"/>
              <w:spacing w:line="260" w:lineRule="exact"/>
              <w:rPr>
                <w:rFonts w:ascii="Times New Roman" w:hAnsi="Times New Roman"/>
                <w:szCs w:val="21"/>
              </w:rPr>
            </w:pPr>
            <w:r>
              <w:rPr>
                <w:rFonts w:ascii="Times New Roman" w:hAnsi="宋体"/>
                <w:szCs w:val="21"/>
              </w:rPr>
              <w:t>资质的机构</w:t>
            </w:r>
          </w:p>
        </w:tc>
        <w:tc>
          <w:tcPr>
            <w:tcW w:w="2261" w:type="dxa"/>
            <w:noWrap w:val="0"/>
            <w:vAlign w:val="center"/>
          </w:tcPr>
          <w:p>
            <w:pPr>
              <w:adjustRightInd w:val="0"/>
              <w:snapToGrid w:val="0"/>
              <w:spacing w:line="26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26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260" w:lineRule="exact"/>
              <w:rPr>
                <w:rFonts w:ascii="Times New Roman" w:hAnsi="Times New Roman"/>
                <w:szCs w:val="21"/>
              </w:rPr>
            </w:pPr>
            <w:r>
              <w:rPr>
                <w:rFonts w:ascii="Times New Roman" w:hAnsi="宋体"/>
                <w:szCs w:val="21"/>
              </w:rPr>
              <w:t>申请人自行委托有相应资质的机构实施，审批部门不得以任何形式要求申请人委托特定中介机构提供服务。</w:t>
            </w:r>
          </w:p>
        </w:tc>
        <w:tc>
          <w:tcPr>
            <w:tcW w:w="0" w:type="auto"/>
            <w:noWrap w:val="0"/>
            <w:vAlign w:val="center"/>
          </w:tcPr>
          <w:p>
            <w:pPr>
              <w:spacing w:line="26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49" w:hRule="exact"/>
          <w:jc w:val="center"/>
        </w:trPr>
        <w:tc>
          <w:tcPr>
            <w:tcW w:w="0" w:type="auto"/>
            <w:noWrap w:val="0"/>
            <w:vAlign w:val="center"/>
          </w:tcPr>
          <w:p>
            <w:pPr>
              <w:adjustRightInd w:val="0"/>
              <w:spacing w:line="260" w:lineRule="exact"/>
              <w:jc w:val="center"/>
              <w:rPr>
                <w:rFonts w:ascii="Times New Roman" w:hAnsi="Times New Roman"/>
                <w:szCs w:val="21"/>
              </w:rPr>
            </w:pPr>
            <w:r>
              <w:rPr>
                <w:rFonts w:ascii="Times New Roman" w:hAnsi="Times New Roman"/>
                <w:szCs w:val="21"/>
              </w:rPr>
              <w:t>9</w:t>
            </w:r>
          </w:p>
        </w:tc>
        <w:tc>
          <w:tcPr>
            <w:tcW w:w="0" w:type="auto"/>
            <w:noWrap w:val="0"/>
            <w:vAlign w:val="center"/>
          </w:tcPr>
          <w:p>
            <w:pPr>
              <w:adjustRightInd w:val="0"/>
              <w:spacing w:line="260" w:lineRule="exact"/>
              <w:jc w:val="center"/>
              <w:rPr>
                <w:rFonts w:ascii="Times New Roman" w:hAnsi="Times New Roman"/>
                <w:szCs w:val="21"/>
              </w:rPr>
            </w:pPr>
            <w:r>
              <w:rPr>
                <w:rFonts w:ascii="Times New Roman" w:hAnsi="宋体"/>
                <w:szCs w:val="21"/>
              </w:rPr>
              <w:t>市自然资源和规划局</w:t>
            </w:r>
          </w:p>
        </w:tc>
        <w:tc>
          <w:tcPr>
            <w:tcW w:w="0" w:type="auto"/>
            <w:noWrap w:val="0"/>
            <w:vAlign w:val="center"/>
          </w:tcPr>
          <w:p>
            <w:pPr>
              <w:spacing w:line="260" w:lineRule="exact"/>
              <w:rPr>
                <w:rFonts w:ascii="Times New Roman" w:hAnsi="Times New Roman"/>
                <w:szCs w:val="21"/>
              </w:rPr>
            </w:pPr>
            <w:r>
              <w:rPr>
                <w:rFonts w:ascii="Times New Roman" w:hAnsi="宋体"/>
                <w:szCs w:val="21"/>
              </w:rPr>
              <w:t>地质灾害危险性评估</w:t>
            </w:r>
          </w:p>
        </w:tc>
        <w:tc>
          <w:tcPr>
            <w:tcW w:w="0" w:type="auto"/>
            <w:noWrap w:val="0"/>
            <w:vAlign w:val="center"/>
          </w:tcPr>
          <w:p>
            <w:pPr>
              <w:spacing w:line="260" w:lineRule="exact"/>
              <w:rPr>
                <w:rFonts w:ascii="Times New Roman" w:hAnsi="Times New Roman"/>
                <w:b/>
                <w:bCs/>
                <w:kern w:val="0"/>
                <w:szCs w:val="21"/>
              </w:rPr>
            </w:pPr>
            <w:r>
              <w:rPr>
                <w:rFonts w:ascii="Times New Roman" w:hAnsi="宋体"/>
                <w:szCs w:val="21"/>
              </w:rPr>
              <w:t>建设用地审查</w:t>
            </w:r>
          </w:p>
        </w:tc>
        <w:tc>
          <w:tcPr>
            <w:tcW w:w="3116" w:type="dxa"/>
            <w:noWrap w:val="0"/>
            <w:vAlign w:val="center"/>
          </w:tcPr>
          <w:p>
            <w:pPr>
              <w:overflowPunct w:val="0"/>
              <w:autoSpaceDE w:val="0"/>
              <w:autoSpaceDN w:val="0"/>
              <w:adjustRightInd w:val="0"/>
              <w:snapToGrid w:val="0"/>
              <w:spacing w:line="260" w:lineRule="exact"/>
              <w:rPr>
                <w:rFonts w:ascii="Times New Roman" w:hAnsi="Times New Roman"/>
                <w:szCs w:val="21"/>
              </w:rPr>
            </w:pPr>
            <w:r>
              <w:rPr>
                <w:rFonts w:ascii="Times New Roman" w:hAnsi="宋体"/>
                <w:szCs w:val="21"/>
              </w:rPr>
              <w:t>【法规】《地质灾害防治条例》</w:t>
            </w:r>
          </w:p>
          <w:p>
            <w:pPr>
              <w:overflowPunct w:val="0"/>
              <w:autoSpaceDE w:val="0"/>
              <w:autoSpaceDN w:val="0"/>
              <w:adjustRightInd w:val="0"/>
              <w:snapToGrid w:val="0"/>
              <w:spacing w:line="260" w:lineRule="exact"/>
              <w:rPr>
                <w:rFonts w:ascii="Times New Roman" w:hAnsi="Times New Roman"/>
                <w:szCs w:val="21"/>
              </w:rPr>
            </w:pPr>
            <w:r>
              <w:rPr>
                <w:rFonts w:ascii="Times New Roman" w:hAnsi="宋体"/>
                <w:szCs w:val="21"/>
              </w:rPr>
              <w:t>第二十一条</w:t>
            </w:r>
            <w:r>
              <w:rPr>
                <w:rFonts w:hint="eastAsia" w:ascii="Times New Roman" w:hAnsi="Times New Roman"/>
                <w:szCs w:val="21"/>
              </w:rPr>
              <w:t xml:space="preserve">  </w:t>
            </w:r>
            <w:r>
              <w:rPr>
                <w:rFonts w:ascii="Times New Roman" w:hAnsi="宋体"/>
                <w:szCs w:val="21"/>
              </w:rPr>
              <w:t>在地质灾害易发区内进行工程建设应当在可行性研究阶段进行地质灾害危险性评估，并将评估结果作为可行性研究报告的组成部分；可行性研究报告未包含地质灾害危险性评估结果的，不得批准其可行性研究报告。</w:t>
            </w:r>
          </w:p>
          <w:p>
            <w:pPr>
              <w:overflowPunct w:val="0"/>
              <w:autoSpaceDE w:val="0"/>
              <w:autoSpaceDN w:val="0"/>
              <w:adjustRightInd w:val="0"/>
              <w:snapToGrid w:val="0"/>
              <w:spacing w:line="260" w:lineRule="exact"/>
              <w:rPr>
                <w:rFonts w:ascii="Times New Roman" w:hAnsi="Times New Roman"/>
                <w:szCs w:val="21"/>
              </w:rPr>
            </w:pPr>
            <w:r>
              <w:rPr>
                <w:rFonts w:ascii="Times New Roman" w:hAnsi="宋体"/>
                <w:szCs w:val="21"/>
              </w:rPr>
              <w:t>第二十二条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国家对从事地质灾害危险性评估的单位实行资质管理制度。地质灾害危险性评估单位应当具备下列条件，经省级以上人民政府国土资源主管部门资质审查合格，取得国土资源主管部门颁发的相应等级的资质证书后，方可在资质等级许可的范围内从事地质灾害危险性评估业务。</w:t>
            </w:r>
          </w:p>
        </w:tc>
        <w:tc>
          <w:tcPr>
            <w:tcW w:w="1276" w:type="dxa"/>
            <w:noWrap w:val="0"/>
            <w:vAlign w:val="center"/>
          </w:tcPr>
          <w:p>
            <w:pPr>
              <w:spacing w:line="260" w:lineRule="exact"/>
              <w:rPr>
                <w:rFonts w:hint="eastAsia" w:ascii="Times New Roman" w:hAnsi="宋体"/>
                <w:szCs w:val="21"/>
              </w:rPr>
            </w:pPr>
            <w:r>
              <w:rPr>
                <w:rFonts w:ascii="Times New Roman" w:hAnsi="宋体"/>
                <w:szCs w:val="21"/>
              </w:rPr>
              <w:t>具备地质</w:t>
            </w:r>
          </w:p>
          <w:p>
            <w:pPr>
              <w:spacing w:line="260" w:lineRule="exact"/>
              <w:rPr>
                <w:rFonts w:ascii="Times New Roman" w:hAnsi="Times New Roman"/>
                <w:szCs w:val="21"/>
              </w:rPr>
            </w:pPr>
            <w:r>
              <w:rPr>
                <w:rFonts w:ascii="Times New Roman" w:hAnsi="宋体"/>
                <w:szCs w:val="21"/>
              </w:rPr>
              <w:t>灾害危险性评估资质的机构</w:t>
            </w:r>
          </w:p>
        </w:tc>
        <w:tc>
          <w:tcPr>
            <w:tcW w:w="2261" w:type="dxa"/>
            <w:noWrap w:val="0"/>
            <w:vAlign w:val="center"/>
          </w:tcPr>
          <w:p>
            <w:pPr>
              <w:adjustRightInd w:val="0"/>
              <w:snapToGrid w:val="0"/>
              <w:spacing w:line="26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26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260" w:lineRule="exact"/>
              <w:rPr>
                <w:rFonts w:ascii="Times New Roman" w:hAnsi="Times New Roman"/>
                <w:szCs w:val="21"/>
              </w:rPr>
            </w:pPr>
            <w:r>
              <w:rPr>
                <w:rFonts w:ascii="Times New Roman" w:hAnsi="宋体"/>
                <w:szCs w:val="21"/>
              </w:rPr>
              <w:t>申请人自行委托有相应资质的机构实施，审批部门不得以任何形式要求申请人委托特定中介机构提供服务。</w:t>
            </w:r>
          </w:p>
        </w:tc>
        <w:tc>
          <w:tcPr>
            <w:tcW w:w="0" w:type="auto"/>
            <w:noWrap w:val="0"/>
            <w:vAlign w:val="center"/>
          </w:tcPr>
          <w:p>
            <w:pPr>
              <w:spacing w:line="26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5" w:hRule="atLeast"/>
          <w:jc w:val="center"/>
        </w:trPr>
        <w:tc>
          <w:tcPr>
            <w:tcW w:w="0" w:type="auto"/>
            <w:noWrap w:val="0"/>
            <w:vAlign w:val="center"/>
          </w:tcPr>
          <w:p>
            <w:pPr>
              <w:adjustRightInd w:val="0"/>
              <w:spacing w:line="320" w:lineRule="exact"/>
              <w:jc w:val="center"/>
              <w:rPr>
                <w:rFonts w:ascii="Times New Roman" w:hAnsi="Times New Roman"/>
                <w:szCs w:val="21"/>
              </w:rPr>
            </w:pPr>
            <w:r>
              <w:rPr>
                <w:rFonts w:ascii="Times New Roman" w:hAnsi="Times New Roman"/>
                <w:szCs w:val="21"/>
              </w:rPr>
              <w:t>10</w:t>
            </w:r>
          </w:p>
        </w:tc>
        <w:tc>
          <w:tcPr>
            <w:tcW w:w="0" w:type="auto"/>
            <w:noWrap w:val="0"/>
            <w:vAlign w:val="center"/>
          </w:tcPr>
          <w:p>
            <w:pPr>
              <w:topLinePunct/>
              <w:adjustRightInd w:val="0"/>
              <w:spacing w:line="320" w:lineRule="exact"/>
              <w:jc w:val="center"/>
              <w:rPr>
                <w:rFonts w:ascii="Times New Roman" w:hAnsi="Times New Roman"/>
                <w:szCs w:val="21"/>
              </w:rPr>
            </w:pPr>
            <w:r>
              <w:rPr>
                <w:rFonts w:ascii="Times New Roman" w:hAnsi="宋体"/>
                <w:szCs w:val="21"/>
              </w:rPr>
              <w:t>市生态环境局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编制建设项目环境影响报告书、报告表</w:t>
            </w:r>
          </w:p>
        </w:tc>
        <w:tc>
          <w:tcPr>
            <w:tcW w:w="0" w:type="auto"/>
            <w:noWrap w:val="0"/>
            <w:vAlign w:val="center"/>
          </w:tcPr>
          <w:p>
            <w:pPr>
              <w:spacing w:line="320" w:lineRule="exact"/>
              <w:rPr>
                <w:rFonts w:ascii="Times New Roman" w:hAnsi="Times New Roman"/>
                <w:szCs w:val="21"/>
              </w:rPr>
            </w:pPr>
            <w:r>
              <w:rPr>
                <w:rFonts w:ascii="Times New Roman" w:hAnsi="宋体"/>
                <w:szCs w:val="21"/>
              </w:rPr>
              <w:t>建设项目环境影响评价文件审批</w:t>
            </w:r>
          </w:p>
        </w:tc>
        <w:tc>
          <w:tcPr>
            <w:tcW w:w="3116" w:type="dxa"/>
            <w:noWrap w:val="0"/>
            <w:vAlign w:val="center"/>
          </w:tcPr>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【法律】《中华人民共和国环境影响评价法》</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第十六条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建设单位应当按照下列规定组织编制环境影响报告书、环境影响报告表或者填报环境影响登记表</w:t>
            </w:r>
            <w:r>
              <w:rPr>
                <w:rFonts w:ascii="Times New Roman" w:hAnsi="Times New Roman"/>
                <w:szCs w:val="21"/>
              </w:rPr>
              <w:t>（</w:t>
            </w:r>
            <w:r>
              <w:rPr>
                <w:rFonts w:ascii="Times New Roman" w:hAnsi="宋体"/>
                <w:szCs w:val="21"/>
              </w:rPr>
              <w:t>以下统称环境影响评价文件</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Times New Roman"/>
                <w:szCs w:val="21"/>
              </w:rPr>
              <w:t>（</w:t>
            </w:r>
            <w:r>
              <w:rPr>
                <w:rFonts w:ascii="Times New Roman" w:hAnsi="宋体"/>
                <w:szCs w:val="21"/>
              </w:rPr>
              <w:t>一</w:t>
            </w:r>
            <w:r>
              <w:rPr>
                <w:rFonts w:ascii="Times New Roman" w:hAnsi="Times New Roman"/>
                <w:szCs w:val="21"/>
              </w:rPr>
              <w:t>）</w:t>
            </w:r>
            <w:r>
              <w:rPr>
                <w:rFonts w:ascii="Times New Roman" w:hAnsi="宋体"/>
                <w:szCs w:val="21"/>
              </w:rPr>
              <w:t>可能造成重大环境影响的，应当编制环境影响报告书，对产生的环境影响进行全面评价</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Times New Roman"/>
                <w:szCs w:val="21"/>
              </w:rPr>
              <w:t>（</w:t>
            </w:r>
            <w:r>
              <w:rPr>
                <w:rFonts w:ascii="Times New Roman" w:hAnsi="宋体"/>
                <w:szCs w:val="21"/>
              </w:rPr>
              <w:t>二</w:t>
            </w:r>
            <w:r>
              <w:rPr>
                <w:rFonts w:ascii="Times New Roman" w:hAnsi="Times New Roman"/>
                <w:szCs w:val="21"/>
              </w:rPr>
              <w:t>）</w:t>
            </w:r>
            <w:r>
              <w:rPr>
                <w:rFonts w:ascii="Times New Roman" w:hAnsi="宋体"/>
                <w:szCs w:val="21"/>
              </w:rPr>
              <w:t>可能造成轻度环境影响的，应当编制环境影响报告表，对产生的环境影响进行分析或者专项评价</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第十九条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第二十五条</w:t>
            </w:r>
            <w:r>
              <w:rPr>
                <w:rFonts w:hint="eastAsia" w:ascii="Times New Roman" w:hAnsi="宋体"/>
                <w:szCs w:val="21"/>
              </w:rPr>
              <w:t xml:space="preserve">  </w:t>
            </w:r>
            <w:r>
              <w:rPr>
                <w:rFonts w:ascii="Times New Roman" w:hAnsi="宋体"/>
                <w:szCs w:val="21"/>
              </w:rPr>
              <w:t>建设项目的环境影响评价文件未依法经审批部门审查或者审查后未予批准的，建设单位不得开工建设。</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【法规】《建设项目环境保护管理条例》</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第七条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国家根据建设项目对环境的影响程度，按照下列规定对建设项目的环境保护实行分类管理</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Times New Roman"/>
                <w:szCs w:val="21"/>
              </w:rPr>
              <w:t>（</w:t>
            </w:r>
            <w:r>
              <w:rPr>
                <w:rFonts w:ascii="Times New Roman" w:hAnsi="宋体"/>
                <w:szCs w:val="21"/>
              </w:rPr>
              <w:t>一</w:t>
            </w:r>
            <w:r>
              <w:rPr>
                <w:rFonts w:ascii="Times New Roman" w:hAnsi="Times New Roman"/>
                <w:szCs w:val="21"/>
              </w:rPr>
              <w:t>）</w:t>
            </w:r>
            <w:r>
              <w:rPr>
                <w:rFonts w:ascii="Times New Roman" w:hAnsi="宋体"/>
                <w:szCs w:val="21"/>
              </w:rPr>
              <w:t>建设项目对环境可能造成重大影响的，应当编制环境影响报告书，对建设项目产生的污染和对环境的影响进行全面、详细的评价</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Times New Roman"/>
                <w:szCs w:val="21"/>
              </w:rPr>
              <w:t>（</w:t>
            </w:r>
            <w:r>
              <w:rPr>
                <w:rFonts w:ascii="Times New Roman" w:hAnsi="宋体"/>
                <w:szCs w:val="21"/>
              </w:rPr>
              <w:t>二</w:t>
            </w:r>
            <w:r>
              <w:rPr>
                <w:rFonts w:ascii="Times New Roman" w:hAnsi="Times New Roman"/>
                <w:szCs w:val="21"/>
              </w:rPr>
              <w:t>）</w:t>
            </w:r>
            <w:r>
              <w:rPr>
                <w:rFonts w:ascii="Times New Roman" w:hAnsi="宋体"/>
                <w:szCs w:val="21"/>
              </w:rPr>
              <w:t>建设项目对环境可能造成轻度影响的，应当编制环境影响报告表，对建设项目产生的污染和对环境的影响进行分析或者专项评价</w:t>
            </w:r>
            <w:r>
              <w:rPr>
                <w:rFonts w:ascii="Times New Roman" w:hAnsi="Times New Roman"/>
                <w:szCs w:val="21"/>
              </w:rPr>
              <w:t>；</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第九条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依法应当编制环境影响报告书、环境影响报告表的建设项目，建设单位应当在开工建设前将环境影响报告书、环境影响报告表报有审批权的环境保护行政主管部门审批</w:t>
            </w:r>
            <w:r>
              <w:rPr>
                <w:rFonts w:ascii="Times New Roman" w:hAnsi="Times New Roman"/>
                <w:szCs w:val="21"/>
              </w:rPr>
              <w:t>；</w:t>
            </w:r>
            <w:r>
              <w:rPr>
                <w:rFonts w:ascii="Times New Roman" w:hAnsi="宋体"/>
                <w:szCs w:val="21"/>
              </w:rPr>
              <w:t>建设项目的环境影响评价文件未依法经审批部门审查或者审查后未予批准的，建设单位不得开工建设。</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从事环境</w:t>
            </w:r>
          </w:p>
          <w:p>
            <w:pPr>
              <w:spacing w:line="320" w:lineRule="exact"/>
              <w:rPr>
                <w:rFonts w:hint="eastAsia" w:ascii="Times New Roman" w:hAnsi="宋体"/>
                <w:szCs w:val="21"/>
              </w:rPr>
            </w:pPr>
            <w:r>
              <w:rPr>
                <w:rFonts w:ascii="Times New Roman" w:hAnsi="宋体"/>
                <w:szCs w:val="21"/>
              </w:rPr>
              <w:t>影响评价</w:t>
            </w:r>
          </w:p>
          <w:p>
            <w:pPr>
              <w:spacing w:line="320" w:lineRule="exact"/>
              <w:rPr>
                <w:rFonts w:ascii="Times New Roman" w:hAnsi="Times New Roman"/>
                <w:szCs w:val="21"/>
              </w:rPr>
            </w:pPr>
            <w:r>
              <w:rPr>
                <w:rFonts w:ascii="Times New Roman" w:hAnsi="宋体"/>
                <w:szCs w:val="21"/>
              </w:rPr>
              <w:t>工作的单位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建设单位可以委托从事环境影响评价工作的单位编制，具备环境影响评价技术能力的也可自行编制。编制建设项目环境影响报告书、环境影响报告表应当遵守国家有关环境影响评价标准、技术规范等规定。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7" w:hRule="atLeast"/>
          <w:jc w:val="center"/>
        </w:trPr>
        <w:tc>
          <w:tcPr>
            <w:tcW w:w="0" w:type="auto"/>
            <w:noWrap w:val="0"/>
            <w:vAlign w:val="center"/>
          </w:tcPr>
          <w:p>
            <w:pPr>
              <w:adjustRightInd w:val="0"/>
              <w:spacing w:line="320" w:lineRule="exact"/>
              <w:jc w:val="center"/>
              <w:rPr>
                <w:rFonts w:ascii="Times New Roman" w:hAnsi="Times New Roman"/>
                <w:szCs w:val="21"/>
              </w:rPr>
            </w:pPr>
            <w:r>
              <w:rPr>
                <w:rFonts w:ascii="Times New Roman" w:hAnsi="Times New Roman"/>
                <w:szCs w:val="21"/>
              </w:rPr>
              <w:t>11</w:t>
            </w:r>
          </w:p>
        </w:tc>
        <w:tc>
          <w:tcPr>
            <w:tcW w:w="0" w:type="auto"/>
            <w:noWrap w:val="0"/>
            <w:vAlign w:val="center"/>
          </w:tcPr>
          <w:p>
            <w:pPr>
              <w:topLinePunct/>
              <w:adjustRightInd w:val="0"/>
              <w:spacing w:line="320" w:lineRule="exact"/>
              <w:jc w:val="center"/>
              <w:rPr>
                <w:rFonts w:ascii="Times New Roman" w:hAnsi="Times New Roman"/>
                <w:szCs w:val="21"/>
              </w:rPr>
            </w:pPr>
            <w:r>
              <w:rPr>
                <w:rFonts w:ascii="Times New Roman" w:hAnsi="宋体"/>
                <w:szCs w:val="21"/>
              </w:rPr>
              <w:t>市生态环境局</w:t>
            </w:r>
          </w:p>
        </w:tc>
        <w:tc>
          <w:tcPr>
            <w:tcW w:w="0" w:type="auto"/>
            <w:noWrap w:val="0"/>
            <w:vAlign w:val="center"/>
          </w:tcPr>
          <w:p>
            <w:pPr>
              <w:topLinePunct/>
              <w:adjustRightInd w:val="0"/>
              <w:spacing w:line="320" w:lineRule="exact"/>
              <w:rPr>
                <w:rFonts w:hint="eastAsia" w:ascii="Times New Roman" w:hAnsi="宋体"/>
                <w:szCs w:val="21"/>
              </w:rPr>
            </w:pPr>
            <w:r>
              <w:rPr>
                <w:rFonts w:ascii="Times New Roman" w:hAnsi="宋体"/>
                <w:szCs w:val="21"/>
              </w:rPr>
              <w:t>入河排污口</w:t>
            </w:r>
          </w:p>
          <w:p>
            <w:pPr>
              <w:topLinePunct/>
              <w:adjustRightInd w:val="0"/>
              <w:spacing w:line="320" w:lineRule="exact"/>
              <w:rPr>
                <w:rFonts w:ascii="Times New Roman" w:hAnsi="Times New Roman"/>
                <w:szCs w:val="21"/>
              </w:rPr>
            </w:pPr>
            <w:r>
              <w:rPr>
                <w:rFonts w:ascii="Times New Roman" w:hAnsi="宋体"/>
                <w:szCs w:val="21"/>
              </w:rPr>
              <w:t>设置论证</w:t>
            </w:r>
          </w:p>
        </w:tc>
        <w:tc>
          <w:tcPr>
            <w:tcW w:w="0" w:type="auto"/>
            <w:noWrap w:val="0"/>
            <w:vAlign w:val="center"/>
          </w:tcPr>
          <w:p>
            <w:pPr>
              <w:topLinePunct/>
              <w:adjustRightInd w:val="0"/>
              <w:spacing w:line="320" w:lineRule="exact"/>
              <w:rPr>
                <w:rFonts w:ascii="Times New Roman" w:hAnsi="Times New Roman"/>
                <w:szCs w:val="21"/>
              </w:rPr>
            </w:pPr>
            <w:r>
              <w:rPr>
                <w:rFonts w:ascii="Times New Roman" w:hAnsi="宋体"/>
                <w:szCs w:val="21"/>
              </w:rPr>
              <w:t>江河、湖泊新建、改建或者扩大排污口审核</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bCs/>
                <w:szCs w:val="21"/>
              </w:rPr>
              <w:t>【国务院决定】国务院关于第一批清理规范</w:t>
            </w:r>
            <w:r>
              <w:rPr>
                <w:rFonts w:ascii="Times New Roman" w:hAnsi="Times New Roman"/>
                <w:bCs/>
                <w:szCs w:val="21"/>
              </w:rPr>
              <w:t>89</w:t>
            </w:r>
            <w:r>
              <w:rPr>
                <w:rFonts w:ascii="Times New Roman" w:hAnsi="宋体"/>
                <w:bCs/>
                <w:szCs w:val="21"/>
              </w:rPr>
              <w:t>项国务院部门行政审批中介服务事项的决定（</w:t>
            </w:r>
            <w:r>
              <w:rPr>
                <w:rFonts w:ascii="Times New Roman" w:hAnsi="宋体"/>
                <w:szCs w:val="21"/>
              </w:rPr>
              <w:t>国发〔</w:t>
            </w:r>
            <w:r>
              <w:rPr>
                <w:rFonts w:ascii="Times New Roman" w:hAnsi="Times New Roman"/>
                <w:szCs w:val="21"/>
              </w:rPr>
              <w:t>2015</w:t>
            </w:r>
            <w:r>
              <w:rPr>
                <w:rFonts w:ascii="Times New Roman" w:hAnsi="宋体"/>
                <w:szCs w:val="21"/>
              </w:rPr>
              <w:t>〕</w:t>
            </w:r>
            <w:r>
              <w:rPr>
                <w:rFonts w:ascii="Times New Roman" w:hAnsi="Times New Roman"/>
                <w:szCs w:val="21"/>
              </w:rPr>
              <w:t>58</w:t>
            </w:r>
            <w:r>
              <w:rPr>
                <w:rFonts w:ascii="Times New Roman" w:hAnsi="宋体"/>
                <w:szCs w:val="21"/>
              </w:rPr>
              <w:t>号）</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bCs/>
                <w:szCs w:val="21"/>
              </w:rPr>
              <w:t>第</w:t>
            </w:r>
            <w:r>
              <w:rPr>
                <w:rFonts w:ascii="Times New Roman" w:hAnsi="Times New Roman"/>
                <w:bCs/>
                <w:szCs w:val="21"/>
              </w:rPr>
              <w:t>32</w:t>
            </w:r>
            <w:r>
              <w:rPr>
                <w:rFonts w:ascii="Times New Roman" w:hAnsi="宋体"/>
                <w:bCs/>
                <w:szCs w:val="21"/>
              </w:rPr>
              <w:t>项</w:t>
            </w:r>
            <w:r>
              <w:rPr>
                <w:rFonts w:ascii="Times New Roman" w:hAnsi="Times New Roman"/>
                <w:bCs/>
                <w:szCs w:val="21"/>
              </w:rPr>
              <w:t xml:space="preserve"> </w:t>
            </w:r>
            <w:r>
              <w:rPr>
                <w:rFonts w:hint="eastAsia" w:ascii="Times New Roman" w:hAnsi="Times New Roman"/>
                <w:bCs/>
                <w:szCs w:val="21"/>
              </w:rPr>
              <w:t xml:space="preserve"> </w:t>
            </w:r>
            <w:r>
              <w:rPr>
                <w:rFonts w:ascii="Times New Roman" w:hAnsi="宋体"/>
                <w:bCs/>
                <w:szCs w:val="21"/>
              </w:rPr>
              <w:t>入河排污口设置论证</w:t>
            </w:r>
          </w:p>
        </w:tc>
        <w:tc>
          <w:tcPr>
            <w:tcW w:w="1276" w:type="dxa"/>
            <w:noWrap w:val="0"/>
            <w:vAlign w:val="center"/>
          </w:tcPr>
          <w:p>
            <w:pPr>
              <w:topLinePunct/>
              <w:adjustRightInd w:val="0"/>
              <w:spacing w:line="320" w:lineRule="exact"/>
              <w:rPr>
                <w:rFonts w:ascii="Times New Roman" w:hAnsi="Times New Roman"/>
                <w:szCs w:val="21"/>
              </w:rPr>
            </w:pPr>
            <w:r>
              <w:rPr>
                <w:rFonts w:ascii="Times New Roman" w:hAnsi="宋体"/>
                <w:szCs w:val="21"/>
              </w:rPr>
              <w:t>具有建设项目水资源论证、水文水资源调查评价工作相应能力或环境保护部批准的具有建设项目环境影响评价资质的单位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topLinePunct/>
              <w:adjustRightInd w:val="0"/>
              <w:spacing w:line="320" w:lineRule="exact"/>
              <w:rPr>
                <w:rFonts w:ascii="Times New Roman" w:hAnsi="Times New Roman"/>
                <w:szCs w:val="21"/>
              </w:rPr>
            </w:pPr>
            <w:r>
              <w:rPr>
                <w:rFonts w:ascii="Times New Roman" w:hAnsi="宋体"/>
                <w:szCs w:val="21"/>
              </w:rPr>
              <w:t>申请人可按要求自行编制入河排污口设置论证报告，也可委托有关机构编制，审批部门不得以任何形式要求申请人必须委托特定中介机构提供服务；保留审批部门现有的排污口设置论证报告技术评估、评审。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71" w:hRule="atLeast"/>
          <w:jc w:val="center"/>
        </w:trPr>
        <w:tc>
          <w:tcPr>
            <w:tcW w:w="0" w:type="auto"/>
            <w:noWrap w:val="0"/>
            <w:vAlign w:val="center"/>
          </w:tcPr>
          <w:p>
            <w:pPr>
              <w:adjustRightInd w:val="0"/>
              <w:spacing w:line="320" w:lineRule="exact"/>
              <w:jc w:val="center"/>
              <w:rPr>
                <w:rFonts w:ascii="Times New Roman" w:hAnsi="Times New Roman"/>
                <w:szCs w:val="21"/>
              </w:rPr>
            </w:pPr>
            <w:r>
              <w:rPr>
                <w:rFonts w:ascii="Times New Roman" w:hAnsi="Times New Roman"/>
                <w:szCs w:val="21"/>
              </w:rPr>
              <w:t>12</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市住建局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建筑起重机械检验检测</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建筑起重机械使用登记办理</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【法规】《特种设备安全监察条例》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第二十八条</w:t>
            </w:r>
            <w:r>
              <w:rPr>
                <w:rFonts w:hint="eastAsia" w:ascii="Times New Roman" w:hAnsi="宋体"/>
                <w:szCs w:val="21"/>
              </w:rPr>
              <w:t xml:space="preserve">  </w:t>
            </w:r>
            <w:r>
              <w:rPr>
                <w:rFonts w:ascii="Times New Roman" w:hAnsi="宋体"/>
                <w:szCs w:val="21"/>
              </w:rPr>
              <w:t>特种设备使用单位应当按照安全技术规范的定期检验要求，在安全检验合格有效期届满前</w:t>
            </w:r>
            <w:r>
              <w:rPr>
                <w:rFonts w:ascii="Times New Roman" w:hAnsi="Times New Roman"/>
                <w:szCs w:val="21"/>
              </w:rPr>
              <w:t>1</w:t>
            </w:r>
            <w:r>
              <w:rPr>
                <w:rFonts w:ascii="Times New Roman" w:hAnsi="宋体"/>
                <w:szCs w:val="21"/>
              </w:rPr>
              <w:t>个月向特种设备检验检测机构提出定期检验要求。</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检验检测机构接到定期检验要求后，应当按照安全技术规范的要求及时进行安全性能检验和能效测试。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未经定期检验或者检验不合格的特种设备，不得继续使用。</w:t>
            </w:r>
          </w:p>
        </w:tc>
        <w:tc>
          <w:tcPr>
            <w:tcW w:w="1276" w:type="dxa"/>
            <w:noWrap w:val="0"/>
            <w:vAlign w:val="center"/>
          </w:tcPr>
          <w:p>
            <w:pPr>
              <w:spacing w:line="320" w:lineRule="exact"/>
              <w:rPr>
                <w:rFonts w:ascii="Times New Roman" w:hAnsi="Times New Roman"/>
                <w:szCs w:val="21"/>
              </w:rPr>
            </w:pPr>
            <w:r>
              <w:rPr>
                <w:rFonts w:ascii="Times New Roman" w:hAnsi="宋体"/>
                <w:szCs w:val="21"/>
              </w:rPr>
              <w:t>中华人民共和国特种设备检验检测机构核准证（甲、乙、丙三类）、检验检测机构资质认定证书</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申请人自行委托有相应资质的机构实施，审批部门不得以任何形式要求申请人委托特定中介机构提供服务。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71" w:hRule="atLeast"/>
          <w:jc w:val="center"/>
        </w:trPr>
        <w:tc>
          <w:tcPr>
            <w:tcW w:w="0" w:type="auto"/>
            <w:noWrap w:val="0"/>
            <w:vAlign w:val="center"/>
          </w:tcPr>
          <w:p>
            <w:pPr>
              <w:adjustRightInd w:val="0"/>
              <w:spacing w:line="320" w:lineRule="exact"/>
              <w:jc w:val="center"/>
              <w:rPr>
                <w:rFonts w:ascii="Times New Roman" w:hAnsi="Times New Roman"/>
                <w:szCs w:val="21"/>
              </w:rPr>
            </w:pPr>
            <w:r>
              <w:rPr>
                <w:rFonts w:ascii="Times New Roman" w:hAnsi="Times New Roman"/>
                <w:szCs w:val="21"/>
              </w:rPr>
              <w:t>13</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市住建局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施工图设计文件审查</w:t>
            </w:r>
          </w:p>
        </w:tc>
        <w:tc>
          <w:tcPr>
            <w:tcW w:w="0" w:type="auto"/>
            <w:noWrap w:val="0"/>
            <w:vAlign w:val="center"/>
          </w:tcPr>
          <w:p>
            <w:pPr>
              <w:widowControl/>
              <w:spacing w:line="320" w:lineRule="exact"/>
              <w:rPr>
                <w:rFonts w:ascii="Times New Roman" w:hAnsi="Times New Roman"/>
                <w:bCs/>
                <w:szCs w:val="21"/>
              </w:rPr>
            </w:pPr>
            <w:r>
              <w:rPr>
                <w:rFonts w:ascii="Times New Roman" w:hAnsi="宋体"/>
                <w:szCs w:val="21"/>
              </w:rPr>
              <w:t>建筑工程施工许可证的发放，</w:t>
            </w:r>
          </w:p>
          <w:p>
            <w:pPr>
              <w:widowControl/>
              <w:spacing w:line="320" w:lineRule="exact"/>
              <w:rPr>
                <w:rFonts w:hint="eastAsia" w:ascii="Times New Roman" w:hAnsi="宋体"/>
                <w:bCs/>
                <w:szCs w:val="21"/>
              </w:rPr>
            </w:pPr>
            <w:r>
              <w:rPr>
                <w:rFonts w:ascii="Times New Roman" w:hAnsi="宋体"/>
                <w:bCs/>
                <w:szCs w:val="21"/>
              </w:rPr>
              <w:t>特殊建设工程的消防设计</w:t>
            </w:r>
          </w:p>
          <w:p>
            <w:pPr>
              <w:widowControl/>
              <w:spacing w:line="320" w:lineRule="exact"/>
              <w:rPr>
                <w:rFonts w:ascii="Times New Roman" w:hAnsi="Times New Roman"/>
                <w:szCs w:val="21"/>
              </w:rPr>
            </w:pPr>
            <w:r>
              <w:rPr>
                <w:rFonts w:ascii="Times New Roman" w:hAnsi="宋体"/>
                <w:bCs/>
                <w:szCs w:val="21"/>
              </w:rPr>
              <w:t>审查</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【法规】《建设工程质量管理条例》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第十一条：建设单位应当将施工图设计文件报县级以上人民政府建设行政主管部门或者其他有关部门审查。</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施工图设计文件未经审查批准的，不得使用。</w:t>
            </w:r>
          </w:p>
          <w:p>
            <w:pPr>
              <w:overflowPunct w:val="0"/>
              <w:autoSpaceDE w:val="0"/>
              <w:autoSpaceDN w:val="0"/>
              <w:adjustRightInd w:val="0"/>
              <w:snapToGrid w:val="0"/>
              <w:spacing w:line="320" w:lineRule="exact"/>
              <w:rPr>
                <w:rFonts w:ascii="Times New Roman" w:hAnsi="Times New Roman"/>
                <w:bCs/>
                <w:szCs w:val="21"/>
              </w:rPr>
            </w:pPr>
            <w:r>
              <w:rPr>
                <w:rFonts w:ascii="Times New Roman" w:hAnsi="宋体"/>
                <w:bCs/>
                <w:szCs w:val="21"/>
              </w:rPr>
              <w:t>【法规】《建设工程勘察设计管理条例》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bCs/>
                <w:szCs w:val="21"/>
              </w:rPr>
              <w:t>第三十三条：施工图设计文件审查机构应当对房屋建筑工程、市政基础设施工程施工图设计文件中涉及公共利益、公众安全、工程建设强制性标准的内容进行审查。施工图设计文件未经审查批准的，不得使用。</w:t>
            </w:r>
          </w:p>
        </w:tc>
        <w:tc>
          <w:tcPr>
            <w:tcW w:w="1276" w:type="dxa"/>
            <w:noWrap w:val="0"/>
            <w:vAlign w:val="center"/>
          </w:tcPr>
          <w:p>
            <w:pPr>
              <w:spacing w:line="320" w:lineRule="exact"/>
              <w:rPr>
                <w:rFonts w:ascii="Times New Roman" w:hAnsi="Times New Roman"/>
                <w:szCs w:val="21"/>
              </w:rPr>
            </w:pPr>
            <w:r>
              <w:rPr>
                <w:rFonts w:ascii="Times New Roman" w:hAnsi="宋体"/>
                <w:szCs w:val="21"/>
              </w:rPr>
              <w:t>审查机构按承接业务范围分两类，一类机构承接房屋建筑、市政基础设施工程施工图审查业务范围不受限制；二类机构可以承接中型及以下房屋建筑、市政基础设施工程的施工图审查。</w:t>
            </w:r>
          </w:p>
        </w:tc>
        <w:tc>
          <w:tcPr>
            <w:tcW w:w="2261" w:type="dxa"/>
            <w:noWrap w:val="0"/>
            <w:vAlign w:val="center"/>
          </w:tcPr>
          <w:p>
            <w:pPr>
              <w:widowControl/>
              <w:spacing w:line="300" w:lineRule="exact"/>
              <w:jc w:val="center"/>
              <w:rPr>
                <w:rFonts w:ascii="Times New Roman" w:hAnsi="Times New Roman"/>
                <w:spacing w:val="-10"/>
                <w:szCs w:val="21"/>
              </w:rPr>
            </w:pPr>
            <w:r>
              <w:rPr>
                <w:rFonts w:ascii="Times New Roman" w:hAnsi="宋体"/>
                <w:spacing w:val="-10"/>
                <w:szCs w:val="21"/>
              </w:rPr>
              <w:t>一、建筑工程收费标准：（</w:t>
            </w:r>
            <w:r>
              <w:rPr>
                <w:rFonts w:ascii="Times New Roman" w:hAnsi="Times New Roman"/>
                <w:spacing w:val="-10"/>
                <w:szCs w:val="21"/>
              </w:rPr>
              <w:t>12%</w:t>
            </w:r>
            <w:r>
              <w:rPr>
                <w:rFonts w:ascii="Times New Roman" w:hAnsi="宋体"/>
                <w:spacing w:val="-10"/>
                <w:szCs w:val="21"/>
              </w:rPr>
              <w:t>勘察系数）大型建筑：</w:t>
            </w:r>
            <w:r>
              <w:rPr>
                <w:rFonts w:ascii="Times New Roman" w:hAnsi="Times New Roman"/>
                <w:spacing w:val="-10"/>
                <w:szCs w:val="21"/>
              </w:rPr>
              <w:t>1.2</w:t>
            </w:r>
            <w:r>
              <w:rPr>
                <w:rFonts w:ascii="Times New Roman" w:hAnsi="宋体"/>
                <w:spacing w:val="-10"/>
                <w:szCs w:val="21"/>
              </w:rPr>
              <w:t>元</w:t>
            </w:r>
            <w:r>
              <w:rPr>
                <w:rFonts w:ascii="Times New Roman" w:hAnsi="Times New Roman"/>
                <w:spacing w:val="-10"/>
                <w:szCs w:val="21"/>
              </w:rPr>
              <w:t>*1.12 </w:t>
            </w:r>
            <w:r>
              <w:rPr>
                <w:rFonts w:ascii="Times New Roman" w:hAnsi="宋体"/>
                <w:spacing w:val="-10"/>
                <w:szCs w:val="21"/>
              </w:rPr>
              <w:t>；中型建筑：</w:t>
            </w:r>
            <w:r>
              <w:rPr>
                <w:rFonts w:ascii="Times New Roman" w:hAnsi="Times New Roman"/>
                <w:spacing w:val="-10"/>
                <w:szCs w:val="21"/>
              </w:rPr>
              <w:t>1.15</w:t>
            </w:r>
            <w:r>
              <w:rPr>
                <w:rFonts w:ascii="Times New Roman" w:hAnsi="宋体"/>
                <w:spacing w:val="-10"/>
                <w:szCs w:val="21"/>
              </w:rPr>
              <w:t>元</w:t>
            </w:r>
            <w:r>
              <w:rPr>
                <w:rFonts w:ascii="Times New Roman" w:hAnsi="Times New Roman"/>
                <w:spacing w:val="-10"/>
                <w:szCs w:val="21"/>
              </w:rPr>
              <w:t>*1.12 </w:t>
            </w:r>
            <w:r>
              <w:rPr>
                <w:rFonts w:ascii="Times New Roman" w:hAnsi="宋体"/>
                <w:spacing w:val="-10"/>
                <w:szCs w:val="21"/>
              </w:rPr>
              <w:t>；小型建筑：</w:t>
            </w:r>
            <w:r>
              <w:rPr>
                <w:rFonts w:ascii="Times New Roman" w:hAnsi="Times New Roman"/>
                <w:spacing w:val="-10"/>
                <w:szCs w:val="21"/>
              </w:rPr>
              <w:t>1.1</w:t>
            </w:r>
            <w:r>
              <w:rPr>
                <w:rFonts w:ascii="Times New Roman" w:hAnsi="宋体"/>
                <w:spacing w:val="-10"/>
                <w:szCs w:val="21"/>
              </w:rPr>
              <w:t>元</w:t>
            </w:r>
            <w:r>
              <w:rPr>
                <w:rFonts w:ascii="Times New Roman" w:hAnsi="Times New Roman"/>
                <w:spacing w:val="-10"/>
                <w:szCs w:val="21"/>
              </w:rPr>
              <w:t>*1.12 </w:t>
            </w:r>
            <w:r>
              <w:rPr>
                <w:rFonts w:ascii="Times New Roman" w:hAnsi="宋体"/>
                <w:spacing w:val="-10"/>
                <w:szCs w:val="21"/>
              </w:rPr>
              <w:t>。</w:t>
            </w:r>
          </w:p>
          <w:p>
            <w:pPr>
              <w:widowControl/>
              <w:spacing w:line="300" w:lineRule="exact"/>
              <w:jc w:val="center"/>
              <w:rPr>
                <w:rFonts w:ascii="Times New Roman" w:hAnsi="Times New Roman"/>
                <w:spacing w:val="-10"/>
                <w:szCs w:val="21"/>
              </w:rPr>
            </w:pPr>
            <w:r>
              <w:rPr>
                <w:rFonts w:ascii="Times New Roman" w:hAnsi="宋体"/>
                <w:spacing w:val="-10"/>
                <w:szCs w:val="21"/>
              </w:rPr>
              <w:t>二、专项工程（如幕墙装饰、装修等）收费标准：总造价</w:t>
            </w:r>
            <w:r>
              <w:rPr>
                <w:rFonts w:ascii="Times New Roman" w:hAnsi="Times New Roman"/>
                <w:spacing w:val="-10"/>
                <w:szCs w:val="21"/>
              </w:rPr>
              <w:t>1000</w:t>
            </w:r>
            <w:r>
              <w:rPr>
                <w:rFonts w:ascii="Times New Roman" w:hAnsi="宋体"/>
                <w:spacing w:val="-10"/>
                <w:szCs w:val="21"/>
              </w:rPr>
              <w:t>万元以下，总造价</w:t>
            </w:r>
            <w:r>
              <w:rPr>
                <w:rFonts w:ascii="Times New Roman" w:hAnsi="Times New Roman"/>
                <w:spacing w:val="-10"/>
                <w:szCs w:val="21"/>
              </w:rPr>
              <w:t>*0.9‰</w:t>
            </w:r>
            <w:r>
              <w:rPr>
                <w:rFonts w:ascii="Times New Roman" w:hAnsi="宋体"/>
                <w:spacing w:val="-10"/>
                <w:szCs w:val="21"/>
              </w:rPr>
              <w:t>；</w:t>
            </w:r>
            <w:r>
              <w:rPr>
                <w:rFonts w:ascii="Times New Roman" w:hAnsi="宋体"/>
                <w:spacing w:val="-14"/>
                <w:szCs w:val="21"/>
              </w:rPr>
              <w:t>总造价</w:t>
            </w:r>
            <w:r>
              <w:rPr>
                <w:rFonts w:ascii="Times New Roman" w:hAnsi="Times New Roman"/>
                <w:spacing w:val="-14"/>
                <w:szCs w:val="21"/>
              </w:rPr>
              <w:t>1000~2000</w:t>
            </w:r>
            <w:r>
              <w:rPr>
                <w:rFonts w:ascii="Times New Roman" w:hAnsi="宋体"/>
                <w:spacing w:val="-14"/>
                <w:szCs w:val="21"/>
              </w:rPr>
              <w:t>万元，</w:t>
            </w:r>
            <w:r>
              <w:rPr>
                <w:rFonts w:ascii="Times New Roman" w:hAnsi="宋体"/>
                <w:spacing w:val="-10"/>
                <w:szCs w:val="21"/>
              </w:rPr>
              <w:t>总造价</w:t>
            </w:r>
            <w:r>
              <w:rPr>
                <w:rFonts w:ascii="Times New Roman" w:hAnsi="Times New Roman"/>
                <w:spacing w:val="-10"/>
                <w:szCs w:val="21"/>
              </w:rPr>
              <w:t>*0.8‰</w:t>
            </w:r>
            <w:r>
              <w:rPr>
                <w:rFonts w:ascii="Times New Roman" w:hAnsi="宋体"/>
                <w:spacing w:val="-10"/>
                <w:szCs w:val="21"/>
              </w:rPr>
              <w:t>；</w:t>
            </w:r>
            <w:r>
              <w:rPr>
                <w:rFonts w:ascii="Times New Roman" w:hAnsi="宋体"/>
                <w:spacing w:val="-24"/>
                <w:szCs w:val="21"/>
              </w:rPr>
              <w:t>总造价</w:t>
            </w:r>
            <w:r>
              <w:rPr>
                <w:rFonts w:ascii="Times New Roman" w:hAnsi="Times New Roman"/>
                <w:spacing w:val="-24"/>
                <w:szCs w:val="21"/>
              </w:rPr>
              <w:t>2000~4000</w:t>
            </w:r>
            <w:r>
              <w:rPr>
                <w:rFonts w:ascii="Times New Roman" w:hAnsi="宋体"/>
                <w:spacing w:val="-16"/>
                <w:szCs w:val="21"/>
              </w:rPr>
              <w:t>万元，</w:t>
            </w:r>
            <w:r>
              <w:rPr>
                <w:rFonts w:ascii="Times New Roman" w:hAnsi="宋体"/>
                <w:spacing w:val="-10"/>
                <w:szCs w:val="21"/>
              </w:rPr>
              <w:t>总造</w:t>
            </w:r>
            <w:r>
              <w:rPr>
                <w:rFonts w:ascii="Times New Roman" w:hAnsi="Times New Roman"/>
                <w:spacing w:val="-10"/>
                <w:szCs w:val="21"/>
              </w:rPr>
              <w:t>*0.7‰</w:t>
            </w:r>
            <w:r>
              <w:rPr>
                <w:rFonts w:ascii="Times New Roman" w:hAnsi="宋体"/>
                <w:spacing w:val="-10"/>
                <w:szCs w:val="21"/>
              </w:rPr>
              <w:t>；总造价</w:t>
            </w:r>
            <w:r>
              <w:rPr>
                <w:rFonts w:ascii="Times New Roman" w:hAnsi="Times New Roman"/>
                <w:spacing w:val="-10"/>
                <w:szCs w:val="21"/>
              </w:rPr>
              <w:t>4000</w:t>
            </w:r>
            <w:r>
              <w:rPr>
                <w:rFonts w:ascii="Times New Roman" w:hAnsi="宋体"/>
                <w:spacing w:val="-10"/>
                <w:szCs w:val="21"/>
              </w:rPr>
              <w:t>万元以上，总造价</w:t>
            </w:r>
            <w:r>
              <w:rPr>
                <w:rFonts w:ascii="Times New Roman" w:hAnsi="Times New Roman"/>
                <w:spacing w:val="-10"/>
                <w:szCs w:val="21"/>
              </w:rPr>
              <w:t>*0.5‰</w:t>
            </w:r>
            <w:r>
              <w:rPr>
                <w:rFonts w:ascii="Times New Roman" w:hAnsi="宋体"/>
                <w:spacing w:val="-10"/>
                <w:szCs w:val="21"/>
              </w:rPr>
              <w:t>。</w:t>
            </w:r>
          </w:p>
          <w:p>
            <w:pPr>
              <w:widowControl/>
              <w:spacing w:line="300" w:lineRule="exact"/>
              <w:jc w:val="center"/>
              <w:rPr>
                <w:rFonts w:ascii="Times New Roman" w:hAnsi="Times New Roman"/>
                <w:spacing w:val="-10"/>
                <w:szCs w:val="21"/>
              </w:rPr>
            </w:pPr>
            <w:r>
              <w:rPr>
                <w:rFonts w:ascii="Times New Roman" w:hAnsi="宋体"/>
                <w:spacing w:val="-10"/>
                <w:szCs w:val="21"/>
              </w:rPr>
              <w:t>三、市政工程收费标准：（</w:t>
            </w:r>
            <w:r>
              <w:rPr>
                <w:rFonts w:ascii="Times New Roman" w:hAnsi="Times New Roman"/>
                <w:spacing w:val="-10"/>
                <w:szCs w:val="21"/>
              </w:rPr>
              <w:t>12%</w:t>
            </w:r>
            <w:r>
              <w:rPr>
                <w:rFonts w:ascii="Times New Roman" w:hAnsi="宋体"/>
                <w:spacing w:val="-10"/>
                <w:szCs w:val="21"/>
              </w:rPr>
              <w:t>勘察系数）总造价</w:t>
            </w:r>
            <w:r>
              <w:rPr>
                <w:rFonts w:ascii="Times New Roman" w:hAnsi="Times New Roman"/>
                <w:spacing w:val="-10"/>
                <w:szCs w:val="21"/>
              </w:rPr>
              <w:t>1000</w:t>
            </w:r>
            <w:r>
              <w:rPr>
                <w:rFonts w:ascii="Times New Roman" w:hAnsi="宋体"/>
                <w:spacing w:val="-10"/>
                <w:szCs w:val="21"/>
              </w:rPr>
              <w:t>万元以下，总造价</w:t>
            </w:r>
            <w:r>
              <w:rPr>
                <w:rFonts w:ascii="Times New Roman" w:hAnsi="Times New Roman"/>
                <w:spacing w:val="-10"/>
                <w:szCs w:val="21"/>
              </w:rPr>
              <w:t>*0.9‰*1.12</w:t>
            </w:r>
            <w:r>
              <w:rPr>
                <w:rFonts w:ascii="Times New Roman" w:hAnsi="宋体"/>
                <w:spacing w:val="-10"/>
                <w:szCs w:val="21"/>
              </w:rPr>
              <w:t>；总造价</w:t>
            </w:r>
            <w:r>
              <w:rPr>
                <w:rFonts w:ascii="Times New Roman" w:hAnsi="Times New Roman"/>
                <w:spacing w:val="-10"/>
                <w:szCs w:val="21"/>
              </w:rPr>
              <w:t>1000~2000</w:t>
            </w:r>
            <w:r>
              <w:rPr>
                <w:rFonts w:ascii="Times New Roman" w:hAnsi="宋体"/>
                <w:spacing w:val="-10"/>
                <w:szCs w:val="21"/>
              </w:rPr>
              <w:t>万元，总造价</w:t>
            </w:r>
            <w:r>
              <w:rPr>
                <w:rFonts w:ascii="Times New Roman" w:hAnsi="Times New Roman"/>
                <w:spacing w:val="-10"/>
                <w:szCs w:val="21"/>
              </w:rPr>
              <w:t>*0.8‰*1.12</w:t>
            </w:r>
            <w:r>
              <w:rPr>
                <w:rFonts w:ascii="Times New Roman" w:hAnsi="宋体"/>
                <w:spacing w:val="-10"/>
                <w:szCs w:val="21"/>
              </w:rPr>
              <w:t>；总造价</w:t>
            </w:r>
            <w:r>
              <w:rPr>
                <w:rFonts w:ascii="Times New Roman" w:hAnsi="Times New Roman"/>
                <w:spacing w:val="-10"/>
                <w:szCs w:val="21"/>
              </w:rPr>
              <w:t>2000~4000</w:t>
            </w:r>
            <w:r>
              <w:rPr>
                <w:rFonts w:ascii="Times New Roman" w:hAnsi="宋体"/>
                <w:spacing w:val="-10"/>
                <w:szCs w:val="21"/>
              </w:rPr>
              <w:t>万元，</w:t>
            </w:r>
            <w:r>
              <w:rPr>
                <w:rFonts w:ascii="Times New Roman" w:hAnsi="宋体"/>
                <w:spacing w:val="-16"/>
                <w:szCs w:val="21"/>
              </w:rPr>
              <w:t>总造价</w:t>
            </w:r>
            <w:r>
              <w:rPr>
                <w:rFonts w:ascii="Times New Roman" w:hAnsi="Times New Roman"/>
                <w:spacing w:val="-16"/>
                <w:szCs w:val="21"/>
              </w:rPr>
              <w:t>*0.7‰*1.12</w:t>
            </w:r>
            <w:r>
              <w:rPr>
                <w:rFonts w:ascii="Times New Roman" w:hAnsi="宋体"/>
                <w:spacing w:val="-16"/>
                <w:szCs w:val="21"/>
              </w:rPr>
              <w:t>；</w:t>
            </w:r>
            <w:r>
              <w:rPr>
                <w:rFonts w:ascii="Times New Roman" w:hAnsi="宋体"/>
                <w:szCs w:val="21"/>
              </w:rPr>
              <w:t>总造价</w:t>
            </w:r>
            <w:r>
              <w:rPr>
                <w:rFonts w:ascii="Times New Roman" w:hAnsi="Times New Roman"/>
                <w:szCs w:val="21"/>
              </w:rPr>
              <w:t>4000</w:t>
            </w:r>
            <w:r>
              <w:rPr>
                <w:rFonts w:ascii="Times New Roman" w:hAnsi="宋体"/>
                <w:szCs w:val="21"/>
              </w:rPr>
              <w:t>万元以上，总造价</w:t>
            </w:r>
            <w:r>
              <w:rPr>
                <w:rFonts w:ascii="Times New Roman" w:hAnsi="Times New Roman"/>
                <w:szCs w:val="21"/>
              </w:rPr>
              <w:t>*0.5‰*1.12</w:t>
            </w:r>
            <w:r>
              <w:rPr>
                <w:rFonts w:ascii="Times New Roman" w:hAnsi="宋体"/>
                <w:szCs w:val="21"/>
              </w:rPr>
              <w:t>。</w:t>
            </w:r>
          </w:p>
          <w:p>
            <w:pPr>
              <w:widowControl/>
              <w:spacing w:line="300" w:lineRule="exact"/>
              <w:jc w:val="center"/>
              <w:rPr>
                <w:rFonts w:ascii="Times New Roman" w:hAnsi="Times New Roman"/>
                <w:szCs w:val="21"/>
              </w:rPr>
            </w:pPr>
            <w:r>
              <w:rPr>
                <w:rFonts w:ascii="Times New Roman" w:hAnsi="宋体"/>
                <w:spacing w:val="-10"/>
                <w:szCs w:val="21"/>
              </w:rPr>
              <w:t>四、以上收费最低收费额不低于</w:t>
            </w:r>
            <w:r>
              <w:rPr>
                <w:rFonts w:ascii="Times New Roman" w:hAnsi="Times New Roman"/>
                <w:spacing w:val="-10"/>
                <w:szCs w:val="21"/>
              </w:rPr>
              <w:t>1500</w:t>
            </w:r>
            <w:r>
              <w:rPr>
                <w:rFonts w:ascii="Times New Roman" w:hAnsi="宋体"/>
                <w:spacing w:val="-10"/>
                <w:szCs w:val="21"/>
              </w:rPr>
              <w:t>元，如低于，按</w:t>
            </w:r>
            <w:r>
              <w:rPr>
                <w:rFonts w:ascii="Times New Roman" w:hAnsi="Times New Roman"/>
                <w:spacing w:val="-10"/>
                <w:szCs w:val="21"/>
              </w:rPr>
              <w:t>1500</w:t>
            </w:r>
            <w:r>
              <w:rPr>
                <w:rFonts w:ascii="Times New Roman" w:hAnsi="宋体"/>
                <w:spacing w:val="-10"/>
                <w:szCs w:val="21"/>
              </w:rPr>
              <w:t>元计收。</w:t>
            </w:r>
          </w:p>
        </w:tc>
        <w:tc>
          <w:tcPr>
            <w:tcW w:w="0" w:type="auto"/>
            <w:noWrap w:val="0"/>
            <w:vAlign w:val="center"/>
          </w:tcPr>
          <w:p>
            <w:pPr>
              <w:widowControl/>
              <w:spacing w:line="320" w:lineRule="exact"/>
              <w:jc w:val="center"/>
              <w:rPr>
                <w:rFonts w:ascii="Times New Roman" w:hAnsi="Times New Roman"/>
                <w:szCs w:val="21"/>
              </w:rPr>
            </w:pPr>
            <w:r>
              <w:rPr>
                <w:rFonts w:ascii="Times New Roman" w:hAnsi="Times New Roman"/>
                <w:szCs w:val="21"/>
              </w:rPr>
              <w:t>7</w:t>
            </w:r>
            <w:r>
              <w:rPr>
                <w:rFonts w:ascii="Times New Roman" w:hAnsi="宋体"/>
                <w:szCs w:val="21"/>
              </w:rPr>
              <w:t>个工作日</w:t>
            </w:r>
          </w:p>
        </w:tc>
        <w:tc>
          <w:tcPr>
            <w:tcW w:w="0" w:type="auto"/>
            <w:noWrap w:val="0"/>
            <w:vAlign w:val="center"/>
          </w:tcPr>
          <w:p>
            <w:pPr>
              <w:widowControl/>
              <w:spacing w:line="320" w:lineRule="exact"/>
              <w:rPr>
                <w:rFonts w:ascii="Times New Roman" w:hAnsi="Times New Roman"/>
                <w:spacing w:val="-4"/>
                <w:szCs w:val="21"/>
              </w:rPr>
            </w:pPr>
            <w:r>
              <w:rPr>
                <w:rFonts w:ascii="Times New Roman" w:hAnsi="宋体"/>
                <w:spacing w:val="-4"/>
                <w:szCs w:val="21"/>
              </w:rPr>
              <w:t>申请人自行委托有相应资质的机构审查，审批部门不得以任何形式要求申请人委托特定中介机构提供服务。委托省外机构的，还应按省建设行政主管部门相关规定执行。</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5" w:hRule="atLeast"/>
          <w:jc w:val="center"/>
        </w:trPr>
        <w:tc>
          <w:tcPr>
            <w:tcW w:w="0" w:type="auto"/>
            <w:noWrap w:val="0"/>
            <w:vAlign w:val="center"/>
          </w:tcPr>
          <w:p>
            <w:pPr>
              <w:adjustRightInd w:val="0"/>
              <w:spacing w:line="320" w:lineRule="exact"/>
              <w:jc w:val="center"/>
              <w:rPr>
                <w:rFonts w:ascii="Times New Roman" w:hAnsi="Times New Roman"/>
                <w:szCs w:val="21"/>
              </w:rPr>
            </w:pPr>
            <w:r>
              <w:rPr>
                <w:rFonts w:ascii="Times New Roman" w:hAnsi="Times New Roman"/>
                <w:szCs w:val="21"/>
              </w:rPr>
              <w:t>14</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综合性能检测机构计量检测仪器设备的校准检定</w:t>
            </w:r>
          </w:p>
        </w:tc>
        <w:tc>
          <w:tcPr>
            <w:tcW w:w="0" w:type="auto"/>
            <w:noWrap w:val="0"/>
            <w:vAlign w:val="center"/>
          </w:tcPr>
          <w:p>
            <w:pPr>
              <w:spacing w:line="320" w:lineRule="exact"/>
              <w:rPr>
                <w:rFonts w:hint="eastAsia" w:ascii="Times New Roman" w:hAnsi="宋体"/>
                <w:szCs w:val="21"/>
              </w:rPr>
            </w:pPr>
            <w:r>
              <w:rPr>
                <w:rFonts w:ascii="Times New Roman" w:hAnsi="宋体"/>
                <w:szCs w:val="21"/>
              </w:rPr>
              <w:t>机动车综合</w:t>
            </w:r>
          </w:p>
          <w:p>
            <w:pPr>
              <w:spacing w:line="320" w:lineRule="exact"/>
              <w:rPr>
                <w:rFonts w:ascii="Times New Roman" w:hAnsi="Times New Roman"/>
                <w:szCs w:val="21"/>
              </w:rPr>
            </w:pPr>
            <w:r>
              <w:rPr>
                <w:rFonts w:ascii="Times New Roman" w:hAnsi="宋体"/>
                <w:szCs w:val="21"/>
              </w:rPr>
              <w:t>性能检测经营许可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第五十条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从事机动车综合性能检测经营的，应当向设区的市道路运输管理机构提出申请，并具备下列条件：（二）有符合国家和省规定并与其经营范围相适应的检测场地、实施、设备，计量检测仪器设备应当经鉴定合格。</w:t>
            </w:r>
          </w:p>
        </w:tc>
        <w:tc>
          <w:tcPr>
            <w:tcW w:w="1276" w:type="dxa"/>
            <w:noWrap w:val="0"/>
            <w:vAlign w:val="center"/>
          </w:tcPr>
          <w:p>
            <w:pPr>
              <w:spacing w:line="320" w:lineRule="exact"/>
              <w:rPr>
                <w:rFonts w:ascii="Times New Roman" w:hAnsi="Times New Roman"/>
                <w:szCs w:val="21"/>
              </w:rPr>
            </w:pPr>
            <w:r>
              <w:rPr>
                <w:rFonts w:ascii="Times New Roman" w:hAnsi="宋体"/>
                <w:szCs w:val="21"/>
              </w:rPr>
              <w:t>具有资质的第三方机构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22"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15</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机动车维修经营者计量、检测设备的校准检定</w:t>
            </w:r>
          </w:p>
        </w:tc>
        <w:tc>
          <w:tcPr>
            <w:tcW w:w="0" w:type="auto"/>
            <w:noWrap w:val="0"/>
            <w:vAlign w:val="center"/>
          </w:tcPr>
          <w:p>
            <w:pPr>
              <w:spacing w:line="320" w:lineRule="exact"/>
              <w:rPr>
                <w:rFonts w:hint="eastAsia" w:ascii="Times New Roman" w:hAnsi="宋体"/>
                <w:szCs w:val="21"/>
              </w:rPr>
            </w:pPr>
            <w:r>
              <w:rPr>
                <w:rFonts w:ascii="Times New Roman" w:hAnsi="宋体"/>
                <w:szCs w:val="21"/>
              </w:rPr>
              <w:t>机动车维修</w:t>
            </w:r>
          </w:p>
          <w:p>
            <w:pPr>
              <w:spacing w:line="320" w:lineRule="exact"/>
              <w:rPr>
                <w:rFonts w:ascii="Times New Roman" w:hAnsi="Times New Roman"/>
                <w:szCs w:val="21"/>
              </w:rPr>
            </w:pPr>
            <w:r>
              <w:rPr>
                <w:rFonts w:ascii="Times New Roman" w:hAnsi="宋体"/>
                <w:szCs w:val="21"/>
              </w:rPr>
              <w:t>经营备案</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【法规】《江苏省机动车维修管理条例》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第六条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从事机动车维修经营活动的，应当在依法向市场监督管理部门办理有关登记手续后，向所在地县级交通运输主管部门进行备案，并按照国家有关规定附送相关材料。在设区的市城市市区范围内从事机动车维修经营活动的，应当向市交通运输主管部门进行备案，并按照国家有关规定附送相关材料。</w:t>
            </w:r>
          </w:p>
        </w:tc>
        <w:tc>
          <w:tcPr>
            <w:tcW w:w="1276" w:type="dxa"/>
            <w:noWrap w:val="0"/>
            <w:vAlign w:val="center"/>
          </w:tcPr>
          <w:p>
            <w:pPr>
              <w:spacing w:line="320" w:lineRule="exact"/>
              <w:rPr>
                <w:rFonts w:ascii="Times New Roman" w:hAnsi="Times New Roman"/>
                <w:szCs w:val="21"/>
              </w:rPr>
            </w:pPr>
            <w:r>
              <w:rPr>
                <w:rFonts w:ascii="Times New Roman" w:hAnsi="宋体"/>
                <w:szCs w:val="21"/>
              </w:rPr>
              <w:t>具有资质的第三方机构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5"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16</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机动车驾驶员培训经营备案</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【法律】《中华人民共和国道路交通安全法》</w:t>
            </w:r>
          </w:p>
          <w:p>
            <w:pPr>
              <w:overflowPunct w:val="0"/>
              <w:autoSpaceDE w:val="0"/>
              <w:autoSpaceDN w:val="0"/>
              <w:adjustRightInd w:val="0"/>
              <w:snapToGrid w:val="0"/>
              <w:spacing w:line="280" w:lineRule="exact"/>
              <w:rPr>
                <w:rFonts w:ascii="Times New Roman" w:hAnsi="Times New Roman"/>
                <w:kern w:val="0"/>
                <w:szCs w:val="21"/>
              </w:rPr>
            </w:pPr>
            <w:r>
              <w:rPr>
                <w:rFonts w:ascii="Times New Roman" w:hAnsi="宋体"/>
                <w:kern w:val="0"/>
                <w:szCs w:val="21"/>
              </w:rPr>
              <w:t>第二十条</w:t>
            </w:r>
            <w:r>
              <w:rPr>
                <w:rFonts w:hint="eastAsia" w:ascii="Times New Roman" w:hAnsi="宋体"/>
                <w:kern w:val="0"/>
                <w:szCs w:val="21"/>
              </w:rPr>
              <w:t xml:space="preserve">  </w:t>
            </w:r>
            <w:r>
              <w:rPr>
                <w:rFonts w:ascii="Times New Roman" w:hAnsi="宋体"/>
                <w:kern w:val="0"/>
                <w:szCs w:val="21"/>
              </w:rPr>
              <w:t>机动车的驾驶培训实行社会化，由交通运输主管部门对驾驶培训学校、驾驶培训班</w:t>
            </w:r>
            <w:r>
              <w:rPr>
                <w:rFonts w:ascii="Times New Roman" w:hAnsi="宋体"/>
                <w:spacing w:val="-6"/>
                <w:kern w:val="0"/>
                <w:szCs w:val="21"/>
              </w:rPr>
              <w:t>实行备案管理，并对驾驶培训活动加强监督，其中专门的拖拉机驾驶培训学校、驾驶培训班由农业（农业机械）主管部门实行监督管理。</w:t>
            </w:r>
          </w:p>
          <w:p>
            <w:pPr>
              <w:overflowPunct w:val="0"/>
              <w:autoSpaceDE w:val="0"/>
              <w:autoSpaceDN w:val="0"/>
              <w:adjustRightInd w:val="0"/>
              <w:snapToGrid w:val="0"/>
              <w:spacing w:line="280" w:lineRule="exact"/>
              <w:rPr>
                <w:rFonts w:ascii="Times New Roman" w:hAnsi="Times New Roman"/>
                <w:spacing w:val="-4"/>
                <w:kern w:val="0"/>
                <w:szCs w:val="21"/>
              </w:rPr>
            </w:pPr>
            <w:r>
              <w:rPr>
                <w:rFonts w:ascii="Times New Roman" w:hAnsi="宋体"/>
                <w:spacing w:val="-4"/>
                <w:kern w:val="0"/>
                <w:szCs w:val="21"/>
              </w:rPr>
              <w:t>驾驶培训学校、驾驶培训班应当严格按照国家有关规定，对学员进行道路交通安全法律、法规、驾驶技能的培训，确保培训质量。</w:t>
            </w:r>
          </w:p>
          <w:p>
            <w:pPr>
              <w:overflowPunct w:val="0"/>
              <w:autoSpaceDE w:val="0"/>
              <w:autoSpaceDN w:val="0"/>
              <w:adjustRightInd w:val="0"/>
              <w:snapToGrid w:val="0"/>
              <w:spacing w:line="280" w:lineRule="exact"/>
              <w:rPr>
                <w:rFonts w:ascii="Times New Roman" w:hAnsi="Times New Roman"/>
                <w:spacing w:val="-4"/>
                <w:kern w:val="0"/>
                <w:szCs w:val="21"/>
              </w:rPr>
            </w:pPr>
            <w:r>
              <w:rPr>
                <w:rFonts w:ascii="Times New Roman" w:hAnsi="宋体"/>
                <w:spacing w:val="-4"/>
                <w:kern w:val="0"/>
                <w:szCs w:val="21"/>
              </w:rPr>
              <w:t>任何国家机关以及驾驶培训和考试主管部门不得举办或者参与举办驾驶培训学校、驾驶培训班。</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第三十八条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申请从事机动车驾驶员培训的，应当具备下列条件：（四）有必要的教学车辆和其他教学设施、设备、场地。</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17</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道路旅客运输经营许可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第八条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申请从事客运经营的，应当具备下列条件：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b/>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18</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道路货物运输经营许可（含普通货运、专用运输、大件运输）</w:t>
            </w:r>
          </w:p>
        </w:tc>
        <w:tc>
          <w:tcPr>
            <w:tcW w:w="3116" w:type="dxa"/>
            <w:noWrap w:val="0"/>
            <w:vAlign w:val="center"/>
          </w:tcPr>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第二十一条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申请从事货运经营的，应当具备下列条件：（一）有与其经营业务相适应并经检测合格的车辆。</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0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ind w:left="-105" w:leftChars="-50" w:right="-105" w:rightChars="-50"/>
              <w:rPr>
                <w:rFonts w:ascii="Times New Roman" w:hAnsi="Times New Roman"/>
                <w:szCs w:val="21"/>
              </w:rPr>
            </w:pPr>
            <w:r>
              <w:rPr>
                <w:rFonts w:ascii="Times New Roman" w:hAnsi="宋体"/>
                <w:szCs w:val="21"/>
              </w:rPr>
              <w:t>普通货物运输车辆可异地开展技术等级评定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52"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19</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道路危险货物运输经营许可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第二十一条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申请从事货运经营的，应当具备下列条件：（一）有与其经营业务相适应并经检测合格的车辆。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20</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巡游出租汽车经营许可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第十二条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21</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hint="eastAsia" w:ascii="Times New Roman" w:hAnsi="宋体"/>
                <w:szCs w:val="21"/>
              </w:rPr>
            </w:pPr>
            <w:r>
              <w:rPr>
                <w:rFonts w:ascii="Times New Roman" w:hAnsi="宋体"/>
                <w:szCs w:val="21"/>
              </w:rPr>
              <w:t>网约车</w:t>
            </w:r>
          </w:p>
          <w:p>
            <w:pPr>
              <w:spacing w:line="320" w:lineRule="exact"/>
              <w:rPr>
                <w:rFonts w:ascii="Times New Roman" w:hAnsi="Times New Roman"/>
                <w:szCs w:val="21"/>
              </w:rPr>
            </w:pPr>
            <w:r>
              <w:rPr>
                <w:rFonts w:ascii="Times New Roman" w:hAnsi="宋体"/>
                <w:szCs w:val="21"/>
              </w:rPr>
              <w:t>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22" w:hRule="atLeast"/>
          <w:jc w:val="center"/>
        </w:trPr>
        <w:tc>
          <w:tcPr>
            <w:tcW w:w="0" w:type="auto"/>
            <w:shd w:val="clear" w:color="auto" w:fill="auto"/>
            <w:noWrap w:val="0"/>
            <w:vAlign w:val="center"/>
          </w:tcPr>
          <w:p>
            <w:pPr>
              <w:spacing w:line="320" w:lineRule="exact"/>
              <w:jc w:val="center"/>
              <w:rPr>
                <w:rFonts w:ascii="Times New Roman" w:hAnsi="Times New Roman"/>
                <w:szCs w:val="21"/>
              </w:rPr>
            </w:pPr>
            <w:r>
              <w:rPr>
                <w:rFonts w:ascii="Times New Roman" w:hAnsi="Times New Roman"/>
                <w:szCs w:val="21"/>
              </w:rPr>
              <w:t>22</w:t>
            </w:r>
          </w:p>
        </w:tc>
        <w:tc>
          <w:tcPr>
            <w:tcW w:w="0" w:type="auto"/>
            <w:shd w:val="clear" w:color="auto" w:fill="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shd w:val="clear" w:color="auto" w:fill="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shd w:val="clear" w:color="auto" w:fill="auto"/>
            <w:noWrap w:val="0"/>
            <w:vAlign w:val="center"/>
          </w:tcPr>
          <w:p>
            <w:pPr>
              <w:spacing w:line="320" w:lineRule="exact"/>
              <w:rPr>
                <w:rFonts w:hint="eastAsia" w:ascii="Times New Roman" w:hAnsi="宋体"/>
                <w:szCs w:val="21"/>
              </w:rPr>
            </w:pPr>
            <w:r>
              <w:rPr>
                <w:rFonts w:ascii="Times New Roman" w:hAnsi="宋体"/>
                <w:szCs w:val="21"/>
              </w:rPr>
              <w:t>汽车租赁</w:t>
            </w:r>
          </w:p>
          <w:p>
            <w:pPr>
              <w:spacing w:line="320" w:lineRule="exact"/>
              <w:rPr>
                <w:rFonts w:ascii="Times New Roman" w:hAnsi="Times New Roman"/>
                <w:szCs w:val="21"/>
              </w:rPr>
            </w:pPr>
            <w:r>
              <w:rPr>
                <w:rFonts w:ascii="Times New Roman" w:hAnsi="宋体"/>
                <w:szCs w:val="21"/>
              </w:rPr>
              <w:t>经营备案</w:t>
            </w:r>
          </w:p>
        </w:tc>
        <w:tc>
          <w:tcPr>
            <w:tcW w:w="3116" w:type="dxa"/>
            <w:shd w:val="clear" w:color="auto" w:fill="auto"/>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道路运输车辆应当符合机动车国家安全技术标准和污染物排放标准，符合国家和省规定的燃料消耗量限值标准，并按照规定进行维护、综合性能检测和技术等级评定。第五十三条</w:t>
            </w:r>
            <w:r>
              <w:rPr>
                <w:rFonts w:ascii="Times New Roman" w:hAnsi="Times New Roman"/>
                <w:szCs w:val="21"/>
              </w:rPr>
              <w:t xml:space="preserve"> </w:t>
            </w:r>
            <w:r>
              <w:rPr>
                <w:rFonts w:ascii="Times New Roman" w:hAnsi="宋体"/>
                <w:szCs w:val="21"/>
              </w:rPr>
              <w:t>从事汽车租赁经营的，应当向设区市道路运输管理机构提出申请，并具备下列条件：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（二）自有十辆以上符合国家标准、经检测合格的九座以下小型客车；</w:t>
            </w:r>
          </w:p>
        </w:tc>
        <w:tc>
          <w:tcPr>
            <w:tcW w:w="1276" w:type="dxa"/>
            <w:shd w:val="clear" w:color="auto" w:fill="auto"/>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shd w:val="clear" w:color="auto" w:fill="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shd w:val="clear" w:color="auto" w:fill="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shd w:val="clear" w:color="auto" w:fill="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94"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23</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道路运输车辆技术等级评定</w:t>
            </w:r>
          </w:p>
        </w:tc>
        <w:tc>
          <w:tcPr>
            <w:tcW w:w="0" w:type="auto"/>
            <w:noWrap w:val="0"/>
            <w:vAlign w:val="center"/>
          </w:tcPr>
          <w:p>
            <w:pPr>
              <w:spacing w:line="320" w:lineRule="exact"/>
              <w:rPr>
                <w:rFonts w:hint="eastAsia" w:ascii="Times New Roman" w:hAnsi="宋体"/>
                <w:szCs w:val="21"/>
              </w:rPr>
            </w:pPr>
            <w:r>
              <w:rPr>
                <w:rFonts w:ascii="Times New Roman" w:hAnsi="宋体"/>
                <w:szCs w:val="21"/>
              </w:rPr>
              <w:t>对道路运输经营者的经营条件以及营运车辆的年度审验（营运车辆</w:t>
            </w:r>
          </w:p>
          <w:p>
            <w:pPr>
              <w:spacing w:line="320" w:lineRule="exact"/>
              <w:rPr>
                <w:rFonts w:ascii="Times New Roman" w:hAnsi="Times New Roman"/>
                <w:szCs w:val="21"/>
              </w:rPr>
            </w:pPr>
            <w:r>
              <w:rPr>
                <w:rFonts w:ascii="Times New Roman" w:hAnsi="宋体"/>
                <w:szCs w:val="21"/>
              </w:rPr>
              <w:t>审验）</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第十三条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道路运输管理机构按照国家规定对道路运输经营者的经营条件以及营运车辆实行年度审验。</w:t>
            </w:r>
          </w:p>
        </w:tc>
        <w:tc>
          <w:tcPr>
            <w:tcW w:w="1276" w:type="dxa"/>
            <w:noWrap w:val="0"/>
            <w:vAlign w:val="center"/>
          </w:tcPr>
          <w:p>
            <w:pPr>
              <w:spacing w:line="320" w:lineRule="exact"/>
              <w:rPr>
                <w:rFonts w:ascii="Times New Roman" w:hAnsi="Times New Roman"/>
                <w:szCs w:val="21"/>
              </w:rPr>
            </w:pPr>
            <w:r>
              <w:rPr>
                <w:rFonts w:ascii="Times New Roman" w:hAnsi="宋体"/>
                <w:szCs w:val="21"/>
              </w:rPr>
              <w:t>第三方综合性能检测机构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hint="eastAsia" w:ascii="Times New Roman" w:hAnsi="宋体"/>
                <w:szCs w:val="21"/>
              </w:rPr>
            </w:pPr>
            <w:r>
              <w:rPr>
                <w:rFonts w:ascii="Times New Roman" w:hAnsi="宋体"/>
                <w:szCs w:val="21"/>
              </w:rPr>
              <w:t>危货车辆、客运车辆需在车籍所在地综合性能检测机构开展技术等级</w:t>
            </w:r>
          </w:p>
          <w:p>
            <w:pPr>
              <w:spacing w:line="320" w:lineRule="exact"/>
              <w:rPr>
                <w:rFonts w:ascii="Times New Roman" w:hAnsi="Times New Roman"/>
                <w:szCs w:val="21"/>
              </w:rPr>
            </w:pPr>
            <w:r>
              <w:rPr>
                <w:rFonts w:ascii="Times New Roman" w:hAnsi="宋体"/>
                <w:szCs w:val="21"/>
              </w:rPr>
              <w:t>评定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84"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24</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营运客车类型等级评定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道路旅客运输经营许可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第八条</w:t>
            </w:r>
            <w:r>
              <w:rPr>
                <w:rFonts w:hint="eastAsia" w:ascii="Times New Roman" w:hAnsi="宋体"/>
                <w:szCs w:val="21"/>
              </w:rPr>
              <w:t xml:space="preserve"> </w:t>
            </w:r>
            <w:r>
              <w:rPr>
                <w:rFonts w:ascii="Times New Roman" w:hAnsi="Times New Roman"/>
                <w:szCs w:val="21"/>
              </w:rPr>
              <w:t xml:space="preserve"> </w:t>
            </w:r>
            <w:r>
              <w:rPr>
                <w:rFonts w:ascii="Times New Roman" w:hAnsi="宋体"/>
                <w:szCs w:val="21"/>
              </w:rPr>
              <w:t>申请从事客运经营的，应当具备下列条件：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25</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营运客车类型等级评定</w:t>
            </w:r>
          </w:p>
        </w:tc>
        <w:tc>
          <w:tcPr>
            <w:tcW w:w="0" w:type="auto"/>
            <w:noWrap w:val="0"/>
            <w:vAlign w:val="center"/>
          </w:tcPr>
          <w:p>
            <w:pPr>
              <w:spacing w:line="320" w:lineRule="exact"/>
              <w:rPr>
                <w:rFonts w:ascii="Times New Roman" w:hAnsi="Times New Roman"/>
                <w:szCs w:val="21"/>
              </w:rPr>
            </w:pPr>
            <w:r>
              <w:rPr>
                <w:rFonts w:ascii="Times New Roman" w:hAnsi="宋体"/>
                <w:szCs w:val="21"/>
              </w:rPr>
              <w:t>对道路运输经营者的经营条件以及营运车辆的年度审验（对道路旅客运输经营者的营运车辆的年度审验）</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第十三条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道路运输管理机构按照国家规定对道路运输经营者的经营条件以及营运车辆实行年度审验。</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22"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26</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营运车辆燃料消耗核查</w:t>
            </w:r>
          </w:p>
        </w:tc>
        <w:tc>
          <w:tcPr>
            <w:tcW w:w="0" w:type="auto"/>
            <w:noWrap w:val="0"/>
            <w:vAlign w:val="center"/>
          </w:tcPr>
          <w:p>
            <w:pPr>
              <w:spacing w:line="320" w:lineRule="exact"/>
              <w:rPr>
                <w:rFonts w:ascii="Times New Roman" w:hAnsi="Times New Roman"/>
                <w:szCs w:val="21"/>
              </w:rPr>
            </w:pPr>
            <w:r>
              <w:rPr>
                <w:rFonts w:ascii="Times New Roman" w:hAnsi="宋体"/>
                <w:szCs w:val="21"/>
              </w:rPr>
              <w:t>道路旅客运输经营许可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第八条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申请从事客运经营的，应当具备下列条件：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第二十一条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申请从事货运经营的，应当具备下列条件：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5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27</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营运车辆燃料消耗核查</w:t>
            </w:r>
          </w:p>
        </w:tc>
        <w:tc>
          <w:tcPr>
            <w:tcW w:w="0" w:type="auto"/>
            <w:noWrap w:val="0"/>
            <w:vAlign w:val="center"/>
          </w:tcPr>
          <w:p>
            <w:pPr>
              <w:spacing w:line="320" w:lineRule="exact"/>
              <w:rPr>
                <w:rFonts w:ascii="Times New Roman" w:hAnsi="Times New Roman"/>
                <w:szCs w:val="21"/>
              </w:rPr>
            </w:pPr>
            <w:r>
              <w:rPr>
                <w:rFonts w:ascii="Times New Roman" w:hAnsi="宋体"/>
                <w:szCs w:val="21"/>
              </w:rPr>
              <w:t>道路货物运输经营许可（含普通货运、专用运输、大件运输）</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第八条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申请从事客运经营的，应当具备下列条件：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第二十一条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申请从事货运经营的，应当具备下列条件：</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（一）有与其经营业务相适应并经检测合格的车辆。</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70"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28</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spacing w:line="320" w:lineRule="exact"/>
              <w:rPr>
                <w:rFonts w:ascii="Times New Roman" w:hAnsi="Times New Roman"/>
                <w:szCs w:val="21"/>
              </w:rPr>
            </w:pPr>
            <w:r>
              <w:rPr>
                <w:rFonts w:ascii="Times New Roman" w:hAnsi="宋体"/>
                <w:szCs w:val="21"/>
              </w:rPr>
              <w:t>营运车辆燃料消耗核查</w:t>
            </w:r>
          </w:p>
        </w:tc>
        <w:tc>
          <w:tcPr>
            <w:tcW w:w="0" w:type="auto"/>
            <w:noWrap w:val="0"/>
            <w:vAlign w:val="center"/>
          </w:tcPr>
          <w:p>
            <w:pPr>
              <w:spacing w:line="320" w:lineRule="exact"/>
              <w:rPr>
                <w:rFonts w:ascii="Times New Roman" w:hAnsi="Times New Roman"/>
                <w:szCs w:val="21"/>
              </w:rPr>
            </w:pPr>
            <w:r>
              <w:rPr>
                <w:rFonts w:ascii="Times New Roman" w:hAnsi="宋体"/>
                <w:szCs w:val="21"/>
              </w:rPr>
              <w:t>道路危险货物运输经营许可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【法规】《中华人民共和国道路运输条例》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第二十一条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申请从事货运经营的，应当具备下列条件：（一）有与其经营业务相适应并经检测合格的车辆。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【法规】《江苏省道路运输条例》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第十二条</w:t>
            </w:r>
            <w:r>
              <w:rPr>
                <w:rFonts w:ascii="Times New Roman" w:hAnsi="Times New Roman"/>
                <w:szCs w:val="21"/>
              </w:rPr>
              <w:t xml:space="preserve"> </w:t>
            </w:r>
            <w:r>
              <w:rPr>
                <w:rFonts w:hint="eastAsia" w:ascii="Times New Roman" w:hAnsi="Times New Roman"/>
                <w:szCs w:val="21"/>
              </w:rPr>
              <w:t xml:space="preserve"> </w:t>
            </w:r>
            <w:r>
              <w:rPr>
                <w:rFonts w:ascii="Times New Roman" w:hAnsi="宋体"/>
                <w:szCs w:val="21"/>
              </w:rPr>
              <w:t>道路运输车辆应当符合机动车国家安全技术标准和污染物排放标准，符合国家和省规定的燃料消耗量限值标准，并按照规定进行维护、综合性能检测和技术等级评定。</w:t>
            </w:r>
          </w:p>
        </w:tc>
        <w:tc>
          <w:tcPr>
            <w:tcW w:w="1276" w:type="dxa"/>
            <w:noWrap w:val="0"/>
            <w:vAlign w:val="center"/>
          </w:tcPr>
          <w:p>
            <w:pPr>
              <w:spacing w:line="320" w:lineRule="exact"/>
              <w:rPr>
                <w:rFonts w:ascii="Times New Roman" w:hAnsi="Times New Roman"/>
                <w:szCs w:val="21"/>
              </w:rPr>
            </w:pPr>
            <w:r>
              <w:rPr>
                <w:rFonts w:ascii="Times New Roman" w:hAnsi="宋体"/>
                <w:szCs w:val="21"/>
              </w:rPr>
              <w:t>营运车辆车籍所在地综合性能检测机构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申请人自行选择有相应资质的机构，审批部门不得以任何形式要求申请人委托特定中介机构提供服务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29</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w:t>
            </w:r>
            <w:r>
              <w:rPr>
                <w:rFonts w:ascii="Times New Roman" w:hAnsi="宋体"/>
                <w:spacing w:val="11"/>
                <w:kern w:val="0"/>
                <w:szCs w:val="21"/>
              </w:rPr>
              <w:t>保障公路、公路附属设施质量和安全的技术评价报告</w:t>
            </w:r>
          </w:p>
        </w:tc>
        <w:tc>
          <w:tcPr>
            <w:tcW w:w="0" w:type="auto"/>
            <w:noWrap w:val="0"/>
            <w:vAlign w:val="center"/>
          </w:tcPr>
          <w:p>
            <w:pPr>
              <w:spacing w:line="320" w:lineRule="exact"/>
              <w:rPr>
                <w:rFonts w:ascii="Times New Roman" w:hAnsi="Times New Roman"/>
                <w:spacing w:val="-8"/>
                <w:szCs w:val="21"/>
              </w:rPr>
            </w:pPr>
            <w:r>
              <w:rPr>
                <w:rFonts w:ascii="Times New Roman" w:hAnsi="宋体"/>
                <w:spacing w:val="-8"/>
                <w:szCs w:val="21"/>
              </w:rPr>
              <w:t>因修建铁路、机场、供电、水利、通信等建设工程需要占用、挖掘公路、公路用地</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11"/>
                <w:kern w:val="0"/>
                <w:szCs w:val="21"/>
              </w:rPr>
            </w:pPr>
            <w:r>
              <w:rPr>
                <w:rFonts w:ascii="Times New Roman" w:hAnsi="宋体"/>
                <w:bCs/>
                <w:szCs w:val="21"/>
              </w:rPr>
              <w:t>【法规】</w:t>
            </w:r>
            <w:r>
              <w:rPr>
                <w:rFonts w:ascii="Times New Roman" w:hAnsi="宋体"/>
                <w:spacing w:val="11"/>
                <w:kern w:val="0"/>
                <w:szCs w:val="21"/>
              </w:rPr>
              <w:t>《中华人民共和国公路安全保护条例》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11"/>
                <w:kern w:val="0"/>
                <w:szCs w:val="21"/>
              </w:rPr>
              <w:t>第二十八条</w:t>
            </w:r>
            <w:r>
              <w:rPr>
                <w:rFonts w:ascii="Times New Roman" w:hAnsi="Times New Roman"/>
                <w:spacing w:val="11"/>
                <w:kern w:val="0"/>
                <w:szCs w:val="21"/>
              </w:rPr>
              <w:t>：</w:t>
            </w:r>
            <w:r>
              <w:rPr>
                <w:rFonts w:ascii="Times New Roman" w:hAnsi="宋体"/>
                <w:spacing w:val="11"/>
                <w:kern w:val="0"/>
                <w:szCs w:val="21"/>
              </w:rPr>
              <w:t>申请进行涉路施工活动的建设单位应当向公路管理机构提交下列材料</w:t>
            </w:r>
            <w:r>
              <w:rPr>
                <w:rFonts w:ascii="Times New Roman" w:hAnsi="Times New Roman"/>
                <w:spacing w:val="11"/>
                <w:kern w:val="0"/>
                <w:szCs w:val="21"/>
              </w:rPr>
              <w:t>：（</w:t>
            </w:r>
            <w:r>
              <w:rPr>
                <w:rFonts w:ascii="Times New Roman" w:hAnsi="宋体"/>
                <w:spacing w:val="11"/>
                <w:kern w:val="0"/>
                <w:szCs w:val="21"/>
              </w:rPr>
              <w:t>二</w:t>
            </w:r>
            <w:r>
              <w:rPr>
                <w:rFonts w:ascii="Times New Roman" w:hAnsi="Times New Roman"/>
                <w:spacing w:val="11"/>
                <w:kern w:val="0"/>
                <w:szCs w:val="21"/>
              </w:rPr>
              <w:t>）</w:t>
            </w:r>
            <w:r>
              <w:rPr>
                <w:rFonts w:ascii="Times New Roman" w:hAnsi="宋体"/>
                <w:spacing w:val="11"/>
                <w:kern w:val="0"/>
                <w:szCs w:val="21"/>
              </w:rPr>
              <w:t>保障公路、公路附属设施质量和安全的技术评价报告；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0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统一归口建设单位负责组织，审批部门不得指定评价机构。</w:t>
            </w:r>
          </w:p>
          <w:p>
            <w:pPr>
              <w:adjustRightInd w:val="0"/>
              <w:snapToGrid w:val="0"/>
              <w:spacing w:line="300" w:lineRule="exact"/>
              <w:rPr>
                <w:rFonts w:ascii="Times New Roman" w:hAnsi="Times New Roman"/>
                <w:szCs w:val="21"/>
              </w:rPr>
            </w:pPr>
            <w:r>
              <w:rPr>
                <w:rFonts w:ascii="Times New Roman" w:hAnsi="Times New Roman"/>
                <w:szCs w:val="21"/>
              </w:rPr>
              <w:t>2.</w:t>
            </w:r>
            <w:r>
              <w:rPr>
                <w:rFonts w:hint="eastAsia" w:ascii="Times New Roman" w:hAnsi="Times New Roman"/>
                <w:szCs w:val="21"/>
              </w:rPr>
              <w:t xml:space="preserve"> </w:t>
            </w:r>
            <w:r>
              <w:rPr>
                <w:rFonts w:ascii="Times New Roman" w:hAnsi="宋体"/>
                <w:szCs w:val="21"/>
              </w:rPr>
              <w:t>建设单位必须选择具有相应资质的单位承担涉路项目的评价并进行资质审查和确认。</w:t>
            </w:r>
          </w:p>
          <w:p>
            <w:pPr>
              <w:adjustRightInd w:val="0"/>
              <w:snapToGrid w:val="0"/>
              <w:spacing w:line="300" w:lineRule="exact"/>
              <w:rPr>
                <w:rFonts w:ascii="Times New Roman" w:hAnsi="Times New Roman"/>
                <w:szCs w:val="21"/>
              </w:rPr>
            </w:pPr>
            <w:r>
              <w:rPr>
                <w:rFonts w:ascii="Times New Roman" w:hAnsi="Times New Roman"/>
                <w:szCs w:val="21"/>
              </w:rPr>
              <w:t>3.</w:t>
            </w:r>
            <w:r>
              <w:rPr>
                <w:rFonts w:hint="eastAsia" w:ascii="Times New Roman" w:hAnsi="Times New Roman"/>
                <w:szCs w:val="21"/>
              </w:rPr>
              <w:t xml:space="preserve"> </w:t>
            </w:r>
            <w:r>
              <w:rPr>
                <w:rFonts w:ascii="Times New Roman" w:hAnsi="宋体"/>
                <w:szCs w:val="21"/>
              </w:rPr>
              <w:t>评价机构承担公路涉路工程项目安全技术评价及评价结论的法律责任。</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30</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w:t>
            </w:r>
            <w:r>
              <w:rPr>
                <w:rFonts w:ascii="Times New Roman" w:hAnsi="宋体"/>
                <w:spacing w:val="11"/>
                <w:kern w:val="0"/>
                <w:szCs w:val="21"/>
              </w:rPr>
              <w:t>保障公路、公路附属设施质量和安全的技术评价报告</w:t>
            </w:r>
          </w:p>
        </w:tc>
        <w:tc>
          <w:tcPr>
            <w:tcW w:w="0" w:type="auto"/>
            <w:noWrap w:val="0"/>
            <w:vAlign w:val="center"/>
          </w:tcPr>
          <w:p>
            <w:pPr>
              <w:spacing w:line="320" w:lineRule="exact"/>
              <w:rPr>
                <w:rFonts w:ascii="Times New Roman" w:hAnsi="Times New Roman"/>
                <w:spacing w:val="-8"/>
                <w:szCs w:val="21"/>
              </w:rPr>
            </w:pPr>
            <w:r>
              <w:rPr>
                <w:rFonts w:ascii="Times New Roman" w:hAnsi="宋体"/>
                <w:spacing w:val="-8"/>
                <w:szCs w:val="21"/>
              </w:rPr>
              <w:t>跨越、穿越公路及在公路用地范围内架设、埋设管线、电缆等设施，或者利用公路桥梁、公路隧道、涵洞铺设电缆等设施许可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11"/>
                <w:kern w:val="0"/>
                <w:szCs w:val="21"/>
              </w:rPr>
            </w:pPr>
            <w:r>
              <w:rPr>
                <w:rFonts w:ascii="Times New Roman" w:hAnsi="宋体"/>
                <w:bCs/>
                <w:szCs w:val="21"/>
              </w:rPr>
              <w:t>【法规】</w:t>
            </w:r>
            <w:r>
              <w:rPr>
                <w:rFonts w:ascii="Times New Roman" w:hAnsi="宋体"/>
                <w:spacing w:val="11"/>
                <w:kern w:val="0"/>
                <w:szCs w:val="21"/>
              </w:rPr>
              <w:t>《中华人民共和国公路安全保护条例》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11"/>
                <w:kern w:val="0"/>
                <w:szCs w:val="21"/>
              </w:rPr>
              <w:t>第二十八条</w:t>
            </w:r>
            <w:r>
              <w:rPr>
                <w:rFonts w:ascii="Times New Roman" w:hAnsi="Times New Roman"/>
                <w:spacing w:val="11"/>
                <w:kern w:val="0"/>
                <w:szCs w:val="21"/>
              </w:rPr>
              <w:t>：</w:t>
            </w:r>
            <w:r>
              <w:rPr>
                <w:rFonts w:ascii="Times New Roman" w:hAnsi="宋体"/>
                <w:spacing w:val="11"/>
                <w:kern w:val="0"/>
                <w:szCs w:val="21"/>
              </w:rPr>
              <w:t>申请进行涉路施工活动的建设单位应当向公路管理机构提交下列材料</w:t>
            </w:r>
            <w:r>
              <w:rPr>
                <w:rFonts w:ascii="Times New Roman" w:hAnsi="Times New Roman"/>
                <w:spacing w:val="11"/>
                <w:kern w:val="0"/>
                <w:szCs w:val="21"/>
              </w:rPr>
              <w:t>：（</w:t>
            </w:r>
            <w:r>
              <w:rPr>
                <w:rFonts w:ascii="Times New Roman" w:hAnsi="宋体"/>
                <w:spacing w:val="11"/>
                <w:kern w:val="0"/>
                <w:szCs w:val="21"/>
              </w:rPr>
              <w:t>二</w:t>
            </w:r>
            <w:r>
              <w:rPr>
                <w:rFonts w:ascii="Times New Roman" w:hAnsi="Times New Roman"/>
                <w:spacing w:val="11"/>
                <w:kern w:val="0"/>
                <w:szCs w:val="21"/>
              </w:rPr>
              <w:t>）</w:t>
            </w:r>
            <w:r>
              <w:rPr>
                <w:rFonts w:ascii="Times New Roman" w:hAnsi="宋体"/>
                <w:spacing w:val="11"/>
                <w:kern w:val="0"/>
                <w:szCs w:val="21"/>
              </w:rPr>
              <w:t>保障公路、公路附属设施质量和安全的技术评价报告；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00" w:lineRule="exact"/>
              <w:rPr>
                <w:rFonts w:ascii="Times New Roman" w:hAnsi="宋体"/>
                <w:szCs w:val="21"/>
              </w:rPr>
            </w:pPr>
            <w:r>
              <w:rPr>
                <w:rFonts w:ascii="Times New Roman" w:hAnsi="宋体"/>
                <w:szCs w:val="21"/>
              </w:rPr>
              <w:t>1.</w:t>
            </w:r>
            <w:r>
              <w:rPr>
                <w:rFonts w:hint="eastAsia" w:ascii="Times New Roman" w:hAnsi="宋体"/>
                <w:szCs w:val="21"/>
              </w:rPr>
              <w:t xml:space="preserve"> </w:t>
            </w:r>
            <w:r>
              <w:rPr>
                <w:rFonts w:ascii="Times New Roman" w:hAnsi="宋体"/>
                <w:szCs w:val="21"/>
              </w:rPr>
              <w:t>统一归口建设单位负责组织，审批部门不得指定评价机构。</w:t>
            </w:r>
          </w:p>
          <w:p>
            <w:pPr>
              <w:adjustRightInd w:val="0"/>
              <w:snapToGrid w:val="0"/>
              <w:spacing w:line="300" w:lineRule="exact"/>
              <w:rPr>
                <w:rFonts w:ascii="Times New Roman" w:hAnsi="宋体"/>
                <w:szCs w:val="21"/>
              </w:rPr>
            </w:pPr>
            <w:r>
              <w:rPr>
                <w:rFonts w:ascii="Times New Roman" w:hAnsi="宋体"/>
                <w:szCs w:val="21"/>
              </w:rPr>
              <w:t>2.</w:t>
            </w:r>
            <w:r>
              <w:rPr>
                <w:rFonts w:hint="eastAsia" w:ascii="Times New Roman" w:hAnsi="宋体"/>
                <w:szCs w:val="21"/>
              </w:rPr>
              <w:t xml:space="preserve"> </w:t>
            </w:r>
            <w:r>
              <w:rPr>
                <w:rFonts w:ascii="Times New Roman" w:hAnsi="宋体"/>
                <w:szCs w:val="21"/>
              </w:rPr>
              <w:t>建设单位必须选择具有相应资质的单位承担涉路项目的评价并进行资质审查和确认。</w:t>
            </w:r>
          </w:p>
          <w:p>
            <w:pPr>
              <w:adjustRightInd w:val="0"/>
              <w:snapToGrid w:val="0"/>
              <w:spacing w:line="300" w:lineRule="exact"/>
              <w:rPr>
                <w:rFonts w:ascii="Times New Roman" w:hAnsi="宋体"/>
                <w:szCs w:val="21"/>
              </w:rPr>
            </w:pPr>
            <w:r>
              <w:rPr>
                <w:rFonts w:ascii="Times New Roman" w:hAnsi="宋体"/>
                <w:szCs w:val="21"/>
              </w:rPr>
              <w:t>3.</w:t>
            </w:r>
            <w:r>
              <w:rPr>
                <w:rFonts w:hint="eastAsia" w:ascii="Times New Roman" w:hAnsi="宋体"/>
                <w:szCs w:val="21"/>
              </w:rPr>
              <w:t xml:space="preserve"> </w:t>
            </w:r>
            <w:r>
              <w:rPr>
                <w:rFonts w:ascii="Times New Roman" w:hAnsi="宋体"/>
                <w:szCs w:val="21"/>
              </w:rPr>
              <w:t>评价机构承担公路涉路工程项目安全技术评价及评价结论的法律责任。</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31</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w:t>
            </w:r>
            <w:r>
              <w:rPr>
                <w:rFonts w:ascii="Times New Roman" w:hAnsi="宋体"/>
                <w:spacing w:val="11"/>
                <w:kern w:val="0"/>
                <w:szCs w:val="21"/>
              </w:rPr>
              <w:t>保障公路、公路附属设施质量和安全的技术评价报告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利用跨越公路的设施悬挂非公路标志</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11"/>
                <w:kern w:val="0"/>
                <w:szCs w:val="21"/>
              </w:rPr>
            </w:pPr>
            <w:r>
              <w:rPr>
                <w:rFonts w:ascii="Times New Roman" w:hAnsi="宋体"/>
                <w:bCs/>
                <w:szCs w:val="21"/>
              </w:rPr>
              <w:t>【法规】</w:t>
            </w:r>
            <w:r>
              <w:rPr>
                <w:rFonts w:ascii="Times New Roman" w:hAnsi="宋体"/>
                <w:spacing w:val="11"/>
                <w:kern w:val="0"/>
                <w:szCs w:val="21"/>
              </w:rPr>
              <w:t>《中华人民共和国公路安全保护条例》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11"/>
                <w:kern w:val="0"/>
                <w:szCs w:val="21"/>
              </w:rPr>
              <w:t>第二十八条</w:t>
            </w:r>
            <w:r>
              <w:rPr>
                <w:rFonts w:ascii="Times New Roman" w:hAnsi="Times New Roman"/>
                <w:spacing w:val="11"/>
                <w:kern w:val="0"/>
                <w:szCs w:val="21"/>
              </w:rPr>
              <w:t>：</w:t>
            </w:r>
            <w:r>
              <w:rPr>
                <w:rFonts w:ascii="Times New Roman" w:hAnsi="宋体"/>
                <w:spacing w:val="11"/>
                <w:kern w:val="0"/>
                <w:szCs w:val="21"/>
              </w:rPr>
              <w:t>申请进行涉路施工活动的建设单位应当向公路管理机构提交下列材料</w:t>
            </w:r>
            <w:r>
              <w:rPr>
                <w:rFonts w:ascii="Times New Roman" w:hAnsi="Times New Roman"/>
                <w:spacing w:val="11"/>
                <w:kern w:val="0"/>
                <w:szCs w:val="21"/>
              </w:rPr>
              <w:t>：（</w:t>
            </w:r>
            <w:r>
              <w:rPr>
                <w:rFonts w:ascii="Times New Roman" w:hAnsi="宋体"/>
                <w:spacing w:val="11"/>
                <w:kern w:val="0"/>
                <w:szCs w:val="21"/>
              </w:rPr>
              <w:t>二</w:t>
            </w:r>
            <w:r>
              <w:rPr>
                <w:rFonts w:ascii="Times New Roman" w:hAnsi="Times New Roman"/>
                <w:spacing w:val="11"/>
                <w:kern w:val="0"/>
                <w:szCs w:val="21"/>
              </w:rPr>
              <w:t>）</w:t>
            </w:r>
            <w:r>
              <w:rPr>
                <w:rFonts w:ascii="Times New Roman" w:hAnsi="宋体"/>
                <w:spacing w:val="11"/>
                <w:kern w:val="0"/>
                <w:szCs w:val="21"/>
              </w:rPr>
              <w:t>保障公路、公路附属设施质量和安全的技术评价报告；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0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统一归口建设单位负责组织，审批部门不得指定评价机构。</w:t>
            </w:r>
          </w:p>
          <w:p>
            <w:pPr>
              <w:adjustRightInd w:val="0"/>
              <w:snapToGrid w:val="0"/>
              <w:spacing w:line="300" w:lineRule="exact"/>
              <w:rPr>
                <w:rFonts w:ascii="Times New Roman" w:hAnsi="Times New Roman"/>
                <w:szCs w:val="21"/>
              </w:rPr>
            </w:pPr>
            <w:r>
              <w:rPr>
                <w:rFonts w:ascii="Times New Roman" w:hAnsi="Times New Roman"/>
                <w:szCs w:val="21"/>
              </w:rPr>
              <w:t>2.</w:t>
            </w:r>
            <w:r>
              <w:rPr>
                <w:rFonts w:hint="eastAsia" w:ascii="Times New Roman" w:hAnsi="Times New Roman"/>
                <w:szCs w:val="21"/>
              </w:rPr>
              <w:t xml:space="preserve"> </w:t>
            </w:r>
            <w:r>
              <w:rPr>
                <w:rFonts w:ascii="Times New Roman" w:hAnsi="宋体"/>
                <w:szCs w:val="21"/>
              </w:rPr>
              <w:t>建设单位必须选择具有相应资质的单位承担涉路项目的评价并进行资质审查和确认。</w:t>
            </w:r>
          </w:p>
          <w:p>
            <w:pPr>
              <w:adjustRightInd w:val="0"/>
              <w:snapToGrid w:val="0"/>
              <w:spacing w:line="300" w:lineRule="exact"/>
              <w:rPr>
                <w:rFonts w:ascii="Times New Roman" w:hAnsi="Times New Roman"/>
                <w:szCs w:val="21"/>
              </w:rPr>
            </w:pPr>
            <w:r>
              <w:rPr>
                <w:rFonts w:ascii="Times New Roman" w:hAnsi="Times New Roman"/>
                <w:szCs w:val="21"/>
              </w:rPr>
              <w:t>3.</w:t>
            </w:r>
            <w:r>
              <w:rPr>
                <w:rFonts w:hint="eastAsia" w:ascii="Times New Roman" w:hAnsi="Times New Roman"/>
                <w:szCs w:val="21"/>
              </w:rPr>
              <w:t xml:space="preserve"> </w:t>
            </w:r>
            <w:r>
              <w:rPr>
                <w:rFonts w:ascii="Times New Roman" w:hAnsi="宋体"/>
                <w:szCs w:val="21"/>
              </w:rPr>
              <w:t>评价机构承担公路涉路工程项目安全技术评价及评价结论的法律责任。</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32</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w:t>
            </w:r>
            <w:r>
              <w:rPr>
                <w:rFonts w:ascii="Times New Roman" w:hAnsi="宋体"/>
                <w:spacing w:val="11"/>
                <w:kern w:val="0"/>
                <w:szCs w:val="21"/>
              </w:rPr>
              <w:t>保障公路、公路附属设施质量和安全的技术评价报告</w:t>
            </w:r>
          </w:p>
        </w:tc>
        <w:tc>
          <w:tcPr>
            <w:tcW w:w="0" w:type="auto"/>
            <w:noWrap w:val="0"/>
            <w:vAlign w:val="center"/>
          </w:tcPr>
          <w:p>
            <w:pPr>
              <w:spacing w:line="320" w:lineRule="exact"/>
              <w:rPr>
                <w:rFonts w:ascii="Times New Roman" w:hAnsi="Times New Roman"/>
                <w:kern w:val="0"/>
                <w:szCs w:val="21"/>
              </w:rPr>
            </w:pPr>
            <w:r>
              <w:rPr>
                <w:rFonts w:ascii="Times New Roman" w:hAnsi="宋体"/>
                <w:szCs w:val="21"/>
              </w:rPr>
              <w:t>在公路上增设或者改造平面交叉道口</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11"/>
                <w:kern w:val="0"/>
                <w:szCs w:val="21"/>
              </w:rPr>
            </w:pPr>
            <w:r>
              <w:rPr>
                <w:rFonts w:ascii="Times New Roman" w:hAnsi="宋体"/>
                <w:bCs/>
                <w:szCs w:val="21"/>
              </w:rPr>
              <w:t>【法规】</w:t>
            </w:r>
            <w:r>
              <w:rPr>
                <w:rFonts w:ascii="Times New Roman" w:hAnsi="宋体"/>
                <w:spacing w:val="11"/>
                <w:kern w:val="0"/>
                <w:szCs w:val="21"/>
              </w:rPr>
              <w:t>《中华人民共和国公路安全保护条例》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11"/>
                <w:kern w:val="0"/>
                <w:szCs w:val="21"/>
              </w:rPr>
              <w:t>第二十八条</w:t>
            </w:r>
            <w:r>
              <w:rPr>
                <w:rFonts w:ascii="Times New Roman" w:hAnsi="Times New Roman"/>
                <w:spacing w:val="11"/>
                <w:kern w:val="0"/>
                <w:szCs w:val="21"/>
              </w:rPr>
              <w:t>：</w:t>
            </w:r>
            <w:r>
              <w:rPr>
                <w:rFonts w:ascii="Times New Roman" w:hAnsi="宋体"/>
                <w:spacing w:val="11"/>
                <w:kern w:val="0"/>
                <w:szCs w:val="21"/>
              </w:rPr>
              <w:t>申请进行涉路施工活动的建设单位应当向公路管理机构提交下列材料</w:t>
            </w:r>
            <w:r>
              <w:rPr>
                <w:rFonts w:ascii="Times New Roman" w:hAnsi="Times New Roman"/>
                <w:spacing w:val="11"/>
                <w:kern w:val="0"/>
                <w:szCs w:val="21"/>
              </w:rPr>
              <w:t>：（</w:t>
            </w:r>
            <w:r>
              <w:rPr>
                <w:rFonts w:ascii="Times New Roman" w:hAnsi="宋体"/>
                <w:spacing w:val="11"/>
                <w:kern w:val="0"/>
                <w:szCs w:val="21"/>
              </w:rPr>
              <w:t>二</w:t>
            </w:r>
            <w:r>
              <w:rPr>
                <w:rFonts w:ascii="Times New Roman" w:hAnsi="Times New Roman"/>
                <w:spacing w:val="11"/>
                <w:kern w:val="0"/>
                <w:szCs w:val="21"/>
              </w:rPr>
              <w:t>）</w:t>
            </w:r>
            <w:r>
              <w:rPr>
                <w:rFonts w:ascii="Times New Roman" w:hAnsi="宋体"/>
                <w:spacing w:val="11"/>
                <w:kern w:val="0"/>
                <w:szCs w:val="21"/>
              </w:rPr>
              <w:t>保障公路、公路附属设施质量和安全的技术评价报告；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0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统一归口建设单位负责组织，审批部门不得指定评价机构。</w:t>
            </w:r>
          </w:p>
          <w:p>
            <w:pPr>
              <w:adjustRightInd w:val="0"/>
              <w:snapToGrid w:val="0"/>
              <w:spacing w:line="300" w:lineRule="exact"/>
              <w:rPr>
                <w:rFonts w:ascii="Times New Roman" w:hAnsi="Times New Roman"/>
                <w:szCs w:val="21"/>
              </w:rPr>
            </w:pPr>
            <w:r>
              <w:rPr>
                <w:rFonts w:ascii="Times New Roman" w:hAnsi="Times New Roman"/>
                <w:szCs w:val="21"/>
              </w:rPr>
              <w:t>2.</w:t>
            </w:r>
            <w:r>
              <w:rPr>
                <w:rFonts w:hint="eastAsia" w:ascii="Times New Roman" w:hAnsi="Times New Roman"/>
                <w:szCs w:val="21"/>
              </w:rPr>
              <w:t xml:space="preserve"> </w:t>
            </w:r>
            <w:r>
              <w:rPr>
                <w:rFonts w:ascii="Times New Roman" w:hAnsi="宋体"/>
                <w:szCs w:val="21"/>
              </w:rPr>
              <w:t>建设单位必须选择具有相应资质的单位承担涉路项目的评价并进行资质审查和确认。</w:t>
            </w:r>
          </w:p>
          <w:p>
            <w:pPr>
              <w:adjustRightInd w:val="0"/>
              <w:snapToGrid w:val="0"/>
              <w:spacing w:line="300" w:lineRule="exact"/>
              <w:rPr>
                <w:rFonts w:ascii="Times New Roman" w:hAnsi="Times New Roman"/>
                <w:szCs w:val="21"/>
              </w:rPr>
            </w:pPr>
            <w:r>
              <w:rPr>
                <w:rFonts w:ascii="Times New Roman" w:hAnsi="Times New Roman"/>
                <w:szCs w:val="21"/>
              </w:rPr>
              <w:t>3.</w:t>
            </w:r>
            <w:r>
              <w:rPr>
                <w:rFonts w:hint="eastAsia" w:ascii="Times New Roman" w:hAnsi="Times New Roman"/>
                <w:szCs w:val="21"/>
              </w:rPr>
              <w:t xml:space="preserve"> </w:t>
            </w:r>
            <w:r>
              <w:rPr>
                <w:rFonts w:ascii="Times New Roman" w:hAnsi="宋体"/>
                <w:szCs w:val="21"/>
              </w:rPr>
              <w:t>评价机构承担公路涉路工程项目安全技术评价及评价结论的法律责任。</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33</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编制</w:t>
            </w:r>
            <w:r>
              <w:rPr>
                <w:rFonts w:ascii="Times New Roman" w:hAnsi="宋体"/>
                <w:spacing w:val="11"/>
                <w:kern w:val="0"/>
                <w:szCs w:val="21"/>
              </w:rPr>
              <w:t>保障公路、公路附属设施质量和安全的技术评价报告</w:t>
            </w:r>
          </w:p>
        </w:tc>
        <w:tc>
          <w:tcPr>
            <w:tcW w:w="0" w:type="auto"/>
            <w:noWrap w:val="0"/>
            <w:vAlign w:val="center"/>
          </w:tcPr>
          <w:p>
            <w:pPr>
              <w:spacing w:line="320" w:lineRule="exact"/>
              <w:rPr>
                <w:rFonts w:ascii="Times New Roman" w:hAnsi="Times New Roman"/>
                <w:spacing w:val="-8"/>
                <w:kern w:val="0"/>
                <w:szCs w:val="21"/>
              </w:rPr>
            </w:pPr>
            <w:r>
              <w:rPr>
                <w:rFonts w:ascii="Times New Roman" w:hAnsi="宋体"/>
                <w:spacing w:val="-8"/>
                <w:szCs w:val="21"/>
              </w:rPr>
              <w:t>公路建筑控制区内埋设管线、电缆等设施许可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11"/>
                <w:kern w:val="0"/>
                <w:szCs w:val="21"/>
              </w:rPr>
            </w:pPr>
            <w:r>
              <w:rPr>
                <w:rFonts w:ascii="Times New Roman" w:hAnsi="宋体"/>
                <w:bCs/>
                <w:szCs w:val="21"/>
              </w:rPr>
              <w:t>【法规】</w:t>
            </w:r>
            <w:r>
              <w:rPr>
                <w:rFonts w:ascii="Times New Roman" w:hAnsi="宋体"/>
                <w:spacing w:val="11"/>
                <w:kern w:val="0"/>
                <w:szCs w:val="21"/>
              </w:rPr>
              <w:t>《中华人民共和国公路安全保护条例》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11"/>
                <w:kern w:val="0"/>
                <w:szCs w:val="21"/>
              </w:rPr>
              <w:t>第二十八条</w:t>
            </w:r>
            <w:r>
              <w:rPr>
                <w:rFonts w:ascii="Times New Roman" w:hAnsi="Times New Roman"/>
                <w:spacing w:val="11"/>
                <w:kern w:val="0"/>
                <w:szCs w:val="21"/>
              </w:rPr>
              <w:t>：</w:t>
            </w:r>
            <w:r>
              <w:rPr>
                <w:rFonts w:ascii="Times New Roman" w:hAnsi="宋体"/>
                <w:spacing w:val="11"/>
                <w:kern w:val="0"/>
                <w:szCs w:val="21"/>
              </w:rPr>
              <w:t>申请进行涉路施工活动的建设单位应当向公路管理机构提交下列材料</w:t>
            </w:r>
            <w:r>
              <w:rPr>
                <w:rFonts w:ascii="Times New Roman" w:hAnsi="Times New Roman"/>
                <w:spacing w:val="11"/>
                <w:kern w:val="0"/>
                <w:szCs w:val="21"/>
              </w:rPr>
              <w:t>：（</w:t>
            </w:r>
            <w:r>
              <w:rPr>
                <w:rFonts w:ascii="Times New Roman" w:hAnsi="宋体"/>
                <w:spacing w:val="11"/>
                <w:kern w:val="0"/>
                <w:szCs w:val="21"/>
              </w:rPr>
              <w:t>二</w:t>
            </w:r>
            <w:r>
              <w:rPr>
                <w:rFonts w:ascii="Times New Roman" w:hAnsi="Times New Roman"/>
                <w:spacing w:val="11"/>
                <w:kern w:val="0"/>
                <w:szCs w:val="21"/>
              </w:rPr>
              <w:t>）</w:t>
            </w:r>
            <w:r>
              <w:rPr>
                <w:rFonts w:ascii="Times New Roman" w:hAnsi="宋体"/>
                <w:spacing w:val="11"/>
                <w:kern w:val="0"/>
                <w:szCs w:val="21"/>
              </w:rPr>
              <w:t>保障公路、公路附属设施质量和安全的技术评价报告；</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2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统一归口建设单位负责组织，审批部门不得指定评价机构。</w:t>
            </w:r>
          </w:p>
          <w:p>
            <w:pPr>
              <w:adjustRightInd w:val="0"/>
              <w:snapToGrid w:val="0"/>
              <w:spacing w:line="320" w:lineRule="exact"/>
              <w:rPr>
                <w:rFonts w:ascii="Times New Roman" w:hAnsi="Times New Roman"/>
                <w:szCs w:val="21"/>
              </w:rPr>
            </w:pPr>
            <w:r>
              <w:rPr>
                <w:rFonts w:ascii="Times New Roman" w:hAnsi="Times New Roman"/>
                <w:szCs w:val="21"/>
              </w:rPr>
              <w:t>2.</w:t>
            </w:r>
            <w:r>
              <w:rPr>
                <w:rFonts w:hint="eastAsia" w:ascii="Times New Roman" w:hAnsi="Times New Roman"/>
                <w:szCs w:val="21"/>
              </w:rPr>
              <w:t xml:space="preserve"> </w:t>
            </w:r>
            <w:r>
              <w:rPr>
                <w:rFonts w:ascii="Times New Roman" w:hAnsi="宋体"/>
                <w:szCs w:val="21"/>
              </w:rPr>
              <w:t>建设单位必须选择具有相应资质的单位承担涉路项目的评价并进行资质审查和确认。</w:t>
            </w:r>
          </w:p>
          <w:p>
            <w:pPr>
              <w:adjustRightInd w:val="0"/>
              <w:snapToGrid w:val="0"/>
              <w:spacing w:line="320" w:lineRule="exact"/>
              <w:rPr>
                <w:rFonts w:ascii="Times New Roman" w:hAnsi="Times New Roman"/>
                <w:szCs w:val="21"/>
              </w:rPr>
            </w:pPr>
            <w:r>
              <w:rPr>
                <w:rFonts w:ascii="Times New Roman" w:hAnsi="Times New Roman"/>
                <w:szCs w:val="21"/>
              </w:rPr>
              <w:t>3.</w:t>
            </w:r>
            <w:r>
              <w:rPr>
                <w:rFonts w:hint="eastAsia" w:ascii="Times New Roman" w:hAnsi="Times New Roman"/>
                <w:szCs w:val="21"/>
              </w:rPr>
              <w:t xml:space="preserve"> </w:t>
            </w:r>
            <w:r>
              <w:rPr>
                <w:rFonts w:ascii="Times New Roman" w:hAnsi="宋体"/>
                <w:szCs w:val="21"/>
              </w:rPr>
              <w:t>评价机构承担公路涉路工程项目安全技术评价及评价结论的法律责任。</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25"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34</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危险货物港口建设项目安全设施设计</w:t>
            </w:r>
          </w:p>
        </w:tc>
        <w:tc>
          <w:tcPr>
            <w:tcW w:w="0" w:type="auto"/>
            <w:noWrap w:val="0"/>
            <w:vAlign w:val="center"/>
          </w:tcPr>
          <w:p>
            <w:pPr>
              <w:spacing w:line="320" w:lineRule="exact"/>
              <w:rPr>
                <w:rFonts w:ascii="Times New Roman" w:hAnsi="Times New Roman"/>
                <w:szCs w:val="21"/>
              </w:rPr>
            </w:pPr>
            <w:r>
              <w:rPr>
                <w:rFonts w:ascii="Times New Roman" w:hAnsi="宋体"/>
                <w:szCs w:val="21"/>
              </w:rPr>
              <w:t>港口危险货物作业的建设项目安全设施设计审查</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bCs/>
                <w:szCs w:val="21"/>
              </w:rPr>
            </w:pPr>
            <w:r>
              <w:rPr>
                <w:rFonts w:ascii="Times New Roman" w:hAnsi="宋体"/>
                <w:bCs/>
                <w:szCs w:val="21"/>
              </w:rPr>
              <w:t>【法律】《中华人民共和国安全生产法》</w:t>
            </w:r>
          </w:p>
          <w:p>
            <w:pPr>
              <w:overflowPunct w:val="0"/>
              <w:autoSpaceDE w:val="0"/>
              <w:autoSpaceDN w:val="0"/>
              <w:adjustRightInd w:val="0"/>
              <w:snapToGrid w:val="0"/>
              <w:spacing w:line="280" w:lineRule="exact"/>
              <w:rPr>
                <w:rFonts w:ascii="Times New Roman" w:hAnsi="Times New Roman"/>
                <w:bCs/>
                <w:szCs w:val="21"/>
              </w:rPr>
            </w:pPr>
            <w:r>
              <w:rPr>
                <w:rFonts w:ascii="Times New Roman" w:hAnsi="宋体"/>
                <w:bCs/>
                <w:szCs w:val="21"/>
              </w:rPr>
              <w:t>第三十一条</w:t>
            </w:r>
            <w:r>
              <w:rPr>
                <w:rFonts w:hint="eastAsia" w:ascii="Times New Roman" w:hAnsi="宋体"/>
                <w:bCs/>
                <w:szCs w:val="21"/>
              </w:rPr>
              <w:t xml:space="preserve">  </w:t>
            </w:r>
            <w:r>
              <w:rPr>
                <w:rFonts w:ascii="Times New Roman" w:hAnsi="宋体"/>
                <w:bCs/>
                <w:szCs w:val="21"/>
              </w:rPr>
              <w:t>生产经营单位新建、改建、扩建工程项目（以下统称建设项目）的安全设施，必须与主体工程同时设计、同时施工、同时投入生产和使用。安全设施投资应当纳入建设项目概算。</w:t>
            </w:r>
          </w:p>
          <w:p>
            <w:pPr>
              <w:overflowPunct w:val="0"/>
              <w:autoSpaceDE w:val="0"/>
              <w:autoSpaceDN w:val="0"/>
              <w:adjustRightInd w:val="0"/>
              <w:snapToGrid w:val="0"/>
              <w:spacing w:line="280" w:lineRule="exact"/>
              <w:rPr>
                <w:rFonts w:ascii="Times New Roman" w:hAnsi="Times New Roman"/>
                <w:bCs/>
                <w:szCs w:val="21"/>
              </w:rPr>
            </w:pPr>
            <w:r>
              <w:rPr>
                <w:rFonts w:ascii="Times New Roman" w:hAnsi="宋体"/>
                <w:bCs/>
                <w:szCs w:val="21"/>
              </w:rPr>
              <w:t>第三十二条</w:t>
            </w:r>
            <w:r>
              <w:rPr>
                <w:rFonts w:hint="eastAsia" w:ascii="Times New Roman" w:hAnsi="宋体"/>
                <w:bCs/>
                <w:szCs w:val="21"/>
              </w:rPr>
              <w:t xml:space="preserve">  </w:t>
            </w:r>
            <w:r>
              <w:rPr>
                <w:rFonts w:ascii="Times New Roman" w:hAnsi="宋体"/>
                <w:bCs/>
                <w:szCs w:val="21"/>
              </w:rPr>
              <w:t>矿山、金属冶炼建设项目和用于生产、储存、装卸危险物品的建设项目，应当按照国家有关规定进行安全评价。</w:t>
            </w:r>
          </w:p>
          <w:p>
            <w:pPr>
              <w:overflowPunct w:val="0"/>
              <w:autoSpaceDE w:val="0"/>
              <w:autoSpaceDN w:val="0"/>
              <w:adjustRightInd w:val="0"/>
              <w:snapToGrid w:val="0"/>
              <w:spacing w:line="280" w:lineRule="exact"/>
              <w:rPr>
                <w:rFonts w:ascii="Times New Roman" w:hAnsi="Times New Roman"/>
                <w:bCs/>
                <w:szCs w:val="21"/>
              </w:rPr>
            </w:pPr>
            <w:r>
              <w:rPr>
                <w:rFonts w:ascii="Times New Roman" w:hAnsi="宋体"/>
                <w:bCs/>
                <w:szCs w:val="21"/>
              </w:rPr>
              <w:t>第三十三条</w:t>
            </w:r>
            <w:r>
              <w:rPr>
                <w:rFonts w:hint="eastAsia" w:ascii="Times New Roman" w:hAnsi="宋体"/>
                <w:bCs/>
                <w:szCs w:val="21"/>
              </w:rPr>
              <w:t xml:space="preserve">  </w:t>
            </w:r>
            <w:r>
              <w:rPr>
                <w:rFonts w:ascii="Times New Roman" w:hAnsi="宋体"/>
                <w:bCs/>
                <w:szCs w:val="21"/>
              </w:rPr>
              <w:t>建设项目安全设施的设计人、设计单位应当对安全设施设计负责。</w:t>
            </w:r>
          </w:p>
          <w:p>
            <w:pPr>
              <w:overflowPunct w:val="0"/>
              <w:autoSpaceDE w:val="0"/>
              <w:autoSpaceDN w:val="0"/>
              <w:adjustRightInd w:val="0"/>
              <w:snapToGrid w:val="0"/>
              <w:spacing w:line="280" w:lineRule="exact"/>
              <w:rPr>
                <w:rFonts w:ascii="Times New Roman" w:hAnsi="Times New Roman"/>
                <w:bCs/>
                <w:szCs w:val="21"/>
              </w:rPr>
            </w:pPr>
            <w:r>
              <w:rPr>
                <w:rFonts w:ascii="Times New Roman" w:hAnsi="宋体"/>
                <w:bCs/>
                <w:szCs w:val="21"/>
              </w:rPr>
              <w:t>矿山、金属冶炼建设项目和用于生产、储存、装卸危险物品的建设项目的安全设施设计应当按照国家有关规定报经有关部门审查，审查部门及其负责审查的人员对审查结果负责。</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资质的设计机构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20" w:lineRule="exact"/>
              <w:rPr>
                <w:rFonts w:ascii="Times New Roman" w:hAnsi="Times New Roman"/>
                <w:spacing w:val="-6"/>
                <w:szCs w:val="21"/>
              </w:rPr>
            </w:pPr>
            <w:r>
              <w:rPr>
                <w:rFonts w:ascii="Times New Roman" w:hAnsi="宋体"/>
                <w:spacing w:val="-6"/>
                <w:szCs w:val="21"/>
              </w:rPr>
              <w:t>申请人按照国家有关规定委托设计单位对安全设施进行设计，审批部门不得以任何形式要求申请人必须委托特定中介机构提供服务。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35</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建设项目安全预评价报告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新建、改建、扩建从事港口危险货物作业的建设项目安全条件审查</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bCs/>
                <w:szCs w:val="21"/>
              </w:rPr>
            </w:pPr>
            <w:r>
              <w:rPr>
                <w:rFonts w:ascii="Times New Roman" w:hAnsi="宋体"/>
                <w:bCs/>
                <w:szCs w:val="21"/>
              </w:rPr>
              <w:t>【法律】《中华人民共和国港口法》</w:t>
            </w:r>
          </w:p>
          <w:p>
            <w:pPr>
              <w:overflowPunct w:val="0"/>
              <w:autoSpaceDE w:val="0"/>
              <w:autoSpaceDN w:val="0"/>
              <w:adjustRightInd w:val="0"/>
              <w:snapToGrid w:val="0"/>
              <w:spacing w:line="320" w:lineRule="exact"/>
              <w:rPr>
                <w:rFonts w:ascii="Times New Roman" w:hAnsi="Times New Roman"/>
                <w:bCs/>
                <w:szCs w:val="21"/>
              </w:rPr>
            </w:pPr>
            <w:r>
              <w:rPr>
                <w:rFonts w:ascii="Times New Roman" w:hAnsi="宋体"/>
                <w:bCs/>
                <w:szCs w:val="21"/>
              </w:rPr>
              <w:t>第十五条</w:t>
            </w:r>
            <w:r>
              <w:rPr>
                <w:rFonts w:hint="eastAsia" w:ascii="Times New Roman" w:hAnsi="宋体"/>
                <w:bCs/>
                <w:szCs w:val="21"/>
              </w:rPr>
              <w:t xml:space="preserve">  </w:t>
            </w:r>
            <w:r>
              <w:rPr>
                <w:rFonts w:ascii="Times New Roman" w:hAnsi="宋体"/>
                <w:bCs/>
                <w:szCs w:val="21"/>
              </w:rPr>
              <w:t>按照国家规定须经有关机关批准的港口建设项目，应当按照国家有关规定办理审批手续，并符合国家有关标准和技术规范。建设港口工程项目，应当依法进行环境影响评价。港口建设项目的安全设施和环境保护设施，必须与主体工程同时设计、同时施工、同时投入使用。</w:t>
            </w:r>
          </w:p>
          <w:p>
            <w:pPr>
              <w:overflowPunct w:val="0"/>
              <w:autoSpaceDE w:val="0"/>
              <w:autoSpaceDN w:val="0"/>
              <w:adjustRightInd w:val="0"/>
              <w:snapToGrid w:val="0"/>
              <w:spacing w:line="320" w:lineRule="exact"/>
              <w:rPr>
                <w:rFonts w:ascii="Times New Roman" w:hAnsi="Times New Roman"/>
                <w:bCs/>
                <w:szCs w:val="21"/>
              </w:rPr>
            </w:pPr>
            <w:r>
              <w:rPr>
                <w:rFonts w:ascii="Times New Roman" w:hAnsi="宋体"/>
                <w:bCs/>
                <w:szCs w:val="21"/>
              </w:rPr>
              <w:t>【行政法规】《危险化学品安全管理条例》</w:t>
            </w:r>
          </w:p>
          <w:p>
            <w:pPr>
              <w:overflowPunct w:val="0"/>
              <w:autoSpaceDE w:val="0"/>
              <w:autoSpaceDN w:val="0"/>
              <w:adjustRightInd w:val="0"/>
              <w:snapToGrid w:val="0"/>
              <w:spacing w:line="320" w:lineRule="exact"/>
              <w:rPr>
                <w:rFonts w:ascii="Times New Roman" w:hAnsi="Times New Roman"/>
                <w:bCs/>
                <w:szCs w:val="21"/>
              </w:rPr>
            </w:pPr>
            <w:r>
              <w:rPr>
                <w:rFonts w:ascii="Times New Roman" w:hAnsi="宋体"/>
                <w:bCs/>
                <w:szCs w:val="21"/>
              </w:rPr>
              <w:t>第十二条第三款</w:t>
            </w:r>
            <w:r>
              <w:rPr>
                <w:rFonts w:hint="eastAsia" w:ascii="Times New Roman" w:hAnsi="宋体"/>
                <w:bCs/>
                <w:szCs w:val="21"/>
              </w:rPr>
              <w:t xml:space="preserve">  </w:t>
            </w:r>
            <w:r>
              <w:rPr>
                <w:rFonts w:ascii="Times New Roman" w:hAnsi="宋体"/>
                <w:bCs/>
                <w:szCs w:val="21"/>
              </w:rPr>
              <w:t>新建、改建、扩建储存、装卸危险化学品的港口建设项目，由港口行政管理部门按照国务院交通运输主管部门的规定进行安全条件审查。</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安全评价</w:t>
            </w:r>
          </w:p>
          <w:p>
            <w:pPr>
              <w:spacing w:line="320" w:lineRule="exact"/>
              <w:rPr>
                <w:rFonts w:ascii="Times New Roman" w:hAnsi="Times New Roman"/>
                <w:szCs w:val="21"/>
              </w:rPr>
            </w:pPr>
            <w:r>
              <w:rPr>
                <w:rFonts w:ascii="Times New Roman" w:hAnsi="宋体"/>
                <w:szCs w:val="21"/>
              </w:rPr>
              <w:t>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20" w:lineRule="exact"/>
              <w:rPr>
                <w:rFonts w:ascii="Times New Roman" w:hAnsi="Times New Roman"/>
                <w:spacing w:val="-6"/>
                <w:szCs w:val="21"/>
              </w:rPr>
            </w:pPr>
            <w:r>
              <w:rPr>
                <w:rFonts w:ascii="Times New Roman" w:hAnsi="宋体"/>
                <w:spacing w:val="-6"/>
                <w:szCs w:val="21"/>
              </w:rPr>
              <w:t>申请人按照国家有关规定委托设计单位对安全设施进行设计，审批部门不得以任何形式要求申请人必须委托特定中介机构提供服务。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36</w:t>
            </w:r>
          </w:p>
        </w:tc>
        <w:tc>
          <w:tcPr>
            <w:tcW w:w="0" w:type="auto"/>
            <w:noWrap w:val="0"/>
            <w:vAlign w:val="center"/>
          </w:tcPr>
          <w:p>
            <w:pPr>
              <w:widowControl/>
              <w:spacing w:line="320" w:lineRule="exact"/>
              <w:jc w:val="center"/>
              <w:rPr>
                <w:rFonts w:ascii="Times New Roman" w:hAnsi="Times New Roman"/>
                <w:szCs w:val="21"/>
              </w:rPr>
            </w:pPr>
            <w:r>
              <w:rPr>
                <w:rFonts w:ascii="Times New Roman" w:hAnsi="宋体"/>
                <w:szCs w:val="21"/>
              </w:rPr>
              <w:t>市交通运输局</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建设项目安全条件论证报告（涉及危险化学品的提供）</w:t>
            </w:r>
          </w:p>
        </w:tc>
        <w:tc>
          <w:tcPr>
            <w:tcW w:w="0" w:type="auto"/>
            <w:noWrap w:val="0"/>
            <w:vAlign w:val="center"/>
          </w:tcPr>
          <w:p>
            <w:pPr>
              <w:spacing w:line="320" w:lineRule="exact"/>
              <w:rPr>
                <w:rFonts w:ascii="Times New Roman" w:hAnsi="Times New Roman"/>
                <w:szCs w:val="21"/>
              </w:rPr>
            </w:pPr>
            <w:r>
              <w:rPr>
                <w:rFonts w:ascii="Times New Roman" w:hAnsi="宋体"/>
                <w:szCs w:val="21"/>
              </w:rPr>
              <w:t>新建、改建、扩建从事港口危险货物作业的建设项目安全条件审查（涉及危险化学品）</w:t>
            </w:r>
          </w:p>
        </w:tc>
        <w:tc>
          <w:tcPr>
            <w:tcW w:w="3116" w:type="dxa"/>
            <w:noWrap w:val="0"/>
            <w:vAlign w:val="center"/>
          </w:tcPr>
          <w:p>
            <w:pPr>
              <w:overflowPunct w:val="0"/>
              <w:autoSpaceDE w:val="0"/>
              <w:autoSpaceDN w:val="0"/>
              <w:adjustRightInd w:val="0"/>
              <w:snapToGrid w:val="0"/>
              <w:spacing w:line="260" w:lineRule="exact"/>
              <w:rPr>
                <w:rFonts w:ascii="Times New Roman" w:hAnsi="Times New Roman"/>
                <w:bCs/>
                <w:spacing w:val="-8"/>
                <w:szCs w:val="21"/>
              </w:rPr>
            </w:pPr>
            <w:r>
              <w:rPr>
                <w:rFonts w:ascii="Times New Roman" w:hAnsi="宋体"/>
                <w:bCs/>
                <w:spacing w:val="-8"/>
                <w:szCs w:val="21"/>
              </w:rPr>
              <w:t>【法律】《中华人民共和国港口法》</w:t>
            </w:r>
          </w:p>
          <w:p>
            <w:pPr>
              <w:overflowPunct w:val="0"/>
              <w:autoSpaceDE w:val="0"/>
              <w:autoSpaceDN w:val="0"/>
              <w:adjustRightInd w:val="0"/>
              <w:snapToGrid w:val="0"/>
              <w:spacing w:line="260" w:lineRule="exact"/>
              <w:rPr>
                <w:rFonts w:ascii="Times New Roman" w:hAnsi="Times New Roman"/>
                <w:bCs/>
                <w:szCs w:val="21"/>
              </w:rPr>
            </w:pPr>
            <w:r>
              <w:rPr>
                <w:rFonts w:ascii="Times New Roman" w:hAnsi="宋体"/>
                <w:bCs/>
                <w:szCs w:val="21"/>
              </w:rPr>
              <w:t>第十五条</w:t>
            </w:r>
            <w:r>
              <w:rPr>
                <w:rFonts w:hint="eastAsia" w:ascii="Times New Roman" w:hAnsi="宋体"/>
                <w:bCs/>
                <w:szCs w:val="21"/>
              </w:rPr>
              <w:t xml:space="preserve">  </w:t>
            </w:r>
            <w:r>
              <w:rPr>
                <w:rFonts w:ascii="Times New Roman" w:hAnsi="宋体"/>
                <w:bCs/>
                <w:szCs w:val="21"/>
              </w:rPr>
              <w:t>按照国家规定须经有关机关批准的港口建设项目，应当按照国家有关规定办理审批手续，并符合国家有关标准和技术规范。建设港口工程项目，应当依法进行环境影响评价。港口建设项目的安全设施和环境保护设施，必须与主体工程同时设计、同时施工、同时投入使用。</w:t>
            </w:r>
          </w:p>
          <w:p>
            <w:pPr>
              <w:overflowPunct w:val="0"/>
              <w:autoSpaceDE w:val="0"/>
              <w:autoSpaceDN w:val="0"/>
              <w:adjustRightInd w:val="0"/>
              <w:snapToGrid w:val="0"/>
              <w:spacing w:line="260" w:lineRule="exact"/>
              <w:rPr>
                <w:rFonts w:ascii="Times New Roman" w:hAnsi="Times New Roman"/>
                <w:bCs/>
                <w:szCs w:val="21"/>
              </w:rPr>
            </w:pPr>
            <w:r>
              <w:rPr>
                <w:rFonts w:ascii="Times New Roman" w:hAnsi="宋体"/>
                <w:bCs/>
                <w:szCs w:val="21"/>
              </w:rPr>
              <w:t>【行政法规】《危险化学品安全管理条例》</w:t>
            </w:r>
          </w:p>
          <w:p>
            <w:pPr>
              <w:overflowPunct w:val="0"/>
              <w:autoSpaceDE w:val="0"/>
              <w:autoSpaceDN w:val="0"/>
              <w:adjustRightInd w:val="0"/>
              <w:snapToGrid w:val="0"/>
              <w:spacing w:line="260" w:lineRule="exact"/>
              <w:rPr>
                <w:rFonts w:ascii="Times New Roman" w:hAnsi="Times New Roman"/>
                <w:bCs/>
                <w:szCs w:val="21"/>
              </w:rPr>
            </w:pPr>
            <w:r>
              <w:rPr>
                <w:rFonts w:ascii="Times New Roman" w:hAnsi="宋体"/>
                <w:bCs/>
                <w:szCs w:val="21"/>
              </w:rPr>
              <w:t>第十二条第三款</w:t>
            </w:r>
            <w:r>
              <w:rPr>
                <w:rFonts w:hint="eastAsia" w:ascii="Times New Roman" w:hAnsi="宋体"/>
                <w:bCs/>
                <w:szCs w:val="21"/>
              </w:rPr>
              <w:t xml:space="preserve">  </w:t>
            </w:r>
            <w:r>
              <w:rPr>
                <w:rFonts w:ascii="Times New Roman" w:hAnsi="宋体"/>
                <w:bCs/>
                <w:szCs w:val="21"/>
              </w:rPr>
              <w:t>新建、改建、扩建储存、装卸危险化学品的港口建设项目，由港口行政管理部门按照国务院交通运输主管部门的规定进行安全条件审查。</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安全评价</w:t>
            </w:r>
          </w:p>
          <w:p>
            <w:pPr>
              <w:spacing w:line="320" w:lineRule="exact"/>
              <w:rPr>
                <w:rFonts w:ascii="Times New Roman" w:hAnsi="Times New Roman"/>
                <w:szCs w:val="21"/>
              </w:rPr>
            </w:pPr>
            <w:r>
              <w:rPr>
                <w:rFonts w:ascii="Times New Roman" w:hAnsi="宋体"/>
                <w:szCs w:val="21"/>
              </w:rPr>
              <w:t>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napToGrid w:val="0"/>
              <w:spacing w:line="340" w:lineRule="exact"/>
              <w:rPr>
                <w:rFonts w:ascii="Times New Roman" w:hAnsi="Times New Roman"/>
                <w:spacing w:val="-6"/>
                <w:szCs w:val="21"/>
              </w:rPr>
            </w:pPr>
            <w:r>
              <w:rPr>
                <w:rFonts w:ascii="Times New Roman" w:hAnsi="宋体"/>
                <w:spacing w:val="-6"/>
                <w:szCs w:val="21"/>
              </w:rPr>
              <w:t>申请人按照国家有关规定委托设计单位对安全设施进行设计，审批部门不得以任何形式要求申请人必须委托特定中介机构提供服务。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37</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市水利局</w:t>
            </w:r>
          </w:p>
        </w:tc>
        <w:tc>
          <w:tcPr>
            <w:tcW w:w="0" w:type="auto"/>
            <w:noWrap w:val="0"/>
            <w:vAlign w:val="center"/>
          </w:tcPr>
          <w:p>
            <w:pPr>
              <w:adjustRightInd w:val="0"/>
              <w:spacing w:line="320" w:lineRule="exact"/>
              <w:rPr>
                <w:rFonts w:hint="eastAsia" w:ascii="Times New Roman" w:hAnsi="宋体"/>
                <w:szCs w:val="21"/>
              </w:rPr>
            </w:pPr>
            <w:r>
              <w:rPr>
                <w:rFonts w:ascii="Times New Roman" w:hAnsi="宋体"/>
                <w:szCs w:val="21"/>
              </w:rPr>
              <w:t>编制水工程</w:t>
            </w:r>
          </w:p>
          <w:p>
            <w:pPr>
              <w:adjustRightInd w:val="0"/>
              <w:spacing w:line="320" w:lineRule="exact"/>
              <w:rPr>
                <w:rFonts w:ascii="Times New Roman" w:hAnsi="Times New Roman"/>
                <w:szCs w:val="21"/>
              </w:rPr>
            </w:pPr>
            <w:r>
              <w:rPr>
                <w:rFonts w:ascii="Times New Roman" w:hAnsi="宋体"/>
                <w:szCs w:val="21"/>
              </w:rPr>
              <w:t>规划专题论证报告</w:t>
            </w:r>
          </w:p>
        </w:tc>
        <w:tc>
          <w:tcPr>
            <w:tcW w:w="0" w:type="auto"/>
            <w:noWrap w:val="0"/>
            <w:vAlign w:val="center"/>
          </w:tcPr>
          <w:p>
            <w:pPr>
              <w:adjustRightInd w:val="0"/>
              <w:spacing w:line="32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水工程建设规划同意书审核；</w:t>
            </w:r>
            <w:r>
              <w:rPr>
                <w:rFonts w:ascii="Times New Roman" w:hAnsi="Times New Roman"/>
                <w:szCs w:val="21"/>
              </w:rPr>
              <w:t>2.</w:t>
            </w:r>
            <w:r>
              <w:rPr>
                <w:rFonts w:hint="eastAsia" w:ascii="Times New Roman" w:hAnsi="Times New Roman"/>
                <w:szCs w:val="21"/>
              </w:rPr>
              <w:t xml:space="preserve"> </w:t>
            </w:r>
            <w:r>
              <w:rPr>
                <w:rFonts w:ascii="Times New Roman" w:hAnsi="宋体"/>
                <w:szCs w:val="21"/>
              </w:rPr>
              <w:t>不同行政区域边界水工程批准</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【国务院决定】《国务院关于第一批清理规范</w:t>
            </w:r>
            <w:r>
              <w:rPr>
                <w:rFonts w:ascii="Times New Roman" w:hAnsi="Times New Roman"/>
                <w:szCs w:val="21"/>
              </w:rPr>
              <w:t>89</w:t>
            </w:r>
            <w:r>
              <w:rPr>
                <w:rFonts w:ascii="Times New Roman" w:hAnsi="宋体"/>
                <w:szCs w:val="21"/>
              </w:rPr>
              <w:t>项国务院部门行政审批中介服务事项的决定》（国发〔</w:t>
            </w:r>
            <w:r>
              <w:rPr>
                <w:rFonts w:ascii="Times New Roman" w:hAnsi="Times New Roman"/>
                <w:szCs w:val="21"/>
              </w:rPr>
              <w:t>2015</w:t>
            </w:r>
            <w:r>
              <w:rPr>
                <w:rFonts w:ascii="Times New Roman" w:hAnsi="宋体"/>
                <w:szCs w:val="21"/>
              </w:rPr>
              <w:t>〕</w:t>
            </w:r>
            <w:r>
              <w:rPr>
                <w:rFonts w:ascii="Times New Roman" w:hAnsi="Times New Roman"/>
                <w:szCs w:val="21"/>
              </w:rPr>
              <w:t>58</w:t>
            </w:r>
            <w:r>
              <w:rPr>
                <w:rFonts w:ascii="Times New Roman" w:hAnsi="宋体"/>
                <w:szCs w:val="21"/>
              </w:rPr>
              <w:t>号）</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w:t>
            </w:r>
            <w:r>
              <w:rPr>
                <w:rFonts w:ascii="Times New Roman" w:hAnsi="Times New Roman"/>
                <w:szCs w:val="21"/>
              </w:rPr>
              <w:t>30</w:t>
            </w:r>
            <w:r>
              <w:rPr>
                <w:rFonts w:ascii="Times New Roman" w:hAnsi="宋体"/>
                <w:szCs w:val="21"/>
              </w:rPr>
              <w:t>项：水工程是否符合流域治理、开发、保护要求或者防洪要求专题论证。</w:t>
            </w:r>
          </w:p>
        </w:tc>
        <w:tc>
          <w:tcPr>
            <w:tcW w:w="1276" w:type="dxa"/>
            <w:noWrap w:val="0"/>
            <w:vAlign w:val="center"/>
          </w:tcPr>
          <w:p>
            <w:pPr>
              <w:adjustRightInd w:val="0"/>
              <w:spacing w:line="320" w:lineRule="exact"/>
              <w:rPr>
                <w:rFonts w:ascii="Times New Roman" w:hAnsi="Times New Roman"/>
                <w:szCs w:val="21"/>
              </w:rPr>
            </w:pPr>
            <w:r>
              <w:rPr>
                <w:rFonts w:ascii="Times New Roman" w:hAnsi="宋体"/>
                <w:szCs w:val="21"/>
              </w:rPr>
              <w:t>具备相应工程咨询资质的单位或者流域综合规划、防洪规划的编制单位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280" w:lineRule="exact"/>
              <w:rPr>
                <w:rFonts w:ascii="Times New Roman" w:hAnsi="Times New Roman"/>
                <w:spacing w:val="-6"/>
                <w:szCs w:val="21"/>
              </w:rPr>
            </w:pPr>
            <w:r>
              <w:rPr>
                <w:rFonts w:ascii="Times New Roman" w:hAnsi="宋体"/>
                <w:spacing w:val="-6"/>
                <w:szCs w:val="21"/>
              </w:rPr>
              <w:t>申请人可按要求自行编制专题论证报告，也可委托有关机构编制，审批部门不得以任何形式要求申请人必须委托特定中介机构提供服务；保留审批部门现有的专题论证报告技术评估、评审。在开发区、新区和其他有条件的区域推行区域评估。</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38</w:t>
            </w:r>
          </w:p>
        </w:tc>
        <w:tc>
          <w:tcPr>
            <w:tcW w:w="0" w:type="auto"/>
            <w:noWrap w:val="0"/>
            <w:vAlign w:val="center"/>
          </w:tcPr>
          <w:p>
            <w:pPr>
              <w:spacing w:line="320" w:lineRule="exact"/>
              <w:jc w:val="center"/>
              <w:rPr>
                <w:rFonts w:ascii="Times New Roman" w:hAnsi="Times New Roman"/>
                <w:b/>
                <w:szCs w:val="21"/>
              </w:rPr>
            </w:pPr>
            <w:r>
              <w:rPr>
                <w:rFonts w:ascii="Times New Roman" w:hAnsi="宋体"/>
                <w:szCs w:val="21"/>
              </w:rPr>
              <w:t>市水利局</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编制防洪评价报告</w:t>
            </w:r>
          </w:p>
        </w:tc>
        <w:tc>
          <w:tcPr>
            <w:tcW w:w="0" w:type="auto"/>
            <w:noWrap w:val="0"/>
            <w:vAlign w:val="center"/>
          </w:tcPr>
          <w:p>
            <w:pPr>
              <w:adjustRightInd w:val="0"/>
              <w:spacing w:line="320" w:lineRule="exact"/>
              <w:rPr>
                <w:rFonts w:ascii="Times New Roman" w:hAnsi="Times New Roman"/>
                <w:szCs w:val="21"/>
              </w:rPr>
            </w:pPr>
            <w:r>
              <w:rPr>
                <w:rFonts w:ascii="Times New Roman" w:hAnsi="Times New Roman"/>
                <w:szCs w:val="21"/>
              </w:rPr>
              <w:t>1.</w:t>
            </w:r>
            <w:r>
              <w:rPr>
                <w:rFonts w:hint="eastAsia" w:ascii="Times New Roman" w:hAnsi="Times New Roman"/>
                <w:szCs w:val="21"/>
              </w:rPr>
              <w:t xml:space="preserve"> </w:t>
            </w:r>
            <w:r>
              <w:rPr>
                <w:rFonts w:ascii="Times New Roman" w:hAnsi="宋体"/>
                <w:szCs w:val="21"/>
              </w:rPr>
              <w:t>河道管理范围内建设项目工程建设方案审批；</w:t>
            </w:r>
            <w:r>
              <w:rPr>
                <w:rFonts w:ascii="Times New Roman" w:hAnsi="Times New Roman"/>
                <w:szCs w:val="21"/>
              </w:rPr>
              <w:t>2.</w:t>
            </w:r>
            <w:r>
              <w:rPr>
                <w:rFonts w:hint="eastAsia" w:ascii="Times New Roman" w:hAnsi="Times New Roman"/>
                <w:szCs w:val="21"/>
              </w:rPr>
              <w:t xml:space="preserve"> </w:t>
            </w:r>
            <w:r>
              <w:rPr>
                <w:rFonts w:ascii="Times New Roman" w:hAnsi="宋体"/>
                <w:szCs w:val="21"/>
              </w:rPr>
              <w:t>利用堤顶、戗台兼做公路审批；</w:t>
            </w:r>
            <w:r>
              <w:rPr>
                <w:rFonts w:ascii="Times New Roman" w:hAnsi="Times New Roman"/>
                <w:szCs w:val="21"/>
              </w:rPr>
              <w:t>3.</w:t>
            </w:r>
            <w:r>
              <w:rPr>
                <w:rFonts w:hint="eastAsia" w:ascii="Times New Roman" w:hAnsi="Times New Roman"/>
                <w:szCs w:val="21"/>
              </w:rPr>
              <w:t xml:space="preserve"> </w:t>
            </w:r>
            <w:r>
              <w:rPr>
                <w:rFonts w:ascii="Times New Roman" w:hAnsi="宋体"/>
                <w:szCs w:val="21"/>
              </w:rPr>
              <w:t>在大坝管理和保护范围内修建码头、渔塘许可；</w:t>
            </w:r>
            <w:r>
              <w:rPr>
                <w:rFonts w:ascii="Times New Roman" w:hAnsi="Times New Roman"/>
                <w:szCs w:val="21"/>
              </w:rPr>
              <w:t>4.</w:t>
            </w:r>
            <w:r>
              <w:rPr>
                <w:rFonts w:hint="eastAsia" w:ascii="Times New Roman" w:hAnsi="Times New Roman"/>
                <w:szCs w:val="21"/>
              </w:rPr>
              <w:t xml:space="preserve"> </w:t>
            </w:r>
            <w:r>
              <w:rPr>
                <w:rFonts w:ascii="Times New Roman" w:hAnsi="宋体"/>
                <w:szCs w:val="21"/>
              </w:rPr>
              <w:t>坝顶兼做公路审批；</w:t>
            </w:r>
            <w:r>
              <w:rPr>
                <w:rFonts w:ascii="Times New Roman" w:hAnsi="Times New Roman"/>
                <w:szCs w:val="21"/>
              </w:rPr>
              <w:t>5.</w:t>
            </w:r>
            <w:r>
              <w:rPr>
                <w:rFonts w:hint="eastAsia" w:ascii="Times New Roman" w:hAnsi="Times New Roman"/>
                <w:szCs w:val="21"/>
              </w:rPr>
              <w:t xml:space="preserve"> </w:t>
            </w:r>
            <w:r>
              <w:rPr>
                <w:rFonts w:ascii="Times New Roman" w:hAnsi="宋体"/>
                <w:szCs w:val="21"/>
              </w:rPr>
              <w:t>城市建设填堵水域、废除围堤审核</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【国务院决定】《国务院关于第一批清理规范</w:t>
            </w:r>
            <w:r>
              <w:rPr>
                <w:rFonts w:ascii="Times New Roman" w:hAnsi="Times New Roman"/>
                <w:szCs w:val="21"/>
              </w:rPr>
              <w:t>89</w:t>
            </w:r>
            <w:r>
              <w:rPr>
                <w:rFonts w:ascii="Times New Roman" w:hAnsi="宋体"/>
                <w:szCs w:val="21"/>
              </w:rPr>
              <w:t>项国务院部门行政审批中介服务事项的决定》（国发〔</w:t>
            </w:r>
            <w:r>
              <w:rPr>
                <w:rFonts w:ascii="Times New Roman" w:hAnsi="Times New Roman"/>
                <w:szCs w:val="21"/>
              </w:rPr>
              <w:t>2015</w:t>
            </w:r>
            <w:r>
              <w:rPr>
                <w:rFonts w:ascii="Times New Roman" w:hAnsi="宋体"/>
                <w:szCs w:val="21"/>
              </w:rPr>
              <w:t>〕</w:t>
            </w:r>
            <w:r>
              <w:rPr>
                <w:rFonts w:ascii="Times New Roman" w:hAnsi="Times New Roman"/>
                <w:szCs w:val="21"/>
              </w:rPr>
              <w:t>58</w:t>
            </w:r>
            <w:r>
              <w:rPr>
                <w:rFonts w:ascii="Times New Roman" w:hAnsi="宋体"/>
                <w:szCs w:val="21"/>
              </w:rPr>
              <w:t>号）</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w:t>
            </w:r>
            <w:r>
              <w:rPr>
                <w:rFonts w:ascii="Times New Roman" w:hAnsi="Times New Roman"/>
                <w:szCs w:val="21"/>
              </w:rPr>
              <w:t>34</w:t>
            </w:r>
            <w:r>
              <w:rPr>
                <w:rFonts w:ascii="Times New Roman" w:hAnsi="宋体"/>
                <w:szCs w:val="21"/>
              </w:rPr>
              <w:t>项：河道管理范围内建设项目防洪评价</w:t>
            </w:r>
          </w:p>
        </w:tc>
        <w:tc>
          <w:tcPr>
            <w:tcW w:w="1276" w:type="dxa"/>
            <w:noWrap w:val="0"/>
            <w:vAlign w:val="center"/>
          </w:tcPr>
          <w:p>
            <w:pPr>
              <w:adjustRightInd w:val="0"/>
              <w:spacing w:line="320" w:lineRule="exact"/>
              <w:rPr>
                <w:rFonts w:ascii="Times New Roman" w:hAnsi="Times New Roman"/>
                <w:szCs w:val="21"/>
              </w:rPr>
            </w:pPr>
            <w:r>
              <w:rPr>
                <w:rFonts w:ascii="Times New Roman" w:hAnsi="宋体"/>
                <w:szCs w:val="21"/>
              </w:rPr>
              <w:t>具备相应技术能力的单位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320" w:lineRule="exact"/>
              <w:rPr>
                <w:rFonts w:ascii="Times New Roman" w:hAnsi="Times New Roman"/>
                <w:spacing w:val="-6"/>
                <w:szCs w:val="21"/>
              </w:rPr>
            </w:pPr>
            <w:r>
              <w:rPr>
                <w:rFonts w:ascii="Times New Roman" w:hAnsi="宋体"/>
                <w:spacing w:val="-6"/>
                <w:szCs w:val="21"/>
              </w:rPr>
              <w:t>申请人可按要求自行编制项目评价报告，也可委托有关机构编制，审批部门不得以任何形式要求申请人必须委托特定中介机构提供服务。在开发区、新区和其他有条件的区域推行区域评估。</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39</w:t>
            </w:r>
          </w:p>
        </w:tc>
        <w:tc>
          <w:tcPr>
            <w:tcW w:w="0" w:type="auto"/>
            <w:noWrap w:val="0"/>
            <w:vAlign w:val="center"/>
          </w:tcPr>
          <w:p>
            <w:pPr>
              <w:spacing w:line="320" w:lineRule="exact"/>
              <w:jc w:val="center"/>
              <w:rPr>
                <w:rFonts w:ascii="Times New Roman" w:hAnsi="Times New Roman"/>
                <w:b/>
                <w:szCs w:val="21"/>
              </w:rPr>
            </w:pPr>
            <w:r>
              <w:rPr>
                <w:rFonts w:ascii="Times New Roman" w:hAnsi="宋体"/>
                <w:szCs w:val="21"/>
              </w:rPr>
              <w:t>市水利局</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编制洪水影响评价报告</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非防洪建设项目洪水影响评价报告审批</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【法律】《中华人民共和国防洪法》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第三十三条第一款</w:t>
            </w:r>
            <w:r>
              <w:rPr>
                <w:rFonts w:hint="eastAsia" w:ascii="Times New Roman" w:hAnsi="宋体"/>
                <w:szCs w:val="21"/>
              </w:rPr>
              <w:t xml:space="preserve">  </w:t>
            </w:r>
            <w:r>
              <w:rPr>
                <w:rFonts w:ascii="Times New Roman" w:hAnsi="宋体"/>
                <w:szCs w:val="21"/>
              </w:rPr>
              <w:t>在洪泛区、蓄滞洪区内建设非防洪建设项目，应当就洪水对建设项目可能产生的影响和建设项目对防洪可能产生的影响作出评价，编制洪水影响评价报告，提出防御措施。洪水影响评价报告未经有关水行政主管部门审查批准的，建设单位不得开工建设。</w:t>
            </w:r>
          </w:p>
        </w:tc>
        <w:tc>
          <w:tcPr>
            <w:tcW w:w="1276" w:type="dxa"/>
            <w:noWrap w:val="0"/>
            <w:vAlign w:val="center"/>
          </w:tcPr>
          <w:p>
            <w:pPr>
              <w:adjustRightInd w:val="0"/>
              <w:spacing w:line="320" w:lineRule="exact"/>
              <w:rPr>
                <w:rFonts w:ascii="Times New Roman" w:hAnsi="Times New Roman"/>
                <w:szCs w:val="21"/>
              </w:rPr>
            </w:pPr>
            <w:r>
              <w:rPr>
                <w:rFonts w:ascii="Times New Roman" w:hAnsi="宋体"/>
                <w:szCs w:val="21"/>
              </w:rPr>
              <w:t>具备相应技术能力的单位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申请人可按要求自行编制项目评价报告，也可委托有关机构编制，审批部门不得以任何形式要求申请人必须委托特定中介机构提供服务。</w:t>
            </w:r>
            <w:r>
              <w:rPr>
                <w:rFonts w:ascii="Times New Roman" w:hAnsi="宋体"/>
                <w:spacing w:val="-6"/>
                <w:szCs w:val="21"/>
              </w:rPr>
              <w:t>在开发区、新区和其他有条件的区域推行区域评估。</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40</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市水利局</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编制水土保持方案</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生产建设项目水土保持方案审批</w:t>
            </w:r>
          </w:p>
        </w:tc>
        <w:tc>
          <w:tcPr>
            <w:tcW w:w="3116" w:type="dxa"/>
            <w:noWrap w:val="0"/>
            <w:vAlign w:val="center"/>
          </w:tcPr>
          <w:p>
            <w:pPr>
              <w:overflowPunct w:val="0"/>
              <w:autoSpaceDE w:val="0"/>
              <w:autoSpaceDN w:val="0"/>
              <w:adjustRightInd w:val="0"/>
              <w:snapToGrid w:val="0"/>
              <w:spacing w:line="340" w:lineRule="exact"/>
              <w:rPr>
                <w:rFonts w:ascii="Times New Roman" w:hAnsi="Times New Roman"/>
                <w:szCs w:val="21"/>
              </w:rPr>
            </w:pPr>
            <w:r>
              <w:rPr>
                <w:rFonts w:ascii="Times New Roman" w:hAnsi="宋体"/>
                <w:szCs w:val="21"/>
              </w:rPr>
              <w:t>【法律】《中华人民共和国水土保持法》</w:t>
            </w:r>
          </w:p>
          <w:p>
            <w:pPr>
              <w:overflowPunct w:val="0"/>
              <w:autoSpaceDE w:val="0"/>
              <w:autoSpaceDN w:val="0"/>
              <w:adjustRightInd w:val="0"/>
              <w:snapToGrid w:val="0"/>
              <w:spacing w:line="340" w:lineRule="exact"/>
              <w:rPr>
                <w:rFonts w:ascii="Times New Roman" w:hAnsi="Times New Roman"/>
                <w:szCs w:val="21"/>
              </w:rPr>
            </w:pPr>
            <w:r>
              <w:rPr>
                <w:rFonts w:ascii="Times New Roman" w:hAnsi="宋体"/>
                <w:szCs w:val="21"/>
              </w:rPr>
              <w:t>第二十五条第一款</w:t>
            </w:r>
            <w:r>
              <w:rPr>
                <w:rFonts w:hint="eastAsia" w:ascii="Times New Roman" w:hAnsi="宋体"/>
                <w:szCs w:val="21"/>
              </w:rPr>
              <w:t xml:space="preserve">  </w:t>
            </w:r>
            <w:r>
              <w:rPr>
                <w:rFonts w:ascii="Times New Roman" w:hAnsi="宋体"/>
                <w:szCs w:val="21"/>
              </w:rPr>
              <w:t>在山区、丘陵区、风沙区以及水土保持规划确定的容易发生水土流失的其他区域开办可能造成水土流失的生产建设项目，生产建设单位应当编制水土保持方案，报县级以上人民政府水行政主管部门审批，并按照经批准的水土保持方案，采取水土流失预防和治理措施。没有能力编制水土保持方案的，应当委托具备相应技术条件的机构编制。</w:t>
            </w:r>
          </w:p>
          <w:p>
            <w:pPr>
              <w:overflowPunct w:val="0"/>
              <w:autoSpaceDE w:val="0"/>
              <w:autoSpaceDN w:val="0"/>
              <w:adjustRightInd w:val="0"/>
              <w:snapToGrid w:val="0"/>
              <w:spacing w:line="340" w:lineRule="exact"/>
              <w:rPr>
                <w:rFonts w:ascii="Times New Roman" w:hAnsi="Times New Roman"/>
                <w:szCs w:val="21"/>
              </w:rPr>
            </w:pPr>
            <w:r>
              <w:rPr>
                <w:rFonts w:ascii="Times New Roman" w:hAnsi="宋体"/>
                <w:szCs w:val="21"/>
              </w:rPr>
              <w:t>【法规】《江苏省水土保持条例》</w:t>
            </w:r>
          </w:p>
          <w:p>
            <w:pPr>
              <w:overflowPunct w:val="0"/>
              <w:autoSpaceDE w:val="0"/>
              <w:autoSpaceDN w:val="0"/>
              <w:adjustRightInd w:val="0"/>
              <w:snapToGrid w:val="0"/>
              <w:spacing w:line="340" w:lineRule="exact"/>
              <w:rPr>
                <w:rFonts w:ascii="Times New Roman" w:hAnsi="Times New Roman"/>
                <w:szCs w:val="21"/>
              </w:rPr>
            </w:pPr>
            <w:r>
              <w:rPr>
                <w:rFonts w:ascii="Times New Roman" w:hAnsi="宋体"/>
                <w:spacing w:val="-6"/>
                <w:szCs w:val="21"/>
              </w:rPr>
              <w:t>第十七条</w:t>
            </w:r>
            <w:r>
              <w:rPr>
                <w:rFonts w:hint="eastAsia" w:ascii="Times New Roman" w:hAnsi="宋体"/>
                <w:spacing w:val="-6"/>
                <w:szCs w:val="21"/>
              </w:rPr>
              <w:t xml:space="preserve">  </w:t>
            </w:r>
            <w:r>
              <w:rPr>
                <w:rFonts w:ascii="Times New Roman" w:hAnsi="宋体"/>
                <w:spacing w:val="-6"/>
                <w:szCs w:val="21"/>
              </w:rPr>
              <w:t>在水土流失重点预防区、重点治理区和水土保持规划确定的容易发生水土流失的其他区域开办基础设施建设、矿产资源开发、城镇建设、房地产开发、旅游开发等生产建设项目，生产建设单位应当编制水土保持方案，在项目开工前报水行政主管部门审批。</w:t>
            </w:r>
          </w:p>
        </w:tc>
        <w:tc>
          <w:tcPr>
            <w:tcW w:w="1276" w:type="dxa"/>
            <w:noWrap w:val="0"/>
            <w:vAlign w:val="center"/>
          </w:tcPr>
          <w:p>
            <w:pPr>
              <w:adjustRightInd w:val="0"/>
              <w:spacing w:line="320" w:lineRule="exact"/>
              <w:rPr>
                <w:rFonts w:hint="eastAsia" w:ascii="Times New Roman" w:hAnsi="宋体"/>
                <w:szCs w:val="21"/>
              </w:rPr>
            </w:pPr>
            <w:r>
              <w:rPr>
                <w:rFonts w:ascii="Times New Roman" w:hAnsi="宋体"/>
                <w:szCs w:val="21"/>
              </w:rPr>
              <w:t>具备相应</w:t>
            </w:r>
          </w:p>
          <w:p>
            <w:pPr>
              <w:adjustRightInd w:val="0"/>
              <w:spacing w:line="320" w:lineRule="exact"/>
              <w:rPr>
                <w:rFonts w:ascii="Times New Roman" w:hAnsi="Times New Roman"/>
                <w:szCs w:val="21"/>
              </w:rPr>
            </w:pPr>
            <w:r>
              <w:rPr>
                <w:rFonts w:ascii="Times New Roman" w:hAnsi="宋体"/>
                <w:szCs w:val="21"/>
              </w:rPr>
              <w:t>技术能力的单位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320" w:lineRule="exact"/>
              <w:rPr>
                <w:rFonts w:ascii="Times New Roman" w:hAnsi="Times New Roman"/>
                <w:szCs w:val="21"/>
              </w:rPr>
            </w:pPr>
            <w:r>
              <w:rPr>
                <w:rFonts w:ascii="Times New Roman" w:hAnsi="宋体"/>
                <w:szCs w:val="21"/>
              </w:rPr>
              <w:t>申请人可按要求自行编制水土保持方案，也可委托有关机构编制，审批部门不得以任何形式要求申请人必须委托特定中介机构提供服务。</w:t>
            </w:r>
            <w:r>
              <w:rPr>
                <w:rFonts w:ascii="Times New Roman" w:hAnsi="宋体"/>
                <w:spacing w:val="-6"/>
                <w:szCs w:val="21"/>
              </w:rPr>
              <w:t>在开发区、新区和其他有条件的区域推行区域评估。</w:t>
            </w:r>
          </w:p>
        </w:tc>
        <w:tc>
          <w:tcPr>
            <w:tcW w:w="0" w:type="auto"/>
            <w:noWrap w:val="0"/>
            <w:vAlign w:val="center"/>
          </w:tcPr>
          <w:p>
            <w:pPr>
              <w:spacing w:line="32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9" w:hRule="atLeast"/>
          <w:jc w:val="center"/>
        </w:trPr>
        <w:tc>
          <w:tcPr>
            <w:tcW w:w="0" w:type="auto"/>
            <w:noWrap w:val="0"/>
            <w:vAlign w:val="center"/>
          </w:tcPr>
          <w:p>
            <w:pPr>
              <w:spacing w:line="360" w:lineRule="exact"/>
              <w:jc w:val="center"/>
              <w:rPr>
                <w:rFonts w:ascii="Times New Roman" w:hAnsi="Times New Roman"/>
                <w:szCs w:val="21"/>
              </w:rPr>
            </w:pPr>
            <w:r>
              <w:rPr>
                <w:rFonts w:ascii="Times New Roman" w:hAnsi="Times New Roman"/>
                <w:szCs w:val="21"/>
              </w:rPr>
              <w:t>41</w:t>
            </w:r>
          </w:p>
        </w:tc>
        <w:tc>
          <w:tcPr>
            <w:tcW w:w="0" w:type="auto"/>
            <w:noWrap w:val="0"/>
            <w:vAlign w:val="center"/>
          </w:tcPr>
          <w:p>
            <w:pPr>
              <w:spacing w:line="360" w:lineRule="exact"/>
              <w:jc w:val="center"/>
              <w:rPr>
                <w:rFonts w:ascii="Times New Roman" w:hAnsi="Times New Roman"/>
                <w:b/>
                <w:szCs w:val="21"/>
              </w:rPr>
            </w:pPr>
            <w:r>
              <w:rPr>
                <w:rFonts w:ascii="Times New Roman" w:hAnsi="宋体"/>
                <w:szCs w:val="21"/>
              </w:rPr>
              <w:t>市水利局</w:t>
            </w:r>
          </w:p>
        </w:tc>
        <w:tc>
          <w:tcPr>
            <w:tcW w:w="0" w:type="auto"/>
            <w:noWrap w:val="0"/>
            <w:vAlign w:val="center"/>
          </w:tcPr>
          <w:p>
            <w:pPr>
              <w:adjustRightInd w:val="0"/>
              <w:spacing w:line="360" w:lineRule="exact"/>
              <w:rPr>
                <w:rFonts w:ascii="Times New Roman" w:hAnsi="Times New Roman"/>
                <w:szCs w:val="21"/>
              </w:rPr>
            </w:pPr>
            <w:r>
              <w:rPr>
                <w:rFonts w:ascii="Times New Roman" w:hAnsi="宋体"/>
                <w:szCs w:val="21"/>
              </w:rPr>
              <w:t>生产建设项目水土保持监测</w:t>
            </w:r>
          </w:p>
        </w:tc>
        <w:tc>
          <w:tcPr>
            <w:tcW w:w="0" w:type="auto"/>
            <w:noWrap w:val="0"/>
            <w:vAlign w:val="center"/>
          </w:tcPr>
          <w:p>
            <w:pPr>
              <w:adjustRightInd w:val="0"/>
              <w:spacing w:line="360" w:lineRule="exact"/>
              <w:rPr>
                <w:rFonts w:ascii="Times New Roman" w:hAnsi="Times New Roman"/>
                <w:szCs w:val="21"/>
              </w:rPr>
            </w:pPr>
            <w:r>
              <w:rPr>
                <w:rFonts w:ascii="Times New Roman" w:hAnsi="宋体"/>
                <w:szCs w:val="21"/>
              </w:rPr>
              <w:t>生产建设项目水土保持方案审批</w:t>
            </w:r>
          </w:p>
        </w:tc>
        <w:tc>
          <w:tcPr>
            <w:tcW w:w="3116" w:type="dxa"/>
            <w:noWrap w:val="0"/>
            <w:vAlign w:val="center"/>
          </w:tcPr>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【法律】《中华人民共和国水土保持法》</w:t>
            </w:r>
          </w:p>
          <w:p>
            <w:pPr>
              <w:overflowPunct w:val="0"/>
              <w:autoSpaceDE w:val="0"/>
              <w:autoSpaceDN w:val="0"/>
              <w:adjustRightInd w:val="0"/>
              <w:snapToGrid w:val="0"/>
              <w:spacing w:line="360" w:lineRule="exact"/>
              <w:rPr>
                <w:rFonts w:hint="eastAsia" w:ascii="Times New Roman" w:hAnsi="Times New Roman"/>
                <w:szCs w:val="21"/>
              </w:rPr>
            </w:pPr>
            <w:r>
              <w:rPr>
                <w:rFonts w:ascii="Times New Roman" w:hAnsi="宋体"/>
                <w:szCs w:val="21"/>
              </w:rPr>
              <w:t>第四十一条第一款</w:t>
            </w:r>
            <w:r>
              <w:rPr>
                <w:rFonts w:hint="eastAsia" w:ascii="Times New Roman" w:hAnsi="宋体"/>
                <w:szCs w:val="21"/>
              </w:rPr>
              <w:t xml:space="preserve">  </w:t>
            </w:r>
            <w:r>
              <w:rPr>
                <w:rFonts w:ascii="Times New Roman" w:hAnsi="宋体"/>
                <w:szCs w:val="21"/>
              </w:rPr>
              <w:t>对可能造成严重水土流失的大中型生产建设项目，生产建设单位应当自行或者委托具备水土保持监测资质的机构，对生产建设活动造成的水土流失进行监测，并将监测情况定期上报当地水行政主管部门。</w:t>
            </w:r>
          </w:p>
          <w:p>
            <w:pPr>
              <w:overflowPunct w:val="0"/>
              <w:autoSpaceDE w:val="0"/>
              <w:autoSpaceDN w:val="0"/>
              <w:adjustRightInd w:val="0"/>
              <w:snapToGrid w:val="0"/>
              <w:spacing w:line="360" w:lineRule="exact"/>
              <w:rPr>
                <w:rFonts w:hint="eastAsia" w:ascii="Times New Roman" w:hAnsi="宋体"/>
                <w:szCs w:val="21"/>
              </w:rPr>
            </w:pPr>
            <w:r>
              <w:rPr>
                <w:rFonts w:ascii="Times New Roman" w:hAnsi="宋体"/>
                <w:szCs w:val="21"/>
              </w:rPr>
              <w:t>【法规】《江苏省水土保持条例》</w:t>
            </w:r>
          </w:p>
          <w:p>
            <w:pPr>
              <w:overflowPunct w:val="0"/>
              <w:autoSpaceDE w:val="0"/>
              <w:autoSpaceDN w:val="0"/>
              <w:adjustRightInd w:val="0"/>
              <w:snapToGrid w:val="0"/>
              <w:spacing w:line="360" w:lineRule="exact"/>
              <w:rPr>
                <w:rFonts w:ascii="Times New Roman" w:hAnsi="Times New Roman"/>
                <w:szCs w:val="21"/>
              </w:rPr>
            </w:pPr>
            <w:r>
              <w:rPr>
                <w:rFonts w:ascii="Times New Roman" w:hAnsi="宋体"/>
                <w:szCs w:val="21"/>
              </w:rPr>
              <w:t>第三十一条</w:t>
            </w:r>
            <w:r>
              <w:rPr>
                <w:rFonts w:hint="eastAsia" w:ascii="Times New Roman" w:hAnsi="宋体"/>
                <w:szCs w:val="21"/>
              </w:rPr>
              <w:t xml:space="preserve">  </w:t>
            </w:r>
            <w:r>
              <w:rPr>
                <w:rFonts w:ascii="Times New Roman" w:hAnsi="宋体"/>
                <w:szCs w:val="21"/>
              </w:rPr>
              <w:t>编制水土保持方案的生产建设项目，用地面积五万平方米以上或者挖填土石方总量五万立方米以上的，生产建设单位应当自行或者委托具备水土保持监测工作相应能力和水平的单位，对生产建设活动造成的水土流失进行监测，并将监测情况每季度上报水行政主管部门。</w:t>
            </w:r>
          </w:p>
        </w:tc>
        <w:tc>
          <w:tcPr>
            <w:tcW w:w="1276" w:type="dxa"/>
            <w:noWrap w:val="0"/>
            <w:vAlign w:val="center"/>
          </w:tcPr>
          <w:p>
            <w:pPr>
              <w:adjustRightInd w:val="0"/>
              <w:spacing w:line="360" w:lineRule="exact"/>
              <w:rPr>
                <w:rFonts w:ascii="Times New Roman" w:hAnsi="Times New Roman"/>
                <w:szCs w:val="21"/>
              </w:rPr>
            </w:pPr>
            <w:r>
              <w:rPr>
                <w:rFonts w:ascii="Times New Roman" w:hAnsi="宋体"/>
                <w:szCs w:val="21"/>
              </w:rPr>
              <w:t>具有从事生产建设项目水土保持监测工作相应能力和水平且具有独立法人资格的企事业单位</w:t>
            </w:r>
          </w:p>
        </w:tc>
        <w:tc>
          <w:tcPr>
            <w:tcW w:w="2261" w:type="dxa"/>
            <w:noWrap w:val="0"/>
            <w:vAlign w:val="center"/>
          </w:tcPr>
          <w:p>
            <w:pPr>
              <w:adjustRightInd w:val="0"/>
              <w:snapToGrid w:val="0"/>
              <w:spacing w:line="36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6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360" w:lineRule="exact"/>
              <w:rPr>
                <w:rFonts w:ascii="Times New Roman" w:hAnsi="Times New Roman"/>
                <w:szCs w:val="21"/>
              </w:rPr>
            </w:pPr>
            <w:r>
              <w:rPr>
                <w:rFonts w:ascii="Times New Roman" w:hAnsi="宋体"/>
                <w:szCs w:val="21"/>
              </w:rPr>
              <w:t>申请人可按要求自行编制水土保持监测报告，也可委托有关机构编制，审批部门不得以任何形式要求申请人必须委托特定中介机构提供服务；审批部门完善标准，按要求开展现场核查。</w:t>
            </w:r>
          </w:p>
        </w:tc>
        <w:tc>
          <w:tcPr>
            <w:tcW w:w="0" w:type="auto"/>
            <w:noWrap w:val="0"/>
            <w:vAlign w:val="center"/>
          </w:tcPr>
          <w:p>
            <w:pPr>
              <w:spacing w:line="36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09" w:hRule="atLeast"/>
          <w:jc w:val="center"/>
        </w:trPr>
        <w:tc>
          <w:tcPr>
            <w:tcW w:w="0" w:type="auto"/>
            <w:noWrap w:val="0"/>
            <w:vAlign w:val="center"/>
          </w:tcPr>
          <w:p>
            <w:pPr>
              <w:spacing w:line="280" w:lineRule="exact"/>
              <w:jc w:val="center"/>
              <w:rPr>
                <w:rFonts w:ascii="Times New Roman" w:hAnsi="Times New Roman"/>
                <w:szCs w:val="21"/>
              </w:rPr>
            </w:pPr>
            <w:r>
              <w:rPr>
                <w:rFonts w:ascii="Times New Roman" w:hAnsi="Times New Roman"/>
                <w:szCs w:val="21"/>
              </w:rPr>
              <w:t>42</w:t>
            </w:r>
          </w:p>
        </w:tc>
        <w:tc>
          <w:tcPr>
            <w:tcW w:w="0" w:type="auto"/>
            <w:noWrap w:val="0"/>
            <w:vAlign w:val="center"/>
          </w:tcPr>
          <w:p>
            <w:pPr>
              <w:spacing w:line="280" w:lineRule="exact"/>
              <w:jc w:val="center"/>
              <w:rPr>
                <w:rFonts w:ascii="Times New Roman" w:hAnsi="Times New Roman"/>
                <w:b/>
                <w:szCs w:val="21"/>
              </w:rPr>
            </w:pPr>
            <w:r>
              <w:rPr>
                <w:rFonts w:ascii="Times New Roman" w:hAnsi="宋体"/>
                <w:szCs w:val="21"/>
              </w:rPr>
              <w:t>市水利局</w:t>
            </w:r>
          </w:p>
        </w:tc>
        <w:tc>
          <w:tcPr>
            <w:tcW w:w="0" w:type="auto"/>
            <w:noWrap w:val="0"/>
            <w:vAlign w:val="center"/>
          </w:tcPr>
          <w:p>
            <w:pPr>
              <w:adjustRightInd w:val="0"/>
              <w:spacing w:line="280" w:lineRule="exact"/>
              <w:rPr>
                <w:rFonts w:ascii="Times New Roman" w:hAnsi="Times New Roman"/>
                <w:szCs w:val="21"/>
              </w:rPr>
            </w:pPr>
            <w:r>
              <w:rPr>
                <w:rFonts w:ascii="Times New Roman" w:hAnsi="宋体"/>
                <w:szCs w:val="21"/>
              </w:rPr>
              <w:t>编制建设项目水资源论证报告书</w:t>
            </w:r>
          </w:p>
        </w:tc>
        <w:tc>
          <w:tcPr>
            <w:tcW w:w="0" w:type="auto"/>
            <w:noWrap w:val="0"/>
            <w:vAlign w:val="center"/>
          </w:tcPr>
          <w:p>
            <w:pPr>
              <w:adjustRightInd w:val="0"/>
              <w:spacing w:line="280" w:lineRule="exact"/>
              <w:rPr>
                <w:rFonts w:ascii="Times New Roman" w:hAnsi="Times New Roman"/>
                <w:b/>
                <w:szCs w:val="21"/>
              </w:rPr>
            </w:pPr>
            <w:r>
              <w:rPr>
                <w:rFonts w:ascii="Times New Roman" w:hAnsi="宋体"/>
                <w:szCs w:val="21"/>
              </w:rPr>
              <w:t>取水许可</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【法规】《取水许可和水资源费征收管理条例》</w:t>
            </w:r>
          </w:p>
          <w:p>
            <w:pPr>
              <w:overflowPunct w:val="0"/>
              <w:autoSpaceDE w:val="0"/>
              <w:autoSpaceDN w:val="0"/>
              <w:adjustRightInd w:val="0"/>
              <w:snapToGrid w:val="0"/>
              <w:spacing w:line="280" w:lineRule="exact"/>
              <w:rPr>
                <w:rFonts w:ascii="Times New Roman" w:hAnsi="Times New Roman"/>
                <w:b/>
                <w:szCs w:val="21"/>
              </w:rPr>
            </w:pPr>
            <w:r>
              <w:rPr>
                <w:rFonts w:ascii="Times New Roman" w:hAnsi="宋体"/>
                <w:szCs w:val="21"/>
              </w:rPr>
              <w:t>第十一条第二款</w:t>
            </w:r>
            <w:r>
              <w:rPr>
                <w:rFonts w:hint="eastAsia" w:ascii="Times New Roman" w:hAnsi="宋体"/>
                <w:szCs w:val="21"/>
              </w:rPr>
              <w:t xml:space="preserve">  </w:t>
            </w:r>
            <w:r>
              <w:rPr>
                <w:rFonts w:ascii="Times New Roman" w:hAnsi="宋体"/>
                <w:szCs w:val="21"/>
              </w:rPr>
              <w:t>建设项目需要取水的，申请人还应当提交建设项目水资源论证报告书。论证报告书应当包括取水水源、用水合理性以及对生态与环境的影响等内容。</w:t>
            </w:r>
          </w:p>
        </w:tc>
        <w:tc>
          <w:tcPr>
            <w:tcW w:w="1276" w:type="dxa"/>
            <w:noWrap w:val="0"/>
            <w:vAlign w:val="center"/>
          </w:tcPr>
          <w:p>
            <w:pPr>
              <w:adjustRightInd w:val="0"/>
              <w:spacing w:line="280" w:lineRule="exact"/>
              <w:rPr>
                <w:rFonts w:hint="eastAsia" w:ascii="Times New Roman" w:hAnsi="宋体"/>
                <w:szCs w:val="21"/>
              </w:rPr>
            </w:pPr>
            <w:r>
              <w:rPr>
                <w:rFonts w:ascii="Times New Roman" w:hAnsi="宋体"/>
                <w:szCs w:val="21"/>
              </w:rPr>
              <w:t>具备相应</w:t>
            </w:r>
          </w:p>
          <w:p>
            <w:pPr>
              <w:adjustRightInd w:val="0"/>
              <w:spacing w:line="280" w:lineRule="exact"/>
              <w:rPr>
                <w:rFonts w:ascii="Times New Roman" w:hAnsi="Times New Roman"/>
                <w:szCs w:val="21"/>
              </w:rPr>
            </w:pPr>
            <w:r>
              <w:rPr>
                <w:rFonts w:ascii="Times New Roman" w:hAnsi="宋体"/>
                <w:szCs w:val="21"/>
              </w:rPr>
              <w:t>技术能力的单位</w:t>
            </w:r>
          </w:p>
        </w:tc>
        <w:tc>
          <w:tcPr>
            <w:tcW w:w="2261" w:type="dxa"/>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adjustRightInd w:val="0"/>
              <w:spacing w:line="260" w:lineRule="exact"/>
              <w:rPr>
                <w:rFonts w:ascii="Times New Roman" w:hAnsi="Times New Roman"/>
                <w:spacing w:val="-6"/>
                <w:szCs w:val="21"/>
              </w:rPr>
            </w:pPr>
            <w:r>
              <w:rPr>
                <w:rFonts w:ascii="Times New Roman" w:hAnsi="宋体"/>
                <w:spacing w:val="-6"/>
                <w:szCs w:val="21"/>
              </w:rPr>
              <w:t>申请人可按要求自行编制项目论证报告，也可委托有关机构编制，审批部门不得以任何形式要求申请人必须委托特定中介机构提供服务。在开发区、新区和其他有条件的区域推行区域评估。</w:t>
            </w:r>
          </w:p>
        </w:tc>
        <w:tc>
          <w:tcPr>
            <w:tcW w:w="0" w:type="auto"/>
            <w:noWrap w:val="0"/>
            <w:vAlign w:val="center"/>
          </w:tcPr>
          <w:p>
            <w:pPr>
              <w:spacing w:line="28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87" w:hRule="atLeast"/>
          <w:jc w:val="center"/>
        </w:trPr>
        <w:tc>
          <w:tcPr>
            <w:tcW w:w="0" w:type="auto"/>
            <w:noWrap w:val="0"/>
            <w:vAlign w:val="center"/>
          </w:tcPr>
          <w:p>
            <w:pPr>
              <w:spacing w:line="280" w:lineRule="exact"/>
              <w:jc w:val="center"/>
              <w:rPr>
                <w:rFonts w:ascii="Times New Roman" w:hAnsi="Times New Roman"/>
                <w:szCs w:val="21"/>
              </w:rPr>
            </w:pPr>
            <w:r>
              <w:rPr>
                <w:rFonts w:ascii="Times New Roman" w:hAnsi="Times New Roman"/>
                <w:szCs w:val="21"/>
              </w:rPr>
              <w:t>43</w:t>
            </w:r>
          </w:p>
        </w:tc>
        <w:tc>
          <w:tcPr>
            <w:tcW w:w="0" w:type="auto"/>
            <w:noWrap w:val="0"/>
            <w:vAlign w:val="center"/>
          </w:tcPr>
          <w:p>
            <w:pPr>
              <w:spacing w:line="280" w:lineRule="exact"/>
              <w:jc w:val="center"/>
              <w:rPr>
                <w:rFonts w:ascii="Times New Roman" w:hAnsi="Times New Roman"/>
                <w:szCs w:val="21"/>
              </w:rPr>
            </w:pPr>
            <w:r>
              <w:rPr>
                <w:rFonts w:ascii="Times New Roman" w:hAnsi="宋体"/>
                <w:szCs w:val="21"/>
              </w:rPr>
              <w:t>市文广旅局</w:t>
            </w:r>
          </w:p>
        </w:tc>
        <w:tc>
          <w:tcPr>
            <w:tcW w:w="0" w:type="auto"/>
            <w:noWrap w:val="0"/>
            <w:vAlign w:val="center"/>
          </w:tcPr>
          <w:p>
            <w:pPr>
              <w:spacing w:line="280" w:lineRule="exact"/>
              <w:rPr>
                <w:rFonts w:ascii="Times New Roman" w:hAnsi="Times New Roman"/>
                <w:szCs w:val="21"/>
              </w:rPr>
            </w:pPr>
            <w:r>
              <w:rPr>
                <w:rFonts w:ascii="Times New Roman" w:hAnsi="宋体"/>
                <w:szCs w:val="21"/>
              </w:rPr>
              <w:t>广播电视专用频段频率使用审批所需的技术评估报告编制</w:t>
            </w:r>
          </w:p>
        </w:tc>
        <w:tc>
          <w:tcPr>
            <w:tcW w:w="0" w:type="auto"/>
            <w:noWrap w:val="0"/>
            <w:vAlign w:val="center"/>
          </w:tcPr>
          <w:p>
            <w:pPr>
              <w:spacing w:line="280" w:lineRule="exact"/>
              <w:rPr>
                <w:rFonts w:ascii="Times New Roman" w:hAnsi="Times New Roman"/>
                <w:szCs w:val="21"/>
              </w:rPr>
            </w:pPr>
            <w:r>
              <w:rPr>
                <w:rFonts w:ascii="Times New Roman" w:hAnsi="宋体"/>
                <w:szCs w:val="21"/>
              </w:rPr>
              <w:t>广播电视专用频段频率使用许可证（甲类）核发</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zCs w:val="21"/>
              </w:rPr>
            </w:pPr>
            <w:r>
              <w:rPr>
                <w:rFonts w:ascii="Times New Roman" w:hAnsi="宋体"/>
                <w:bCs/>
                <w:szCs w:val="21"/>
              </w:rPr>
              <w:t>【国务院决定】国务院关于第一批清理规范</w:t>
            </w:r>
            <w:r>
              <w:rPr>
                <w:rFonts w:ascii="Times New Roman" w:hAnsi="Times New Roman"/>
                <w:bCs/>
                <w:szCs w:val="21"/>
              </w:rPr>
              <w:t>89</w:t>
            </w:r>
            <w:r>
              <w:rPr>
                <w:rFonts w:ascii="Times New Roman" w:hAnsi="宋体"/>
                <w:bCs/>
                <w:szCs w:val="21"/>
              </w:rPr>
              <w:t>项国务院部门行政审批中介服务事项的决定（</w:t>
            </w:r>
            <w:r>
              <w:rPr>
                <w:rFonts w:ascii="Times New Roman" w:hAnsi="宋体"/>
                <w:szCs w:val="21"/>
              </w:rPr>
              <w:t>国发〔</w:t>
            </w:r>
            <w:r>
              <w:rPr>
                <w:rFonts w:ascii="Times New Roman" w:hAnsi="Times New Roman"/>
                <w:szCs w:val="21"/>
              </w:rPr>
              <w:t>2015</w:t>
            </w:r>
            <w:r>
              <w:rPr>
                <w:rFonts w:ascii="Times New Roman" w:hAnsi="宋体"/>
                <w:szCs w:val="21"/>
              </w:rPr>
              <w:t>〕</w:t>
            </w:r>
            <w:r>
              <w:rPr>
                <w:rFonts w:ascii="Times New Roman" w:hAnsi="Times New Roman"/>
                <w:szCs w:val="21"/>
              </w:rPr>
              <w:t>58</w:t>
            </w:r>
            <w:r>
              <w:rPr>
                <w:rFonts w:ascii="Times New Roman" w:hAnsi="宋体"/>
                <w:szCs w:val="21"/>
              </w:rPr>
              <w:t>号）</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bCs/>
                <w:szCs w:val="21"/>
              </w:rPr>
              <w:t>第</w:t>
            </w:r>
            <w:r>
              <w:rPr>
                <w:rFonts w:ascii="Times New Roman" w:hAnsi="Times New Roman"/>
                <w:bCs/>
                <w:szCs w:val="21"/>
              </w:rPr>
              <w:t>61</w:t>
            </w:r>
            <w:r>
              <w:rPr>
                <w:rFonts w:ascii="Times New Roman" w:hAnsi="宋体"/>
                <w:bCs/>
                <w:szCs w:val="21"/>
              </w:rPr>
              <w:t>项</w:t>
            </w:r>
            <w:r>
              <w:rPr>
                <w:rFonts w:ascii="Times New Roman" w:hAnsi="Times New Roman"/>
                <w:bCs/>
                <w:szCs w:val="21"/>
              </w:rPr>
              <w:t xml:space="preserve"> </w:t>
            </w:r>
            <w:r>
              <w:rPr>
                <w:rFonts w:hint="eastAsia" w:ascii="Times New Roman" w:hAnsi="Times New Roman"/>
                <w:bCs/>
                <w:szCs w:val="21"/>
              </w:rPr>
              <w:t xml:space="preserve"> </w:t>
            </w:r>
            <w:r>
              <w:rPr>
                <w:rFonts w:ascii="Times New Roman" w:hAnsi="宋体"/>
                <w:bCs/>
                <w:szCs w:val="21"/>
              </w:rPr>
              <w:t>广播电视专用频段频率使用审批所需的技术评估报告编制</w:t>
            </w:r>
          </w:p>
        </w:tc>
        <w:tc>
          <w:tcPr>
            <w:tcW w:w="1276" w:type="dxa"/>
            <w:noWrap w:val="0"/>
            <w:vAlign w:val="center"/>
          </w:tcPr>
          <w:p>
            <w:pPr>
              <w:adjustRightInd w:val="0"/>
              <w:spacing w:line="280" w:lineRule="exact"/>
              <w:rPr>
                <w:rFonts w:hint="eastAsia" w:ascii="Times New Roman" w:hAnsi="宋体"/>
                <w:szCs w:val="21"/>
              </w:rPr>
            </w:pPr>
            <w:r>
              <w:rPr>
                <w:rFonts w:ascii="Times New Roman" w:hAnsi="宋体"/>
                <w:szCs w:val="21"/>
              </w:rPr>
              <w:t>具备相应</w:t>
            </w:r>
          </w:p>
          <w:p>
            <w:pPr>
              <w:adjustRightInd w:val="0"/>
              <w:spacing w:line="280" w:lineRule="exact"/>
              <w:rPr>
                <w:rFonts w:ascii="Times New Roman" w:hAnsi="Times New Roman"/>
                <w:szCs w:val="21"/>
              </w:rPr>
            </w:pPr>
            <w:r>
              <w:rPr>
                <w:rFonts w:ascii="Times New Roman" w:hAnsi="宋体"/>
                <w:szCs w:val="21"/>
              </w:rPr>
              <w:t>技术能力的单位</w:t>
            </w:r>
          </w:p>
        </w:tc>
        <w:tc>
          <w:tcPr>
            <w:tcW w:w="2261" w:type="dxa"/>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260" w:lineRule="exact"/>
              <w:rPr>
                <w:rFonts w:ascii="Times New Roman" w:hAnsi="Times New Roman"/>
                <w:szCs w:val="21"/>
              </w:rPr>
            </w:pPr>
            <w:r>
              <w:rPr>
                <w:rFonts w:ascii="Times New Roman" w:hAnsi="宋体"/>
                <w:szCs w:val="21"/>
              </w:rPr>
              <w:t>申请人可按要求自行编制技术评估报告，也可委托有关机构编制，审批部门不得以任何形式要求申请人必须委托特定中介机构提供服务；保留审批部门现有的评估报告技术评估、评审。</w:t>
            </w:r>
          </w:p>
        </w:tc>
        <w:tc>
          <w:tcPr>
            <w:tcW w:w="0" w:type="auto"/>
            <w:noWrap w:val="0"/>
            <w:vAlign w:val="center"/>
          </w:tcPr>
          <w:p>
            <w:pPr>
              <w:spacing w:line="28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51" w:hRule="atLeast"/>
          <w:jc w:val="center"/>
        </w:trPr>
        <w:tc>
          <w:tcPr>
            <w:tcW w:w="0" w:type="auto"/>
            <w:noWrap w:val="0"/>
            <w:vAlign w:val="center"/>
          </w:tcPr>
          <w:p>
            <w:pPr>
              <w:spacing w:line="280" w:lineRule="exact"/>
              <w:jc w:val="center"/>
              <w:rPr>
                <w:rFonts w:ascii="Times New Roman" w:hAnsi="Times New Roman"/>
                <w:szCs w:val="21"/>
              </w:rPr>
            </w:pPr>
            <w:r>
              <w:rPr>
                <w:rFonts w:ascii="Times New Roman" w:hAnsi="Times New Roman"/>
                <w:szCs w:val="21"/>
              </w:rPr>
              <w:t>44</w:t>
            </w:r>
          </w:p>
        </w:tc>
        <w:tc>
          <w:tcPr>
            <w:tcW w:w="0" w:type="auto"/>
            <w:noWrap w:val="0"/>
            <w:vAlign w:val="center"/>
          </w:tcPr>
          <w:p>
            <w:pPr>
              <w:spacing w:line="280" w:lineRule="exact"/>
              <w:jc w:val="center"/>
              <w:rPr>
                <w:rFonts w:ascii="Times New Roman" w:hAnsi="Times New Roman"/>
                <w:szCs w:val="21"/>
              </w:rPr>
            </w:pPr>
            <w:r>
              <w:rPr>
                <w:rFonts w:ascii="Times New Roman" w:hAnsi="宋体"/>
                <w:szCs w:val="21"/>
              </w:rPr>
              <w:t>市文广旅局</w:t>
            </w:r>
          </w:p>
        </w:tc>
        <w:tc>
          <w:tcPr>
            <w:tcW w:w="0" w:type="auto"/>
            <w:noWrap w:val="0"/>
            <w:vAlign w:val="center"/>
          </w:tcPr>
          <w:p>
            <w:pPr>
              <w:spacing w:line="280" w:lineRule="exact"/>
              <w:rPr>
                <w:rFonts w:ascii="Times New Roman" w:hAnsi="Times New Roman"/>
                <w:szCs w:val="21"/>
              </w:rPr>
            </w:pPr>
            <w:r>
              <w:rPr>
                <w:rFonts w:ascii="Times New Roman" w:hAnsi="宋体"/>
                <w:szCs w:val="21"/>
              </w:rPr>
              <w:t>广播电视设施迁建审批所需的技术评估报告编制</w:t>
            </w:r>
          </w:p>
        </w:tc>
        <w:tc>
          <w:tcPr>
            <w:tcW w:w="0" w:type="auto"/>
            <w:noWrap w:val="0"/>
            <w:vAlign w:val="center"/>
          </w:tcPr>
          <w:p>
            <w:pPr>
              <w:spacing w:line="280" w:lineRule="exact"/>
              <w:rPr>
                <w:rFonts w:ascii="Times New Roman" w:hAnsi="Times New Roman"/>
                <w:szCs w:val="21"/>
              </w:rPr>
            </w:pPr>
            <w:r>
              <w:rPr>
                <w:rFonts w:ascii="Times New Roman" w:hAnsi="宋体"/>
                <w:szCs w:val="21"/>
              </w:rPr>
              <w:t>广播电视设施迁建审批</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zCs w:val="21"/>
              </w:rPr>
            </w:pPr>
            <w:r>
              <w:rPr>
                <w:rFonts w:ascii="Times New Roman" w:hAnsi="宋体"/>
                <w:bCs/>
                <w:szCs w:val="21"/>
              </w:rPr>
              <w:t>【国务院决定】国务院关于第一批清理规范</w:t>
            </w:r>
            <w:r>
              <w:rPr>
                <w:rFonts w:ascii="Times New Roman" w:hAnsi="Times New Roman"/>
                <w:bCs/>
                <w:szCs w:val="21"/>
              </w:rPr>
              <w:t>89</w:t>
            </w:r>
            <w:r>
              <w:rPr>
                <w:rFonts w:ascii="Times New Roman" w:hAnsi="宋体"/>
                <w:bCs/>
                <w:szCs w:val="21"/>
              </w:rPr>
              <w:t>项国务院部门行政审批中介服务事项的决定（</w:t>
            </w:r>
            <w:r>
              <w:rPr>
                <w:rFonts w:ascii="Times New Roman" w:hAnsi="宋体"/>
                <w:szCs w:val="21"/>
              </w:rPr>
              <w:t>国发〔</w:t>
            </w:r>
            <w:r>
              <w:rPr>
                <w:rFonts w:ascii="Times New Roman" w:hAnsi="Times New Roman"/>
                <w:szCs w:val="21"/>
              </w:rPr>
              <w:t>2015</w:t>
            </w:r>
            <w:r>
              <w:rPr>
                <w:rFonts w:ascii="Times New Roman" w:hAnsi="宋体"/>
                <w:szCs w:val="21"/>
              </w:rPr>
              <w:t>〕</w:t>
            </w:r>
            <w:r>
              <w:rPr>
                <w:rFonts w:ascii="Times New Roman" w:hAnsi="Times New Roman"/>
                <w:szCs w:val="21"/>
              </w:rPr>
              <w:t>58</w:t>
            </w:r>
            <w:r>
              <w:rPr>
                <w:rFonts w:ascii="Times New Roman" w:hAnsi="宋体"/>
                <w:szCs w:val="21"/>
              </w:rPr>
              <w:t>号）</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bCs/>
                <w:szCs w:val="21"/>
              </w:rPr>
              <w:t>第</w:t>
            </w:r>
            <w:r>
              <w:rPr>
                <w:rFonts w:ascii="Times New Roman" w:hAnsi="Times New Roman"/>
                <w:bCs/>
                <w:szCs w:val="21"/>
              </w:rPr>
              <w:t>62</w:t>
            </w:r>
            <w:r>
              <w:rPr>
                <w:rFonts w:ascii="Times New Roman" w:hAnsi="宋体"/>
                <w:bCs/>
                <w:szCs w:val="21"/>
              </w:rPr>
              <w:t>项</w:t>
            </w:r>
            <w:r>
              <w:rPr>
                <w:rFonts w:ascii="Times New Roman" w:hAnsi="Times New Roman"/>
                <w:bCs/>
                <w:szCs w:val="21"/>
              </w:rPr>
              <w:t xml:space="preserve"> </w:t>
            </w:r>
            <w:r>
              <w:rPr>
                <w:rFonts w:hint="eastAsia" w:ascii="Times New Roman" w:hAnsi="Times New Roman"/>
                <w:bCs/>
                <w:szCs w:val="21"/>
              </w:rPr>
              <w:t xml:space="preserve"> </w:t>
            </w:r>
            <w:r>
              <w:rPr>
                <w:rFonts w:ascii="Times New Roman" w:hAnsi="宋体"/>
                <w:bCs/>
                <w:szCs w:val="21"/>
              </w:rPr>
              <w:t>广播电视设施迁建审批所需的技术评估报告编制</w:t>
            </w:r>
          </w:p>
        </w:tc>
        <w:tc>
          <w:tcPr>
            <w:tcW w:w="1276" w:type="dxa"/>
            <w:noWrap w:val="0"/>
            <w:vAlign w:val="center"/>
          </w:tcPr>
          <w:p>
            <w:pPr>
              <w:adjustRightInd w:val="0"/>
              <w:spacing w:line="280" w:lineRule="exact"/>
              <w:rPr>
                <w:rFonts w:hint="eastAsia" w:ascii="Times New Roman" w:hAnsi="宋体"/>
                <w:szCs w:val="21"/>
              </w:rPr>
            </w:pPr>
            <w:r>
              <w:rPr>
                <w:rFonts w:ascii="Times New Roman" w:hAnsi="宋体"/>
                <w:szCs w:val="21"/>
              </w:rPr>
              <w:t>具备相应</w:t>
            </w:r>
          </w:p>
          <w:p>
            <w:pPr>
              <w:adjustRightInd w:val="0"/>
              <w:spacing w:line="280" w:lineRule="exact"/>
              <w:rPr>
                <w:rFonts w:ascii="Times New Roman" w:hAnsi="Times New Roman"/>
                <w:szCs w:val="21"/>
              </w:rPr>
            </w:pPr>
            <w:r>
              <w:rPr>
                <w:rFonts w:ascii="Times New Roman" w:hAnsi="宋体"/>
                <w:szCs w:val="21"/>
              </w:rPr>
              <w:t>技术能力的单位</w:t>
            </w:r>
          </w:p>
        </w:tc>
        <w:tc>
          <w:tcPr>
            <w:tcW w:w="2261" w:type="dxa"/>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28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260" w:lineRule="exact"/>
              <w:rPr>
                <w:rFonts w:ascii="Times New Roman" w:hAnsi="Times New Roman"/>
                <w:szCs w:val="21"/>
              </w:rPr>
            </w:pPr>
            <w:r>
              <w:rPr>
                <w:rFonts w:ascii="Times New Roman" w:hAnsi="宋体"/>
                <w:szCs w:val="21"/>
              </w:rPr>
              <w:t>申请人可按要求自行编制技术评估报告，也可委托有关机构编制，审批部门不得以任何形式要求申请人必须委托特定中介机构提供服务；保留审批部门现有的评估报告技术评估、评审。</w:t>
            </w:r>
          </w:p>
        </w:tc>
        <w:tc>
          <w:tcPr>
            <w:tcW w:w="0" w:type="auto"/>
            <w:noWrap w:val="0"/>
            <w:vAlign w:val="center"/>
          </w:tcPr>
          <w:p>
            <w:pPr>
              <w:spacing w:line="280" w:lineRule="exact"/>
              <w:rPr>
                <w:rFonts w:ascii="Times New Roman" w:hAnsi="Times New Roman"/>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68"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45</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市卫健委</w:t>
            </w:r>
          </w:p>
        </w:tc>
        <w:tc>
          <w:tcPr>
            <w:tcW w:w="0" w:type="auto"/>
            <w:noWrap w:val="0"/>
            <w:vAlign w:val="center"/>
          </w:tcPr>
          <w:p>
            <w:pPr>
              <w:spacing w:line="320" w:lineRule="exact"/>
              <w:rPr>
                <w:rFonts w:hint="eastAsia" w:ascii="Times New Roman" w:hAnsi="宋体"/>
                <w:szCs w:val="21"/>
              </w:rPr>
            </w:pPr>
            <w:r>
              <w:rPr>
                <w:rFonts w:ascii="Times New Roman" w:hAnsi="宋体"/>
                <w:szCs w:val="21"/>
              </w:rPr>
              <w:t>预评价</w:t>
            </w:r>
          </w:p>
          <w:p>
            <w:pPr>
              <w:spacing w:line="320" w:lineRule="exact"/>
              <w:rPr>
                <w:rFonts w:ascii="Times New Roman" w:hAnsi="Times New Roman"/>
                <w:szCs w:val="21"/>
              </w:rPr>
            </w:pPr>
            <w:r>
              <w:rPr>
                <w:rFonts w:ascii="Times New Roman" w:hAnsi="宋体"/>
                <w:szCs w:val="21"/>
              </w:rPr>
              <w:t>（评估报告）</w:t>
            </w:r>
          </w:p>
        </w:tc>
        <w:tc>
          <w:tcPr>
            <w:tcW w:w="0" w:type="auto"/>
            <w:noWrap w:val="0"/>
            <w:vAlign w:val="center"/>
          </w:tcPr>
          <w:p>
            <w:pPr>
              <w:spacing w:line="320" w:lineRule="exact"/>
              <w:rPr>
                <w:rFonts w:hint="eastAsia" w:ascii="Times New Roman" w:hAnsi="宋体"/>
                <w:szCs w:val="21"/>
              </w:rPr>
            </w:pPr>
            <w:r>
              <w:rPr>
                <w:rFonts w:ascii="Times New Roman" w:hAnsi="宋体"/>
                <w:szCs w:val="21"/>
              </w:rPr>
              <w:t>医疗机构放射性职业病危害建设项目预评价报告审核，</w:t>
            </w:r>
          </w:p>
          <w:p>
            <w:pPr>
              <w:spacing w:line="320" w:lineRule="exact"/>
              <w:rPr>
                <w:rFonts w:ascii="Times New Roman" w:hAnsi="Times New Roman"/>
                <w:szCs w:val="21"/>
              </w:rPr>
            </w:pPr>
            <w:r>
              <w:rPr>
                <w:rFonts w:ascii="Times New Roman" w:hAnsi="宋体"/>
                <w:szCs w:val="21"/>
              </w:rPr>
              <w:t>医疗机构放射性职业病危害建设项目竣工验收</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【法律】《中华人民共和国职业病防治法》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第十七条第二款</w:t>
            </w:r>
            <w:r>
              <w:rPr>
                <w:rFonts w:hint="eastAsia" w:ascii="Times New Roman" w:hAnsi="宋体"/>
                <w:szCs w:val="21"/>
              </w:rPr>
              <w:t xml:space="preserve">  </w:t>
            </w:r>
            <w:r>
              <w:rPr>
                <w:rFonts w:ascii="Times New Roman" w:hAnsi="宋体"/>
                <w:szCs w:val="21"/>
              </w:rPr>
              <w:t>医疗机构建设项目可能产生放射性职业病危害的，建设单位应当向卫生行政部门提交放射性职业病危害预评价报告。卫生行政部门应当自收到预评价报告之日起三十日内，作出审核决定并书面通知建设单位。未提交预评价报告或者预评价报告未经卫生行政部门审核同意的，不得开工建设。</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具备相应资质的放射卫生技术服务机构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申请人自行委托有相应资质的机构，审批部门不得以任何形式要求申请人委托特定中介服务机构提供服务。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46</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市卫健委</w:t>
            </w:r>
          </w:p>
        </w:tc>
        <w:tc>
          <w:tcPr>
            <w:tcW w:w="0" w:type="auto"/>
            <w:noWrap w:val="0"/>
            <w:vAlign w:val="center"/>
          </w:tcPr>
          <w:p>
            <w:pPr>
              <w:spacing w:line="320" w:lineRule="exact"/>
              <w:rPr>
                <w:rFonts w:ascii="Times New Roman" w:hAnsi="Times New Roman"/>
                <w:szCs w:val="21"/>
              </w:rPr>
            </w:pPr>
            <w:r>
              <w:rPr>
                <w:rFonts w:ascii="Times New Roman" w:hAnsi="宋体"/>
                <w:szCs w:val="21"/>
              </w:rPr>
              <w:t>控制效果评价（评估报告）</w:t>
            </w:r>
          </w:p>
        </w:tc>
        <w:tc>
          <w:tcPr>
            <w:tcW w:w="0" w:type="auto"/>
            <w:noWrap w:val="0"/>
            <w:vAlign w:val="center"/>
          </w:tcPr>
          <w:p>
            <w:pPr>
              <w:spacing w:line="320" w:lineRule="exact"/>
              <w:rPr>
                <w:rFonts w:hint="eastAsia" w:ascii="Times New Roman" w:hAnsi="宋体"/>
                <w:szCs w:val="21"/>
              </w:rPr>
            </w:pPr>
            <w:r>
              <w:rPr>
                <w:rFonts w:ascii="Times New Roman" w:hAnsi="宋体"/>
                <w:szCs w:val="21"/>
              </w:rPr>
              <w:t>医疗机构放射性职业病危害建设项目预评价报告审核，</w:t>
            </w:r>
          </w:p>
          <w:p>
            <w:pPr>
              <w:spacing w:line="320" w:lineRule="exact"/>
              <w:rPr>
                <w:rFonts w:ascii="Times New Roman" w:hAnsi="Times New Roman"/>
                <w:szCs w:val="21"/>
              </w:rPr>
            </w:pPr>
            <w:r>
              <w:rPr>
                <w:rFonts w:ascii="Times New Roman" w:hAnsi="宋体"/>
                <w:szCs w:val="21"/>
              </w:rPr>
              <w:t>医疗机构放射性职业病危害建设项目竣工验收</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【法律】《中华人民共和国职业病防治法》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第十八条第二款</w:t>
            </w:r>
            <w:r>
              <w:rPr>
                <w:rFonts w:ascii="Times New Roman" w:hAnsi="Times New Roman"/>
                <w:szCs w:val="21"/>
              </w:rPr>
              <w:t xml:space="preserve">  </w:t>
            </w:r>
            <w:r>
              <w:rPr>
                <w:rFonts w:ascii="Times New Roman" w:hAnsi="宋体"/>
                <w:szCs w:val="21"/>
              </w:rPr>
              <w:t>建设项目的职业病防护设施设计应当符合国家职业卫生标准和卫生要求；其中，医疗机构放射性职业病危害严重的建设项目的防护设施设计，应当经卫生行政部门审查同意后，方可施工。</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第十八条第三款</w:t>
            </w:r>
            <w:r>
              <w:rPr>
                <w:rFonts w:ascii="Times New Roman" w:hAnsi="Times New Roman"/>
                <w:szCs w:val="21"/>
              </w:rPr>
              <w:t xml:space="preserve">  </w:t>
            </w:r>
            <w:r>
              <w:rPr>
                <w:rFonts w:ascii="Times New Roman" w:hAnsi="宋体"/>
                <w:szCs w:val="21"/>
              </w:rPr>
              <w:t>建设项目在竣工验收前，建设单位应当进行职业病危害控制效果评价。</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具备相应资质的放射卫生技术服务机构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申请人自行委托有相应资质的机构，审批部门不得以任何形式要求申请人委托特定中介服务机构提供服务。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47</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市卫健委</w:t>
            </w:r>
          </w:p>
        </w:tc>
        <w:tc>
          <w:tcPr>
            <w:tcW w:w="0" w:type="auto"/>
            <w:noWrap w:val="0"/>
            <w:vAlign w:val="center"/>
          </w:tcPr>
          <w:p>
            <w:pPr>
              <w:spacing w:line="320" w:lineRule="exact"/>
              <w:rPr>
                <w:rFonts w:ascii="Times New Roman" w:hAnsi="Times New Roman"/>
                <w:szCs w:val="21"/>
              </w:rPr>
            </w:pPr>
            <w:r>
              <w:rPr>
                <w:rFonts w:ascii="Times New Roman" w:hAnsi="宋体"/>
                <w:szCs w:val="21"/>
              </w:rPr>
              <w:t>为医疗机构提供放射诊疗建设项目职业病危害放射防护评价、放射卫生防护检测、提供放射防护器材和放射性产品检测、个人剂量监测等</w:t>
            </w:r>
          </w:p>
        </w:tc>
        <w:tc>
          <w:tcPr>
            <w:tcW w:w="0" w:type="auto"/>
            <w:noWrap w:val="0"/>
            <w:vAlign w:val="center"/>
          </w:tcPr>
          <w:p>
            <w:pPr>
              <w:autoSpaceDE w:val="0"/>
              <w:autoSpaceDN w:val="0"/>
              <w:adjustRightInd w:val="0"/>
              <w:spacing w:line="320" w:lineRule="exact"/>
              <w:rPr>
                <w:rFonts w:ascii="Times New Roman" w:hAnsi="Times New Roman"/>
                <w:szCs w:val="21"/>
              </w:rPr>
            </w:pPr>
            <w:r>
              <w:rPr>
                <w:rFonts w:ascii="Times New Roman" w:hAnsi="宋体"/>
                <w:kern w:val="0"/>
                <w:szCs w:val="21"/>
              </w:rPr>
              <w:t>放射源诊疗技术和医用辐射机构许可</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【法律】《中华人民共和国职业病防治法》</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第二十六条第二款</w:t>
            </w:r>
            <w:r>
              <w:rPr>
                <w:rFonts w:ascii="Times New Roman" w:hAnsi="Times New Roman"/>
                <w:szCs w:val="21"/>
              </w:rPr>
              <w:t xml:space="preserve">  </w:t>
            </w:r>
            <w:r>
              <w:rPr>
                <w:rFonts w:ascii="Times New Roman" w:hAnsi="宋体"/>
                <w:szCs w:val="21"/>
              </w:rPr>
              <w:t>用人单位应当按照国务院卫生行政部门的规定，定期对工作场所进行职业病危害因素检测、评价。检测、评价结果存入用人单位职业卫生档案，定期向所在地卫生行政部门报告并向劳动者公布。</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第三款</w:t>
            </w:r>
            <w:r>
              <w:rPr>
                <w:rFonts w:ascii="Times New Roman" w:hAnsi="Times New Roman"/>
                <w:szCs w:val="21"/>
              </w:rPr>
              <w:t xml:space="preserve">  </w:t>
            </w:r>
            <w:r>
              <w:rPr>
                <w:rFonts w:ascii="Times New Roman" w:hAnsi="宋体"/>
                <w:szCs w:val="21"/>
              </w:rPr>
              <w:t>职业病危害因素检测、评价由依法设立的取得国务院卫生行政部门或者设区的市级以上地方人民政府卫生行政部门按照职责分工给予资质认可的职业卫生技术服务机构进行。职业卫生技术服务机构所作检测、评价应当客观、真实。</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具备相应资质的放射卫生技术服务机构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申请人自行委托有相应资质的机构，审批部门不得以任何形式要求申请人委托特定中介服务机构提供服务。</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48</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编制安全预评价报告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矿山、金属冶炼和用于生产、储存、装卸危险物品的建设项目安全审查</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【法律】《中华人民共和国安全生产法》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第三十二条</w:t>
            </w:r>
            <w:r>
              <w:rPr>
                <w:rFonts w:hint="eastAsia" w:ascii="Times New Roman" w:hAnsi="宋体"/>
                <w:szCs w:val="21"/>
              </w:rPr>
              <w:t xml:space="preserve">  </w:t>
            </w:r>
            <w:r>
              <w:rPr>
                <w:rFonts w:ascii="Times New Roman" w:hAnsi="宋体"/>
                <w:szCs w:val="21"/>
              </w:rPr>
              <w:t>矿山、金属冶炼建设项目和用于生产、储存、装卸危险物品的建设项目，应当按照国家有关规定进行安全评价。</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pacing w:val="-4"/>
                <w:szCs w:val="21"/>
              </w:rPr>
            </w:pPr>
            <w:r>
              <w:rPr>
                <w:rFonts w:ascii="Times New Roman" w:hAnsi="宋体"/>
                <w:spacing w:val="-4"/>
                <w:szCs w:val="21"/>
              </w:rPr>
              <w:t>建设项目安全预评价报告应符合国家标准或者行业标准的规定。</w:t>
            </w:r>
          </w:p>
          <w:p>
            <w:pPr>
              <w:spacing w:line="320" w:lineRule="exact"/>
              <w:rPr>
                <w:rFonts w:ascii="Times New Roman" w:hAnsi="Times New Roman"/>
                <w:szCs w:val="21"/>
              </w:rPr>
            </w:pPr>
            <w:r>
              <w:rPr>
                <w:rFonts w:ascii="Times New Roman" w:hAnsi="宋体"/>
                <w:spacing w:val="-4"/>
                <w:szCs w:val="21"/>
              </w:rPr>
              <w:t>生产、储存危险化学品的建设项目和化工建设项目安全预评价报告还应当符合有关危险化学品建设项目的规定。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35"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49</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编制安全设施设计</w:t>
            </w:r>
          </w:p>
        </w:tc>
        <w:tc>
          <w:tcPr>
            <w:tcW w:w="0" w:type="auto"/>
            <w:noWrap w:val="0"/>
            <w:vAlign w:val="center"/>
          </w:tcPr>
          <w:p>
            <w:pPr>
              <w:spacing w:line="320" w:lineRule="exact"/>
              <w:rPr>
                <w:rFonts w:ascii="Times New Roman" w:hAnsi="Times New Roman"/>
                <w:szCs w:val="21"/>
              </w:rPr>
            </w:pPr>
            <w:r>
              <w:rPr>
                <w:rFonts w:ascii="Times New Roman" w:hAnsi="宋体"/>
                <w:szCs w:val="21"/>
              </w:rPr>
              <w:t>矿山、金属冶炼和用于生产、储存、装卸危险物品的建设项目安全审查</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【法律】《中华人民共和国安全生产法》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第三十三条</w:t>
            </w:r>
            <w:r>
              <w:rPr>
                <w:rFonts w:hint="eastAsia" w:ascii="Times New Roman" w:hAnsi="宋体"/>
                <w:szCs w:val="21"/>
              </w:rPr>
              <w:t xml:space="preserve">  </w:t>
            </w:r>
            <w:r>
              <w:rPr>
                <w:rFonts w:ascii="Times New Roman" w:hAnsi="宋体"/>
                <w:szCs w:val="21"/>
              </w:rPr>
              <w:t>建设项目安全设施的设计人、设计单位应当对安全设施设计负责。</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矿山、金属冶炼建设项目和用于生产、储存、装卸危险物品的建设项目的安全设施设计应当按照国家有关规定报经有关部门审查，审查部门及其负责审查的人员对审查结果负责。</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资质的设计单位</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zCs w:val="21"/>
              </w:rPr>
              <w:t>安全设施设计必须符合有关法律、法规、规章和国家标准或者行业标准、技术规范的规定，并尽可能采用先进适用的工艺、技术和可靠的设备、设施。</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18"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50</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烟花爆竹批发许可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pacing w:val="-4"/>
                <w:szCs w:val="21"/>
              </w:rPr>
              <w:t>【法规】</w:t>
            </w:r>
            <w:r>
              <w:rPr>
                <w:rFonts w:ascii="Times New Roman" w:hAnsi="宋体"/>
                <w:szCs w:val="21"/>
              </w:rPr>
              <w:t>《烟花爆竹安全管理条例》</w:t>
            </w:r>
          </w:p>
          <w:p>
            <w:pPr>
              <w:overflowPunct w:val="0"/>
              <w:autoSpaceDE w:val="0"/>
              <w:autoSpaceDN w:val="0"/>
              <w:adjustRightInd w:val="0"/>
              <w:snapToGrid w:val="0"/>
              <w:spacing w:line="320" w:lineRule="exact"/>
              <w:rPr>
                <w:rFonts w:ascii="Times New Roman" w:hAnsi="Times New Roman"/>
                <w:spacing w:val="-4"/>
                <w:szCs w:val="21"/>
              </w:rPr>
            </w:pPr>
            <w:r>
              <w:rPr>
                <w:rFonts w:hint="eastAsia" w:ascii="Times New Roman" w:hAnsi="宋体"/>
                <w:szCs w:val="21"/>
              </w:rPr>
              <w:t xml:space="preserve">第十七条  </w:t>
            </w:r>
            <w:r>
              <w:rPr>
                <w:rFonts w:ascii="Times New Roman" w:hAnsi="宋体"/>
                <w:szCs w:val="21"/>
              </w:rPr>
              <w:t>从事烟花爆竹批发的企业，应当具备下列条件</w:t>
            </w:r>
            <w:r>
              <w:rPr>
                <w:rFonts w:ascii="Times New Roman" w:hAnsi="Times New Roman"/>
                <w:szCs w:val="21"/>
              </w:rPr>
              <w:t>：</w:t>
            </w:r>
            <w:r>
              <w:rPr>
                <w:rFonts w:ascii="Times New Roman" w:hAnsi="宋体"/>
                <w:szCs w:val="21"/>
              </w:rPr>
              <w:t>（五）依法进行了安全评价</w:t>
            </w:r>
            <w:r>
              <w:rPr>
                <w:rFonts w:ascii="Times New Roman" w:hAnsi="Times New Roman"/>
                <w:szCs w:val="21"/>
              </w:rPr>
              <w:t>；</w:t>
            </w:r>
          </w:p>
          <w:p>
            <w:pPr>
              <w:overflowPunct w:val="0"/>
              <w:autoSpaceDE w:val="0"/>
              <w:autoSpaceDN w:val="0"/>
              <w:adjustRightInd w:val="0"/>
              <w:snapToGrid w:val="0"/>
              <w:spacing w:line="320" w:lineRule="exact"/>
              <w:rPr>
                <w:rFonts w:ascii="Times New Roman" w:hAnsi="Times New Roman"/>
                <w:spacing w:val="-4"/>
                <w:szCs w:val="21"/>
              </w:rPr>
            </w:pPr>
            <w:r>
              <w:rPr>
                <w:rFonts w:hint="eastAsia" w:ascii="Times New Roman" w:hAnsi="Times New Roman"/>
                <w:spacing w:val="-4"/>
                <w:szCs w:val="21"/>
              </w:rPr>
              <w:t>第十八条</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pacing w:val="-4"/>
                <w:szCs w:val="21"/>
              </w:rPr>
              <w:t>具备相应资质的应符合国家标准或者行业标准的规定。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885"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51</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非煤矿山安全生产许可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【法规】《安全生产许可证条例》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第二条</w:t>
            </w:r>
            <w:r>
              <w:rPr>
                <w:rFonts w:hint="eastAsia" w:ascii="Times New Roman" w:hAnsi="宋体"/>
                <w:szCs w:val="21"/>
              </w:rPr>
              <w:t xml:space="preserve">  </w:t>
            </w:r>
            <w:r>
              <w:rPr>
                <w:rFonts w:ascii="Times New Roman" w:hAnsi="宋体"/>
                <w:szCs w:val="21"/>
              </w:rPr>
              <w:t>国家对矿山企业、建筑施工企业和危险化学品、烟花爆竹、民用爆炸物品生产企业（以下统称企业）实行安全生产许可制度。</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企业未取得安全生产许可证的，不得从事生产活动。</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第六条</w:t>
            </w:r>
            <w:r>
              <w:rPr>
                <w:rFonts w:ascii="Times New Roman" w:hAnsi="Times New Roman"/>
                <w:szCs w:val="21"/>
              </w:rPr>
              <w:t xml:space="preserve">  </w:t>
            </w:r>
            <w:r>
              <w:rPr>
                <w:rFonts w:ascii="Times New Roman" w:hAnsi="宋体"/>
                <w:szCs w:val="21"/>
              </w:rPr>
              <w:t>企业取得安全生产许可证，应当具备下列安全生产条件：（十）依法进行安全评价；</w:t>
            </w:r>
          </w:p>
        </w:tc>
        <w:tc>
          <w:tcPr>
            <w:tcW w:w="1276" w:type="dxa"/>
            <w:noWrap w:val="0"/>
            <w:vAlign w:val="center"/>
          </w:tcPr>
          <w:p>
            <w:pPr>
              <w:spacing w:line="320" w:lineRule="exact"/>
              <w:rPr>
                <w:rFonts w:hint="eastAsia" w:ascii="Times New Roman" w:hAnsi="宋体"/>
                <w:szCs w:val="21"/>
              </w:rPr>
            </w:pPr>
            <w:r>
              <w:rPr>
                <w:rFonts w:ascii="Times New Roman" w:hAnsi="宋体"/>
                <w:szCs w:val="21"/>
              </w:rPr>
              <w:t>具备相应</w:t>
            </w:r>
          </w:p>
          <w:p>
            <w:pPr>
              <w:spacing w:line="320" w:lineRule="exact"/>
              <w:rPr>
                <w:rFonts w:ascii="Times New Roman" w:hAnsi="Times New Roman"/>
                <w:szCs w:val="21"/>
              </w:rPr>
            </w:pPr>
            <w:r>
              <w:rPr>
                <w:rFonts w:ascii="Times New Roman" w:hAnsi="宋体"/>
                <w:szCs w:val="21"/>
              </w:rPr>
              <w:t>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pacing w:val="-4"/>
                <w:szCs w:val="21"/>
              </w:rPr>
            </w:pPr>
            <w:r>
              <w:rPr>
                <w:rFonts w:ascii="Times New Roman" w:hAnsi="宋体"/>
                <w:spacing w:val="-4"/>
                <w:szCs w:val="21"/>
              </w:rPr>
              <w:t>具备相应资质的应符合国家标准或者行业标准的规定。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81"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52</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危险化学品安全生产许可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【法规】《安全生产许可证条例》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第二条</w:t>
            </w:r>
            <w:r>
              <w:rPr>
                <w:rFonts w:hint="eastAsia" w:ascii="Times New Roman" w:hAnsi="宋体"/>
                <w:szCs w:val="21"/>
              </w:rPr>
              <w:t xml:space="preserve">  </w:t>
            </w:r>
            <w:r>
              <w:rPr>
                <w:rFonts w:ascii="Times New Roman" w:hAnsi="宋体"/>
                <w:szCs w:val="21"/>
              </w:rPr>
              <w:t>国家对矿山企业、建筑施工企业和危险化学品、烟花爆竹、民用爆炸物品生产企业（以下统称企业）实行安全生产许可制度。</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企业未取得安全生产许可证的，不得从事生产活动。</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第六条</w:t>
            </w:r>
            <w:r>
              <w:rPr>
                <w:rFonts w:ascii="Times New Roman" w:hAnsi="Times New Roman"/>
                <w:szCs w:val="21"/>
              </w:rPr>
              <w:t xml:space="preserve">  </w:t>
            </w:r>
            <w:r>
              <w:rPr>
                <w:rFonts w:ascii="Times New Roman" w:hAnsi="宋体"/>
                <w:szCs w:val="21"/>
              </w:rPr>
              <w:t>企业取得安全生产许可证，应当具备下列安全生产条件：（十）依法进行安全评价；</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pacing w:val="-4"/>
                <w:szCs w:val="21"/>
              </w:rPr>
            </w:pPr>
            <w:r>
              <w:rPr>
                <w:rFonts w:ascii="Times New Roman" w:hAnsi="宋体"/>
                <w:spacing w:val="-4"/>
                <w:szCs w:val="21"/>
              </w:rPr>
              <w:t>具备相应资质的应符合国家标准或者行业标准的规定。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84" w:hRule="atLeast"/>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53</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危险化学品安全使用许可</w:t>
            </w:r>
          </w:p>
        </w:tc>
        <w:tc>
          <w:tcPr>
            <w:tcW w:w="3116" w:type="dxa"/>
            <w:noWrap w:val="0"/>
            <w:vAlign w:val="center"/>
          </w:tcPr>
          <w:p>
            <w:pPr>
              <w:overflowPunct w:val="0"/>
              <w:autoSpaceDE w:val="0"/>
              <w:autoSpaceDN w:val="0"/>
              <w:adjustRightInd w:val="0"/>
              <w:snapToGrid w:val="0"/>
              <w:spacing w:line="320" w:lineRule="exact"/>
              <w:rPr>
                <w:rFonts w:hint="eastAsia" w:ascii="Times New Roman" w:hAnsi="宋体"/>
                <w:spacing w:val="-12"/>
                <w:szCs w:val="21"/>
              </w:rPr>
            </w:pPr>
            <w:r>
              <w:rPr>
                <w:rFonts w:ascii="Times New Roman" w:hAnsi="宋体"/>
                <w:spacing w:val="-12"/>
                <w:szCs w:val="21"/>
              </w:rPr>
              <w:t>【法规】《危险化学品安全管理条例》</w:t>
            </w:r>
          </w:p>
          <w:p>
            <w:pPr>
              <w:overflowPunct w:val="0"/>
              <w:autoSpaceDE w:val="0"/>
              <w:autoSpaceDN w:val="0"/>
              <w:adjustRightInd w:val="0"/>
              <w:snapToGrid w:val="0"/>
              <w:spacing w:line="320" w:lineRule="exact"/>
              <w:rPr>
                <w:rFonts w:ascii="Times New Roman" w:hAnsi="Times New Roman"/>
                <w:spacing w:val="-4"/>
                <w:szCs w:val="21"/>
              </w:rPr>
            </w:pPr>
            <w:r>
              <w:rPr>
                <w:rFonts w:ascii="Times New Roman" w:hAnsi="宋体"/>
                <w:spacing w:val="-4"/>
                <w:szCs w:val="21"/>
              </w:rPr>
              <w:t>第三十条</w:t>
            </w:r>
            <w:r>
              <w:rPr>
                <w:rFonts w:hint="eastAsia" w:ascii="Times New Roman" w:hAnsi="宋体"/>
                <w:spacing w:val="-4"/>
                <w:szCs w:val="21"/>
              </w:rPr>
              <w:t xml:space="preserve">  </w:t>
            </w:r>
            <w:r>
              <w:rPr>
                <w:rFonts w:ascii="Times New Roman" w:hAnsi="宋体"/>
                <w:spacing w:val="-4"/>
                <w:szCs w:val="21"/>
              </w:rPr>
              <w:t>申请危险化学品安全使用许可证的化工企业，除应当符合本条例第二十八条的规定外，还应当具备下列条件：</w:t>
            </w:r>
          </w:p>
          <w:p>
            <w:pPr>
              <w:overflowPunct w:val="0"/>
              <w:autoSpaceDE w:val="0"/>
              <w:autoSpaceDN w:val="0"/>
              <w:adjustRightInd w:val="0"/>
              <w:snapToGrid w:val="0"/>
              <w:spacing w:line="320" w:lineRule="exact"/>
              <w:rPr>
                <w:rFonts w:ascii="Times New Roman" w:hAnsi="Times New Roman"/>
                <w:spacing w:val="-4"/>
                <w:szCs w:val="21"/>
              </w:rPr>
            </w:pPr>
            <w:r>
              <w:rPr>
                <w:rFonts w:ascii="Times New Roman" w:hAnsi="宋体"/>
                <w:snapToGrid w:val="0"/>
                <w:spacing w:val="-4"/>
                <w:kern w:val="0"/>
                <w:szCs w:val="21"/>
              </w:rPr>
              <w:t>（四）依法进行了安全评价。</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pacing w:val="-4"/>
                <w:szCs w:val="21"/>
              </w:rPr>
              <w:t>符合国家标准或者行业标准的规定。</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54</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编制安全评价报告</w:t>
            </w:r>
          </w:p>
        </w:tc>
        <w:tc>
          <w:tcPr>
            <w:tcW w:w="0" w:type="auto"/>
            <w:noWrap w:val="0"/>
            <w:vAlign w:val="center"/>
          </w:tcPr>
          <w:p>
            <w:pPr>
              <w:spacing w:line="320" w:lineRule="exact"/>
              <w:rPr>
                <w:rFonts w:ascii="Times New Roman" w:hAnsi="Times New Roman"/>
                <w:szCs w:val="21"/>
              </w:rPr>
            </w:pPr>
            <w:r>
              <w:rPr>
                <w:rFonts w:ascii="Times New Roman" w:hAnsi="宋体"/>
                <w:szCs w:val="21"/>
              </w:rPr>
              <w:t>危险化学品安全经营许可</w:t>
            </w:r>
          </w:p>
        </w:tc>
        <w:tc>
          <w:tcPr>
            <w:tcW w:w="3116" w:type="dxa"/>
            <w:noWrap w:val="0"/>
            <w:vAlign w:val="center"/>
          </w:tcPr>
          <w:p>
            <w:pPr>
              <w:overflowPunct w:val="0"/>
              <w:autoSpaceDE w:val="0"/>
              <w:autoSpaceDN w:val="0"/>
              <w:adjustRightInd w:val="0"/>
              <w:snapToGrid w:val="0"/>
              <w:spacing w:line="320" w:lineRule="exact"/>
              <w:rPr>
                <w:rFonts w:hint="eastAsia" w:ascii="Times New Roman" w:hAnsi="宋体"/>
                <w:spacing w:val="-12"/>
                <w:szCs w:val="21"/>
              </w:rPr>
            </w:pPr>
            <w:r>
              <w:rPr>
                <w:rFonts w:ascii="Times New Roman" w:hAnsi="宋体"/>
                <w:spacing w:val="-12"/>
                <w:szCs w:val="21"/>
              </w:rPr>
              <w:t>【法规】《危险化学品安全管理条例》</w:t>
            </w:r>
          </w:p>
          <w:p>
            <w:pPr>
              <w:overflowPunct w:val="0"/>
              <w:autoSpaceDE w:val="0"/>
              <w:autoSpaceDN w:val="0"/>
              <w:adjustRightInd w:val="0"/>
              <w:snapToGrid w:val="0"/>
              <w:spacing w:line="320" w:lineRule="exact"/>
              <w:rPr>
                <w:rFonts w:ascii="Times New Roman" w:hAnsi="Times New Roman"/>
                <w:spacing w:val="-4"/>
                <w:szCs w:val="21"/>
              </w:rPr>
            </w:pPr>
            <w:r>
              <w:rPr>
                <w:rFonts w:ascii="Times New Roman" w:hAnsi="宋体"/>
                <w:spacing w:val="-4"/>
                <w:szCs w:val="21"/>
              </w:rPr>
              <w:t>第二十二条</w:t>
            </w:r>
            <w:r>
              <w:rPr>
                <w:rFonts w:hint="eastAsia" w:ascii="Times New Roman" w:hAnsi="宋体"/>
                <w:spacing w:val="-4"/>
                <w:szCs w:val="21"/>
              </w:rPr>
              <w:t xml:space="preserve">  </w:t>
            </w:r>
            <w:r>
              <w:rPr>
                <w:rFonts w:ascii="Times New Roman" w:hAnsi="宋体"/>
                <w:spacing w:val="-4"/>
                <w:szCs w:val="21"/>
              </w:rPr>
              <w:t>生产、储存危险化学品的企业，应当委托具备国家规定的资质条件的机构，对本企业的安全生产条件每</w:t>
            </w:r>
            <w:r>
              <w:rPr>
                <w:rFonts w:ascii="Times New Roman" w:hAnsi="Times New Roman"/>
                <w:spacing w:val="-4"/>
                <w:szCs w:val="21"/>
              </w:rPr>
              <w:t>3</w:t>
            </w:r>
            <w:r>
              <w:rPr>
                <w:rFonts w:ascii="Times New Roman" w:hAnsi="宋体"/>
                <w:spacing w:val="-4"/>
                <w:szCs w:val="21"/>
              </w:rPr>
              <w:t>年进行一次安全评价，提出安全评价报告。安全评价报告的内容应当包括对安全生产条件存在的问题进行整改的方案。</w:t>
            </w:r>
          </w:p>
          <w:p>
            <w:pPr>
              <w:overflowPunct w:val="0"/>
              <w:autoSpaceDE w:val="0"/>
              <w:autoSpaceDN w:val="0"/>
              <w:adjustRightInd w:val="0"/>
              <w:snapToGrid w:val="0"/>
              <w:spacing w:line="320" w:lineRule="exact"/>
              <w:rPr>
                <w:rFonts w:hint="eastAsia" w:ascii="Times New Roman" w:hAnsi="宋体"/>
                <w:spacing w:val="-4"/>
                <w:szCs w:val="21"/>
              </w:rPr>
            </w:pPr>
            <w:r>
              <w:rPr>
                <w:rFonts w:ascii="Times New Roman" w:hAnsi="宋体"/>
                <w:spacing w:val="-4"/>
                <w:szCs w:val="21"/>
              </w:rPr>
              <w:t>第三十三条</w:t>
            </w:r>
            <w:r>
              <w:rPr>
                <w:rFonts w:hint="eastAsia" w:ascii="Times New Roman" w:hAnsi="宋体"/>
                <w:spacing w:val="-4"/>
                <w:szCs w:val="21"/>
              </w:rPr>
              <w:t xml:space="preserve">  </w:t>
            </w:r>
            <w:r>
              <w:rPr>
                <w:rFonts w:ascii="Times New Roman" w:hAnsi="宋体"/>
                <w:spacing w:val="-4"/>
                <w:szCs w:val="21"/>
              </w:rPr>
              <w:t>国家对危险化学品经营（包括仓储经营，下同）实行许可制度。未经许可，任何单位和个人不得经营危险化学品。</w:t>
            </w:r>
          </w:p>
          <w:p>
            <w:pPr>
              <w:overflowPunct w:val="0"/>
              <w:autoSpaceDE w:val="0"/>
              <w:autoSpaceDN w:val="0"/>
              <w:adjustRightInd w:val="0"/>
              <w:snapToGrid w:val="0"/>
              <w:spacing w:line="320" w:lineRule="exact"/>
              <w:rPr>
                <w:rFonts w:ascii="Times New Roman" w:hAnsi="Times New Roman"/>
                <w:spacing w:val="-6"/>
                <w:szCs w:val="21"/>
              </w:rPr>
            </w:pPr>
            <w:r>
              <w:rPr>
                <w:rFonts w:ascii="Times New Roman" w:hAnsi="宋体"/>
                <w:spacing w:val="-6"/>
                <w:szCs w:val="21"/>
              </w:rPr>
              <w:t>第三十六条</w:t>
            </w:r>
            <w:r>
              <w:rPr>
                <w:rFonts w:hint="eastAsia" w:ascii="Times New Roman" w:hAnsi="宋体"/>
                <w:spacing w:val="-6"/>
                <w:szCs w:val="21"/>
              </w:rPr>
              <w:t xml:space="preserve">  </w:t>
            </w:r>
            <w:r>
              <w:rPr>
                <w:rFonts w:ascii="Times New Roman" w:hAnsi="宋体"/>
                <w:spacing w:val="-6"/>
                <w:szCs w:val="21"/>
              </w:rPr>
              <w:t>危险化学品经营企业储存危险化学品的，应当遵守本条例第二章关于储存危险化学品的规定。危险化学品商店内只能存放民用小包装的危险化学品。</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pacing w:val="-4"/>
                <w:szCs w:val="21"/>
              </w:rPr>
            </w:pPr>
            <w:r>
              <w:rPr>
                <w:rFonts w:ascii="Times New Roman" w:hAnsi="宋体"/>
                <w:spacing w:val="-4"/>
                <w:szCs w:val="21"/>
              </w:rPr>
              <w:t>安全评价报告符合《危险化学品经营企业安全评价细则》的要求</w:t>
            </w:r>
          </w:p>
          <w:p>
            <w:pPr>
              <w:spacing w:line="320" w:lineRule="exact"/>
              <w:rPr>
                <w:rFonts w:ascii="Times New Roman" w:hAnsi="Times New Roman"/>
                <w:szCs w:val="21"/>
              </w:rPr>
            </w:pP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55</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市应急管理局</w:t>
            </w:r>
          </w:p>
        </w:tc>
        <w:tc>
          <w:tcPr>
            <w:tcW w:w="0" w:type="auto"/>
            <w:noWrap w:val="0"/>
            <w:vAlign w:val="center"/>
          </w:tcPr>
          <w:p>
            <w:pPr>
              <w:spacing w:line="320" w:lineRule="exact"/>
              <w:rPr>
                <w:rFonts w:ascii="Times New Roman" w:hAnsi="Times New Roman"/>
                <w:szCs w:val="21"/>
              </w:rPr>
            </w:pPr>
            <w:r>
              <w:rPr>
                <w:rFonts w:ascii="Times New Roman" w:hAnsi="宋体"/>
                <w:szCs w:val="21"/>
              </w:rPr>
              <w:t>编制安全验收评价报告</w:t>
            </w:r>
          </w:p>
        </w:tc>
        <w:tc>
          <w:tcPr>
            <w:tcW w:w="0" w:type="auto"/>
            <w:noWrap w:val="0"/>
            <w:vAlign w:val="center"/>
          </w:tcPr>
          <w:p>
            <w:pPr>
              <w:spacing w:line="320" w:lineRule="exact"/>
              <w:rPr>
                <w:rFonts w:ascii="Times New Roman" w:hAnsi="Times New Roman"/>
                <w:szCs w:val="21"/>
              </w:rPr>
            </w:pPr>
            <w:r>
              <w:rPr>
                <w:rFonts w:ascii="Times New Roman" w:hAnsi="宋体"/>
                <w:spacing w:val="-4"/>
                <w:szCs w:val="21"/>
              </w:rPr>
              <w:t>矿山、金属冶炼建设项目和用于生产、储存危险物品的建设项目</w:t>
            </w:r>
            <w:r>
              <w:rPr>
                <w:rFonts w:ascii="Times New Roman" w:hAnsi="宋体"/>
                <w:szCs w:val="21"/>
              </w:rPr>
              <w:t>安全许可</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【法律】《中华人民共和国安全生产法》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第三十四条</w:t>
            </w:r>
            <w:r>
              <w:rPr>
                <w:rFonts w:hint="eastAsia" w:ascii="Times New Roman" w:hAnsi="宋体"/>
                <w:szCs w:val="21"/>
              </w:rPr>
              <w:t xml:space="preserve">  </w:t>
            </w:r>
            <w:r>
              <w:rPr>
                <w:rFonts w:ascii="Times New Roman" w:hAnsi="宋体"/>
                <w:szCs w:val="21"/>
              </w:rPr>
              <w:t>矿山、金属冶炼建设项目和用于生产、储存、装卸危险物品的建设项目的施工单位必须按照批准的安全设施设计施工，并对安全设施的工程质量负责。</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具备相应资质的安全评价机构</w:t>
            </w:r>
          </w:p>
        </w:tc>
        <w:tc>
          <w:tcPr>
            <w:tcW w:w="2261" w:type="dxa"/>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市场调节价</w:t>
            </w:r>
          </w:p>
        </w:tc>
        <w:tc>
          <w:tcPr>
            <w:tcW w:w="0" w:type="auto"/>
            <w:noWrap w:val="0"/>
            <w:vAlign w:val="center"/>
          </w:tcPr>
          <w:p>
            <w:pPr>
              <w:adjustRightInd w:val="0"/>
              <w:snapToGrid w:val="0"/>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spacing w:line="320" w:lineRule="exact"/>
              <w:rPr>
                <w:rFonts w:ascii="Times New Roman" w:hAnsi="Times New Roman"/>
                <w:szCs w:val="21"/>
              </w:rPr>
            </w:pPr>
            <w:r>
              <w:rPr>
                <w:rFonts w:ascii="Times New Roman" w:hAnsi="宋体"/>
                <w:spacing w:val="-4"/>
                <w:szCs w:val="21"/>
              </w:rPr>
              <w:t>建设项目安全验收评价报告应当符合《危险化学品建设项目安全评价细则》的要求</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56</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市气象局</w:t>
            </w:r>
          </w:p>
        </w:tc>
        <w:tc>
          <w:tcPr>
            <w:tcW w:w="0" w:type="auto"/>
            <w:noWrap w:val="0"/>
            <w:vAlign w:val="center"/>
          </w:tcPr>
          <w:p>
            <w:pPr>
              <w:spacing w:line="320" w:lineRule="exact"/>
              <w:rPr>
                <w:rFonts w:ascii="Times New Roman" w:hAnsi="Times New Roman"/>
                <w:szCs w:val="21"/>
              </w:rPr>
            </w:pPr>
            <w:r>
              <w:rPr>
                <w:rFonts w:ascii="Times New Roman" w:hAnsi="宋体"/>
                <w:szCs w:val="21"/>
              </w:rPr>
              <w:t>雷电防护装置设计技术评价（规定的特殊项目）</w:t>
            </w:r>
          </w:p>
        </w:tc>
        <w:tc>
          <w:tcPr>
            <w:tcW w:w="0" w:type="auto"/>
            <w:noWrap w:val="0"/>
            <w:vAlign w:val="center"/>
          </w:tcPr>
          <w:p>
            <w:pPr>
              <w:spacing w:line="320" w:lineRule="exact"/>
              <w:rPr>
                <w:rFonts w:ascii="Times New Roman" w:hAnsi="Times New Roman"/>
                <w:szCs w:val="21"/>
              </w:rPr>
            </w:pPr>
            <w:r>
              <w:rPr>
                <w:rFonts w:ascii="Times New Roman" w:hAnsi="宋体"/>
                <w:szCs w:val="21"/>
              </w:rPr>
              <w:t>雷电防护装置设计审核</w:t>
            </w:r>
          </w:p>
        </w:tc>
        <w:tc>
          <w:tcPr>
            <w:tcW w:w="3116" w:type="dxa"/>
            <w:noWrap w:val="0"/>
            <w:vAlign w:val="center"/>
          </w:tcPr>
          <w:p>
            <w:pPr>
              <w:overflowPunct w:val="0"/>
              <w:autoSpaceDE w:val="0"/>
              <w:autoSpaceDN w:val="0"/>
              <w:adjustRightInd w:val="0"/>
              <w:snapToGrid w:val="0"/>
              <w:spacing w:line="280" w:lineRule="exact"/>
              <w:rPr>
                <w:rFonts w:ascii="Times New Roman" w:hAnsi="Times New Roman"/>
                <w:spacing w:val="-8"/>
                <w:szCs w:val="21"/>
              </w:rPr>
            </w:pPr>
            <w:r>
              <w:rPr>
                <w:rFonts w:ascii="Times New Roman" w:hAnsi="宋体"/>
                <w:spacing w:val="-8"/>
                <w:szCs w:val="21"/>
              </w:rPr>
              <w:t>【法律】《中华人民共和国气象法》</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第三十一条：各级气象主管机构应当加强对雷电灾害防御工作的组织管理，并会同有关部门指导对可能遭受雷击的建筑物、构筑物和其他设施安装的雷电灾害防护装置的检测工作。</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安装的雷电灾害防护装置应当符合国务院气象主管机构规定的使用要求。</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【法规】《气象灾害防御条例》</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第二十三条：各类建（构）筑物、场所和设施安装雷电防护装置应当符合国家有关防雷标准的规定。新建、改建、扩建建（构）筑物、场所和设施的雷电防护装置应当与主体工程同时设计、同时施工、同时投入使用。</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新建、改建、扩建建设工程雷电防护装置的设计、施工，可以由取得相应建设、公路、水路、铁路、民航、水利、电力、核电、通信等专业工程设计、施工资质的单位承担。</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房屋建筑、市政基础设施、公路、水路、铁路、民航、水利、电力、核电、通信等建设工程的主管部门，负责相应领域内建设工程的防雷管理。</w:t>
            </w:r>
          </w:p>
          <w:p>
            <w:pPr>
              <w:overflowPunct w:val="0"/>
              <w:autoSpaceDE w:val="0"/>
              <w:autoSpaceDN w:val="0"/>
              <w:adjustRightInd w:val="0"/>
              <w:snapToGrid w:val="0"/>
              <w:spacing w:line="280" w:lineRule="exact"/>
              <w:rPr>
                <w:rFonts w:ascii="Times New Roman" w:hAnsi="Times New Roman"/>
                <w:spacing w:val="-12"/>
                <w:szCs w:val="21"/>
              </w:rPr>
            </w:pPr>
            <w:r>
              <w:rPr>
                <w:rFonts w:ascii="Times New Roman" w:hAnsi="宋体"/>
                <w:spacing w:val="-12"/>
                <w:szCs w:val="21"/>
              </w:rPr>
              <w:t>【法规】《江苏省气象灾害防御条例》</w:t>
            </w:r>
          </w:p>
          <w:p>
            <w:pPr>
              <w:overflowPunct w:val="0"/>
              <w:autoSpaceDE w:val="0"/>
              <w:autoSpaceDN w:val="0"/>
              <w:adjustRightInd w:val="0"/>
              <w:snapToGrid w:val="0"/>
              <w:spacing w:line="280" w:lineRule="exact"/>
              <w:rPr>
                <w:rFonts w:ascii="Times New Roman" w:hAnsi="Times New Roman"/>
                <w:spacing w:val="-6"/>
                <w:szCs w:val="21"/>
              </w:rPr>
            </w:pPr>
            <w:r>
              <w:rPr>
                <w:rFonts w:ascii="Times New Roman" w:hAnsi="宋体"/>
                <w:spacing w:val="-6"/>
                <w:szCs w:val="21"/>
              </w:rPr>
              <w:t>第三十一条：气象主管机构负责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的防雷装置设计审核和竣工验收。</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前款规定的防雷装置施工图设计文件未经审核或者审核不合格的，建设单位不得交付施工。</w:t>
            </w:r>
            <w:r>
              <w:rPr>
                <w:rFonts w:ascii="Times New Roman" w:hAnsi="宋体"/>
                <w:spacing w:val="-6"/>
                <w:szCs w:val="21"/>
              </w:rPr>
              <w:t>防雷装置竣工验收不合格的，气象主管机构应当责令建设单位限期整改，逾期不整改或者整改不合格的，建设工程不得投入使用。</w:t>
            </w:r>
          </w:p>
          <w:p>
            <w:pPr>
              <w:overflowPunct w:val="0"/>
              <w:autoSpaceDE w:val="0"/>
              <w:autoSpaceDN w:val="0"/>
              <w:adjustRightInd w:val="0"/>
              <w:snapToGrid w:val="0"/>
              <w:spacing w:line="280" w:lineRule="exact"/>
              <w:rPr>
                <w:rFonts w:ascii="Times New Roman" w:hAnsi="Times New Roman"/>
                <w:szCs w:val="21"/>
              </w:rPr>
            </w:pPr>
            <w:r>
              <w:rPr>
                <w:rFonts w:ascii="Times New Roman" w:hAnsi="宋体"/>
                <w:szCs w:val="21"/>
              </w:rPr>
              <w:t>房屋建筑和市政基础设施工程以及公路、水路、铁路、民航、</w:t>
            </w:r>
            <w:r>
              <w:rPr>
                <w:rFonts w:ascii="Times New Roman" w:hAnsi="宋体"/>
                <w:spacing w:val="-6"/>
                <w:szCs w:val="21"/>
              </w:rPr>
              <w:t>水利、电力、核电、通信等专业建设工程防雷装置应当符合国家规定的防雷技术规范和标准，由有关行政部门负责管理和监督。</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具备相应资质的防雷设计技术评价中介机构</w:t>
            </w:r>
          </w:p>
        </w:tc>
        <w:tc>
          <w:tcPr>
            <w:tcW w:w="2261" w:type="dxa"/>
            <w:noWrap w:val="0"/>
            <w:vAlign w:val="center"/>
          </w:tcPr>
          <w:p>
            <w:pPr>
              <w:spacing w:line="320" w:lineRule="exact"/>
              <w:jc w:val="center"/>
              <w:rPr>
                <w:rFonts w:ascii="Times New Roman" w:hAnsi="Times New Roman"/>
                <w:szCs w:val="21"/>
              </w:rPr>
            </w:pPr>
            <w:r>
              <w:rPr>
                <w:rFonts w:ascii="Times New Roman" w:hAnsi="宋体"/>
                <w:szCs w:val="21"/>
              </w:rPr>
              <w:t>不收费</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由审批部门委托有关机构开展防雷装置设计技术评价。</w:t>
            </w:r>
          </w:p>
        </w:tc>
        <w:tc>
          <w:tcPr>
            <w:tcW w:w="0" w:type="auto"/>
            <w:noWrap w:val="0"/>
            <w:vAlign w:val="center"/>
          </w:tcPr>
          <w:p>
            <w:pPr>
              <w:spacing w:line="320" w:lineRule="exact"/>
              <w:rPr>
                <w:rFonts w:ascii="Times New Roman" w:hAnsi="Times New Roman"/>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0" w:type="auto"/>
            <w:noWrap w:val="0"/>
            <w:vAlign w:val="center"/>
          </w:tcPr>
          <w:p>
            <w:pPr>
              <w:spacing w:line="320" w:lineRule="exact"/>
              <w:jc w:val="center"/>
              <w:rPr>
                <w:rFonts w:ascii="Times New Roman" w:hAnsi="Times New Roman"/>
                <w:szCs w:val="21"/>
              </w:rPr>
            </w:pPr>
            <w:r>
              <w:rPr>
                <w:rFonts w:ascii="Times New Roman" w:hAnsi="Times New Roman"/>
                <w:szCs w:val="21"/>
              </w:rPr>
              <w:t>57</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市气象局</w:t>
            </w:r>
          </w:p>
        </w:tc>
        <w:tc>
          <w:tcPr>
            <w:tcW w:w="0" w:type="auto"/>
            <w:noWrap w:val="0"/>
            <w:vAlign w:val="center"/>
          </w:tcPr>
          <w:p>
            <w:pPr>
              <w:spacing w:line="320" w:lineRule="exact"/>
              <w:rPr>
                <w:rFonts w:ascii="Times New Roman" w:hAnsi="Times New Roman"/>
                <w:szCs w:val="21"/>
              </w:rPr>
            </w:pPr>
            <w:r>
              <w:rPr>
                <w:rFonts w:ascii="Times New Roman" w:hAnsi="宋体"/>
                <w:szCs w:val="21"/>
              </w:rPr>
              <w:t>新、改、扩建（构）筑物雷电防护装置检测（规定的特殊项目）</w:t>
            </w:r>
          </w:p>
        </w:tc>
        <w:tc>
          <w:tcPr>
            <w:tcW w:w="0" w:type="auto"/>
            <w:noWrap w:val="0"/>
            <w:vAlign w:val="center"/>
          </w:tcPr>
          <w:p>
            <w:pPr>
              <w:spacing w:line="320" w:lineRule="exact"/>
              <w:rPr>
                <w:rFonts w:ascii="Times New Roman" w:hAnsi="Times New Roman"/>
                <w:szCs w:val="21"/>
              </w:rPr>
            </w:pPr>
            <w:r>
              <w:rPr>
                <w:rFonts w:ascii="Times New Roman" w:hAnsi="宋体"/>
                <w:szCs w:val="21"/>
              </w:rPr>
              <w:t>防雷装置竣工验收</w:t>
            </w:r>
          </w:p>
        </w:tc>
        <w:tc>
          <w:tcPr>
            <w:tcW w:w="3116" w:type="dxa"/>
            <w:noWrap w:val="0"/>
            <w:vAlign w:val="center"/>
          </w:tcPr>
          <w:p>
            <w:pPr>
              <w:overflowPunct w:val="0"/>
              <w:autoSpaceDE w:val="0"/>
              <w:autoSpaceDN w:val="0"/>
              <w:adjustRightInd w:val="0"/>
              <w:snapToGrid w:val="0"/>
              <w:spacing w:line="320" w:lineRule="exact"/>
              <w:rPr>
                <w:rFonts w:ascii="Times New Roman" w:hAnsi="Times New Roman"/>
                <w:spacing w:val="-8"/>
                <w:szCs w:val="21"/>
              </w:rPr>
            </w:pPr>
            <w:r>
              <w:rPr>
                <w:rFonts w:ascii="Times New Roman" w:hAnsi="宋体"/>
                <w:spacing w:val="-8"/>
                <w:szCs w:val="21"/>
              </w:rPr>
              <w:t>【法律】《中华人民共和国气象法》</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第三十一条：各级气象主管机构应当加强对雷电灾害防御工作的组织管理，并会同有关部门指导对可能遭受雷击的建筑物、构筑物和其他设施安装的雷电灾害防护装置的检测工作。</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安装的雷电灾害防护装置应当符合国务院气象主管机构规定的使用要求。</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【法规】《气象灾害防御条例》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二十三条：各类建（构）筑物、场所和设施安装雷电防护装置应当符合国家有关防雷标准的规定。新建、改建、扩建建（构）筑物、场所和设施的雷电防护装置应当与主体工程同时设计、同时施工、同时投入使用。</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新建、改建、扩建建设工程雷电防护装置的设计、施工，可以由取得相应建设、公路、水路、铁路、民航、水利、电力、核电、通信等专业工程设计、施工资质的单位承担。</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房屋建筑、市政基础设施、公路、水路、铁路、民航、水利、电力、核电、通信等建设工程的主管部门，负责相应领域内建设工程的防雷管理。</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【法规】《江苏省气象灾害防御条例》</w:t>
            </w:r>
          </w:p>
          <w:p>
            <w:pPr>
              <w:overflowPunct w:val="0"/>
              <w:autoSpaceDE w:val="0"/>
              <w:autoSpaceDN w:val="0"/>
              <w:adjustRightInd w:val="0"/>
              <w:snapToGrid w:val="0"/>
              <w:spacing w:line="320" w:lineRule="exact"/>
              <w:rPr>
                <w:rFonts w:ascii="Times New Roman" w:hAnsi="Times New Roman"/>
                <w:szCs w:val="21"/>
              </w:rPr>
            </w:pPr>
            <w:r>
              <w:rPr>
                <w:rFonts w:ascii="Times New Roman" w:hAnsi="宋体"/>
                <w:szCs w:val="21"/>
              </w:rPr>
              <w:t>第三十一条：气象主管机构负责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的防雷装置设计审核和竣工验收。</w:t>
            </w:r>
          </w:p>
          <w:p>
            <w:pPr>
              <w:overflowPunct w:val="0"/>
              <w:autoSpaceDE w:val="0"/>
              <w:autoSpaceDN w:val="0"/>
              <w:adjustRightInd w:val="0"/>
              <w:snapToGrid w:val="0"/>
              <w:spacing w:line="320" w:lineRule="exact"/>
              <w:rPr>
                <w:rFonts w:ascii="Times New Roman" w:hAnsi="Times New Roman"/>
                <w:spacing w:val="-2"/>
                <w:szCs w:val="21"/>
              </w:rPr>
            </w:pPr>
            <w:r>
              <w:rPr>
                <w:rFonts w:ascii="Times New Roman" w:hAnsi="宋体"/>
                <w:spacing w:val="-2"/>
                <w:szCs w:val="21"/>
              </w:rPr>
              <w:t>前款规定的防雷装置施工图设计文件未经审核或者审核不合格的，建设单位不得交付施工。防雷装置竣工验收不合格的，气象主管机构应当责令建设单位限期整改，逾期不整改或者整改不合格的，建设工程不得投入使用。</w:t>
            </w:r>
          </w:p>
          <w:p>
            <w:pPr>
              <w:overflowPunct w:val="0"/>
              <w:autoSpaceDE w:val="0"/>
              <w:autoSpaceDN w:val="0"/>
              <w:adjustRightInd w:val="0"/>
              <w:snapToGrid w:val="0"/>
              <w:spacing w:line="320" w:lineRule="exact"/>
              <w:rPr>
                <w:rFonts w:ascii="Times New Roman" w:hAnsi="Times New Roman"/>
                <w:spacing w:val="-2"/>
                <w:szCs w:val="21"/>
              </w:rPr>
            </w:pPr>
            <w:r>
              <w:rPr>
                <w:rFonts w:ascii="Times New Roman" w:hAnsi="宋体"/>
                <w:spacing w:val="-2"/>
                <w:szCs w:val="21"/>
              </w:rPr>
              <w:t>房屋建筑和市政基础设施工程以及公路、水路、铁路、民航、水利、电力、核电、通信等专业建设工程防雷装置应当符合国家规定的防雷技术规范和标准，由有关行政部门负责管理和监督。</w:t>
            </w:r>
          </w:p>
        </w:tc>
        <w:tc>
          <w:tcPr>
            <w:tcW w:w="1276" w:type="dxa"/>
            <w:noWrap w:val="0"/>
            <w:vAlign w:val="center"/>
          </w:tcPr>
          <w:p>
            <w:pPr>
              <w:spacing w:line="320" w:lineRule="exact"/>
              <w:rPr>
                <w:rFonts w:ascii="Times New Roman" w:hAnsi="Times New Roman"/>
                <w:szCs w:val="21"/>
              </w:rPr>
            </w:pPr>
            <w:r>
              <w:rPr>
                <w:rFonts w:ascii="Times New Roman" w:hAnsi="宋体"/>
                <w:szCs w:val="21"/>
              </w:rPr>
              <w:t>具备相应资质的防雷检测中介机构</w:t>
            </w:r>
          </w:p>
        </w:tc>
        <w:tc>
          <w:tcPr>
            <w:tcW w:w="2261" w:type="dxa"/>
            <w:noWrap w:val="0"/>
            <w:vAlign w:val="center"/>
          </w:tcPr>
          <w:p>
            <w:pPr>
              <w:spacing w:line="320" w:lineRule="exact"/>
              <w:jc w:val="center"/>
              <w:rPr>
                <w:rFonts w:ascii="Times New Roman" w:hAnsi="Times New Roman"/>
                <w:szCs w:val="21"/>
              </w:rPr>
            </w:pPr>
            <w:r>
              <w:rPr>
                <w:rFonts w:ascii="Times New Roman" w:hAnsi="宋体"/>
                <w:szCs w:val="21"/>
              </w:rPr>
              <w:t>不收费</w:t>
            </w:r>
          </w:p>
        </w:tc>
        <w:tc>
          <w:tcPr>
            <w:tcW w:w="0" w:type="auto"/>
            <w:noWrap w:val="0"/>
            <w:vAlign w:val="center"/>
          </w:tcPr>
          <w:p>
            <w:pPr>
              <w:spacing w:line="320" w:lineRule="exact"/>
              <w:jc w:val="center"/>
              <w:rPr>
                <w:rFonts w:ascii="Times New Roman" w:hAnsi="Times New Roman"/>
                <w:szCs w:val="21"/>
              </w:rPr>
            </w:pPr>
            <w:r>
              <w:rPr>
                <w:rFonts w:ascii="Times New Roman" w:hAnsi="宋体"/>
                <w:szCs w:val="21"/>
              </w:rPr>
              <w:t>双方协商约定</w:t>
            </w:r>
          </w:p>
        </w:tc>
        <w:tc>
          <w:tcPr>
            <w:tcW w:w="0" w:type="auto"/>
            <w:noWrap w:val="0"/>
            <w:vAlign w:val="center"/>
          </w:tcPr>
          <w:p>
            <w:pPr>
              <w:widowControl/>
              <w:spacing w:line="320" w:lineRule="exact"/>
              <w:rPr>
                <w:rFonts w:ascii="Times New Roman" w:hAnsi="Times New Roman"/>
                <w:szCs w:val="21"/>
              </w:rPr>
            </w:pPr>
            <w:r>
              <w:rPr>
                <w:rFonts w:ascii="Times New Roman" w:hAnsi="宋体"/>
                <w:szCs w:val="21"/>
              </w:rPr>
              <w:t>由审批部门委托有关机构开展新、改、扩建（构）筑物雷电防护装置检测。</w:t>
            </w:r>
          </w:p>
        </w:tc>
        <w:tc>
          <w:tcPr>
            <w:tcW w:w="0" w:type="auto"/>
            <w:noWrap w:val="0"/>
            <w:vAlign w:val="center"/>
          </w:tcPr>
          <w:p>
            <w:pPr>
              <w:spacing w:line="320" w:lineRule="exact"/>
              <w:rPr>
                <w:rFonts w:ascii="Times New Roman" w:hAnsi="Times New Roman"/>
                <w:szCs w:val="21"/>
              </w:rPr>
            </w:pPr>
          </w:p>
        </w:tc>
      </w:tr>
      <w:bookmarkEnd w:id="0"/>
    </w:tbl>
    <w:p>
      <w:pPr>
        <w:pStyle w:val="5"/>
        <w:overflowPunct w:val="0"/>
        <w:autoSpaceDE w:val="0"/>
        <w:autoSpaceDN w:val="0"/>
        <w:adjustRightInd w:val="0"/>
        <w:snapToGrid w:val="0"/>
        <w:spacing w:line="500" w:lineRule="exact"/>
        <w:ind w:firstLine="0"/>
        <w:rPr>
          <w:rFonts w:ascii="Times New Roman" w:hAnsi="Times New Roman" w:eastAsia="方正仿宋_GBK"/>
          <w:sz w:val="28"/>
          <w:szCs w:val="28"/>
          <w:lang w:eastAsia="zh-CN"/>
        </w:rPr>
      </w:pPr>
      <w:r>
        <w:rPr>
          <w:rFonts w:ascii="Times New Roman" w:hAnsi="Times New Roman" w:eastAsia="方正仿宋_GBK"/>
          <w:sz w:val="28"/>
          <w:szCs w:val="28"/>
        </w:rPr>
        <w:t>注：</w:t>
      </w:r>
      <w:r>
        <w:rPr>
          <w:rFonts w:ascii="Times New Roman" w:hAnsi="Times New Roman" w:eastAsia="方正仿宋_GBK"/>
          <w:sz w:val="28"/>
          <w:szCs w:val="28"/>
          <w:lang w:eastAsia="zh-CN"/>
        </w:rPr>
        <w:t>1</w:t>
      </w:r>
      <w:r>
        <w:rPr>
          <w:rFonts w:hint="eastAsia" w:ascii="Times New Roman" w:hAnsi="Times New Roman" w:eastAsia="方正仿宋_GBK"/>
          <w:sz w:val="28"/>
          <w:szCs w:val="28"/>
          <w:lang w:eastAsia="zh-CN"/>
        </w:rPr>
        <w:t xml:space="preserve">. </w:t>
      </w:r>
      <w:r>
        <w:rPr>
          <w:rFonts w:ascii="Times New Roman" w:hAnsi="Times New Roman" w:eastAsia="方正仿宋_GBK"/>
          <w:sz w:val="28"/>
          <w:szCs w:val="28"/>
        </w:rPr>
        <w:t>具备</w:t>
      </w:r>
      <w:r>
        <w:rPr>
          <w:rFonts w:ascii="Times New Roman" w:hAnsi="Times New Roman" w:eastAsia="方正仿宋_GBK"/>
          <w:sz w:val="28"/>
          <w:szCs w:val="28"/>
          <w:lang w:eastAsia="zh-CN"/>
        </w:rPr>
        <w:t>相应条件、</w:t>
      </w:r>
      <w:r>
        <w:rPr>
          <w:rFonts w:ascii="Times New Roman" w:hAnsi="Times New Roman" w:eastAsia="方正仿宋_GBK"/>
          <w:sz w:val="28"/>
          <w:szCs w:val="28"/>
        </w:rPr>
        <w:t>相应资质的</w:t>
      </w:r>
      <w:r>
        <w:rPr>
          <w:rFonts w:ascii="Times New Roman" w:hAnsi="Times New Roman" w:eastAsia="方正仿宋_GBK"/>
          <w:sz w:val="28"/>
          <w:szCs w:val="28"/>
          <w:lang w:eastAsia="zh-CN"/>
        </w:rPr>
        <w:t>服务</w:t>
      </w:r>
      <w:r>
        <w:rPr>
          <w:rFonts w:ascii="Times New Roman" w:hAnsi="Times New Roman" w:eastAsia="方正仿宋_GBK"/>
          <w:sz w:val="28"/>
          <w:szCs w:val="28"/>
        </w:rPr>
        <w:t>机构</w:t>
      </w:r>
      <w:r>
        <w:rPr>
          <w:rFonts w:ascii="Times New Roman" w:hAnsi="Times New Roman" w:eastAsia="方正仿宋_GBK"/>
          <w:sz w:val="28"/>
          <w:szCs w:val="28"/>
          <w:lang w:eastAsia="zh-CN"/>
        </w:rPr>
        <w:t>及其要求可具体咨询相关主管部门。</w:t>
      </w:r>
    </w:p>
    <w:p>
      <w:r>
        <w:rPr>
          <w:rFonts w:ascii="Times New Roman" w:hAnsi="Times New Roman" w:eastAsia="方正仿宋_GBK"/>
          <w:sz w:val="28"/>
          <w:szCs w:val="28"/>
          <w:lang w:eastAsia="zh-CN"/>
        </w:rPr>
        <w:t>2</w:t>
      </w:r>
      <w:r>
        <w:rPr>
          <w:rFonts w:hint="eastAsia" w:ascii="Times New Roman" w:hAnsi="Times New Roman" w:eastAsia="方正仿宋_GBK"/>
          <w:sz w:val="28"/>
          <w:szCs w:val="28"/>
          <w:lang w:eastAsia="zh-CN"/>
        </w:rPr>
        <w:t xml:space="preserve">. </w:t>
      </w:r>
      <w:r>
        <w:rPr>
          <w:rFonts w:ascii="Times New Roman" w:hAnsi="Times New Roman" w:eastAsia="方正仿宋_GBK"/>
          <w:w w:val="95"/>
          <w:sz w:val="28"/>
          <w:szCs w:val="28"/>
          <w:lang w:val="en-US" w:eastAsia="zh-CN"/>
        </w:rPr>
        <w:t>本清单针对社会投资领域相关项目，政府投资和使用财政资金的项目，按相关法律法规开展中介服务</w:t>
      </w:r>
      <w:r>
        <w:rPr>
          <w:rFonts w:hint="eastAsia" w:ascii="Times New Roman" w:hAnsi="Times New Roman" w:eastAsia="方正仿宋_GBK"/>
          <w:w w:val="95"/>
          <w:sz w:val="28"/>
          <w:szCs w:val="28"/>
          <w:lang w:val="en-US" w:eastAsia="zh-CN"/>
        </w:rPr>
        <w:t>。</w:t>
      </w:r>
      <w:bookmarkStart w:id="1" w:name="_GoBack"/>
      <w:bookmarkEnd w:id="1"/>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C36C836-1442-40B0-A76E-95BE29EFDD6E}"/>
  </w:font>
  <w:font w:name="方正黑体_GBK">
    <w:altName w:val="Arial Unicode MS"/>
    <w:panose1 w:val="03000509000000000000"/>
    <w:charset w:val="86"/>
    <w:family w:val="script"/>
    <w:pitch w:val="default"/>
    <w:sig w:usb0="00000000" w:usb1="00000000" w:usb2="00000010" w:usb3="00000000" w:csb0="00040000" w:csb1="00000000"/>
    <w:embedRegular r:id="rId2" w:fontKey="{7B8E1802-9534-440E-843E-E6F614F5396D}"/>
  </w:font>
  <w:font w:name="方正小标宋_GBK">
    <w:panose1 w:val="02000000000000000000"/>
    <w:charset w:val="86"/>
    <w:family w:val="script"/>
    <w:pitch w:val="default"/>
    <w:sig w:usb0="A00002BF" w:usb1="38CF7CFA" w:usb2="00082016" w:usb3="00000000" w:csb0="00040001" w:csb1="00000000"/>
    <w:embedRegular r:id="rId3" w:fontKey="{69C7EE6F-A960-4183-8755-A33C3B04B8B6}"/>
  </w:font>
  <w:font w:name="方正仿宋_GBK">
    <w:altName w:val="Arial Unicode MS"/>
    <w:panose1 w:val="03000509000000000000"/>
    <w:charset w:val="86"/>
    <w:family w:val="script"/>
    <w:pitch w:val="default"/>
    <w:sig w:usb0="00000000" w:usb1="00000000" w:usb2="00000010" w:usb3="00000000" w:csb0="00040000" w:csb1="00000000"/>
    <w:embedRegular r:id="rId4" w:fontKey="{D18305C9-FFB4-4DA1-B6A5-02BE13982A43}"/>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00587B"/>
    <w:rsid w:val="05005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customStyle="1" w:styleId="5">
    <w:name w:val="Body text|1"/>
    <w:basedOn w:val="1"/>
    <w:qFormat/>
    <w:uiPriority w:val="0"/>
    <w:pPr>
      <w:spacing w:line="413" w:lineRule="auto"/>
      <w:ind w:firstLine="400"/>
    </w:pPr>
    <w:rPr>
      <w:rFonts w:ascii="宋体" w:hAnsi="宋体"/>
      <w:sz w:val="30"/>
      <w:szCs w:val="30"/>
      <w:lang w:val="zh-TW" w:eastAsia="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2022-01-26T06:25:00Z</dcterms:created>
  <dc:creator>丹丹</dc:creator>
  <cp:lastModifiedBy>丹丹</cp:lastModifiedBy>
  <dcterms:modified xsi:type="dcterms:W3CDTF">2022-01-26T06:26:01Z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9A3B589ADA544BB5B2FC3BA5A1D581F4</vt:lpwstr>
  </property>
</Properties>
</file>