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常州市空中线缆治理提升行动方案</w:t>
      </w:r>
    </w:p>
    <w:p>
      <w:pPr>
        <w:pStyle w:val="2"/>
        <w:spacing w:line="560" w:lineRule="exact"/>
        <w:ind w:left="0" w:leftChars="0"/>
        <w:rPr>
          <w:rFonts w:ascii="Times New Roman" w:hAnsi="Times New Roman" w:cs="Times New Roman"/>
        </w:rPr>
      </w:pPr>
    </w:p>
    <w:p>
      <w:pPr>
        <w:pStyle w:val="3"/>
        <w:rPr>
          <w:rFonts w:ascii="Times New Roman" w:hAnsi="Times New Roman" w:eastAsia="方正仿宋_GBK"/>
          <w:sz w:val="32"/>
          <w:szCs w:val="32"/>
        </w:rPr>
      </w:pPr>
      <w:r>
        <w:rPr>
          <w:rFonts w:hint="eastAsia" w:ascii="Times New Roman" w:hAnsi="Times New Roman" w:eastAsia="方正仿宋_GBK"/>
          <w:sz w:val="32"/>
          <w:szCs w:val="32"/>
        </w:rPr>
        <w:t>为全面规范市区空中线缆设置，切实解决当前主次干道、商业大街、城市社区、背街小巷等部位存在的线缆乱拉乱接、飞线充电等突出</w:t>
      </w:r>
      <w:bookmarkStart w:id="0" w:name="_GoBack"/>
      <w:r>
        <w:rPr>
          <w:rFonts w:hint="eastAsia" w:ascii="Times New Roman" w:hAnsi="Times New Roman" w:eastAsia="方正仿宋_GBK"/>
          <w:sz w:val="32"/>
          <w:szCs w:val="32"/>
        </w:rPr>
        <w:t>问题，不断提升文明城市创建常态长效水平和市民获得感幸福感。根据市委、市政府统一部署，依据《关于健全完善争创全国文明典范城市工作机制的若干意见》（常办发〔2022</w:t>
      </w:r>
      <w:r>
        <w:rPr>
          <w:rFonts w:hint="eastAsia" w:ascii="Times New Roman" w:hAnsi="Times New Roman" w:eastAsia="方正仿宋_GBK"/>
          <w:sz w:val="32"/>
          <w:szCs w:val="32"/>
        </w:rPr>
        <w:t>〕16</w:t>
      </w:r>
      <w:r>
        <w:rPr>
          <w:rFonts w:hint="eastAsia" w:ascii="Times New Roman" w:hAnsi="Times New Roman" w:eastAsia="方正仿宋_GBK"/>
          <w:sz w:val="32"/>
          <w:szCs w:val="32"/>
        </w:rPr>
        <w:t>号）、《关于印发&lt;</w:t>
      </w:r>
      <w:r>
        <w:rPr>
          <w:rFonts w:hint="eastAsia" w:ascii="Times New Roman" w:hAnsi="Times New Roman" w:eastAsia="方正仿宋_GBK"/>
          <w:sz w:val="32"/>
          <w:szCs w:val="32"/>
        </w:rPr>
        <w:t>常州市2022</w:t>
      </w:r>
      <w:r>
        <w:rPr>
          <w:rFonts w:hint="eastAsia" w:ascii="Times New Roman" w:hAnsi="Times New Roman" w:eastAsia="方正仿宋_GBK"/>
          <w:sz w:val="32"/>
          <w:szCs w:val="32"/>
        </w:rPr>
        <w:t>年度争创全国文明典范城市重点攻坚行动方案&gt;</w:t>
      </w:r>
      <w:r>
        <w:rPr>
          <w:rFonts w:hint="eastAsia" w:ascii="Times New Roman" w:hAnsi="Times New Roman" w:eastAsia="方正仿宋_GBK"/>
          <w:sz w:val="32"/>
          <w:szCs w:val="32"/>
        </w:rPr>
        <w:t>的通知》（常建指〔2022〕2号</w:t>
      </w:r>
      <w:r>
        <w:rPr>
          <w:rFonts w:hint="eastAsia" w:ascii="Times New Roman" w:hAnsi="Times New Roman" w:eastAsia="方正仿宋_GBK"/>
          <w:sz w:val="32"/>
          <w:szCs w:val="32"/>
        </w:rPr>
        <w:t>）、《关于印发&lt;</w:t>
      </w:r>
      <w:r>
        <w:rPr>
          <w:rFonts w:hint="eastAsia" w:ascii="Times New Roman" w:hAnsi="Times New Roman" w:eastAsia="方正仿宋_GBK"/>
          <w:sz w:val="32"/>
          <w:szCs w:val="32"/>
        </w:rPr>
        <w:t>常州市文明城市建设与城市长效综合管理、农村人居环境治理融合考核工作方案（试行）&gt;</w:t>
      </w:r>
      <w:r>
        <w:rPr>
          <w:rFonts w:hint="eastAsia" w:ascii="Times New Roman" w:hAnsi="Times New Roman" w:eastAsia="方正仿宋_GBK"/>
          <w:sz w:val="32"/>
          <w:szCs w:val="32"/>
        </w:rPr>
        <w:t>的通知》（常建指〔2022〕3号</w:t>
      </w:r>
      <w:r>
        <w:rPr>
          <w:rFonts w:hint="eastAsia" w:ascii="Times New Roman" w:hAnsi="Times New Roman" w:eastAsia="方正仿宋_GBK"/>
          <w:sz w:val="32"/>
          <w:szCs w:val="32"/>
        </w:rPr>
        <w:t>）及《关于建设2022</w:t>
      </w:r>
      <w:r>
        <w:rPr>
          <w:rFonts w:hint="eastAsia" w:ascii="Times New Roman" w:hAnsi="Times New Roman" w:eastAsia="方正仿宋_GBK"/>
          <w:sz w:val="32"/>
          <w:szCs w:val="32"/>
        </w:rPr>
        <w:t>年常州市争创全国文明典范城市实地样本示范点的通知》（常建指〔2022〕4号</w:t>
      </w:r>
      <w:r>
        <w:rPr>
          <w:rFonts w:hint="eastAsia" w:ascii="Times New Roman" w:hAnsi="Times New Roman" w:eastAsia="方正仿宋_GBK"/>
          <w:sz w:val="32"/>
          <w:szCs w:val="32"/>
        </w:rPr>
        <w:t>），遵循标本兼治、建管并重、疏堵结合、全民参与的原则，经研究，决定开展市区空中线缆治理提升行动。现制定如下工作方</w:t>
      </w:r>
      <w:bookmarkEnd w:id="0"/>
      <w:r>
        <w:rPr>
          <w:rFonts w:hint="eastAsia" w:ascii="Times New Roman" w:hAnsi="Times New Roman" w:eastAsia="方正仿宋_GBK"/>
          <w:sz w:val="32"/>
          <w:szCs w:val="32"/>
        </w:rPr>
        <w:t>案：</w:t>
      </w:r>
    </w:p>
    <w:p>
      <w:pPr>
        <w:spacing w:line="56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一、总体要求</w:t>
      </w:r>
    </w:p>
    <w:p>
      <w:pPr>
        <w:pStyle w:val="3"/>
        <w:rPr>
          <w:rFonts w:ascii="Times New Roman" w:hAnsi="Times New Roman" w:eastAsia="方正仿宋_GBK"/>
          <w:sz w:val="32"/>
          <w:szCs w:val="32"/>
        </w:rPr>
      </w:pPr>
      <w:r>
        <w:rPr>
          <w:rFonts w:hint="eastAsia" w:ascii="Times New Roman" w:hAnsi="Times New Roman" w:eastAsia="方正仿宋_GBK"/>
          <w:sz w:val="32"/>
          <w:szCs w:val="32"/>
        </w:rPr>
        <w:t>围绕信仰坚定、崇德尚善、文化厚重、和谐宜居、人民满意的建设目标，立足《全国文明城市测评体系》和《常州市建设典范性全国文明城市三年行动计划（</w:t>
      </w:r>
      <w:r>
        <w:rPr>
          <w:rFonts w:ascii="Times New Roman" w:hAnsi="Times New Roman" w:eastAsia="方正仿宋_GBK"/>
          <w:sz w:val="32"/>
          <w:szCs w:val="32"/>
        </w:rPr>
        <w:t>2021-2023</w:t>
      </w:r>
      <w:r>
        <w:rPr>
          <w:rFonts w:hint="eastAsia" w:ascii="Times New Roman" w:hAnsi="Times New Roman" w:eastAsia="方正仿宋_GBK"/>
          <w:sz w:val="32"/>
          <w:szCs w:val="32"/>
        </w:rPr>
        <w:t>）年》相关要求，大力开展市空中线缆治理提升行动，集中力量、彻底解决因强弱电管线设置不规范造成的安全隐患和城市乱象问题，打造整洁、清爽的城市公共空间，为广大市民营造更加舒适的生活环境，努力建设更高水平、人民满意的全国文明城市。</w:t>
      </w:r>
    </w:p>
    <w:p>
      <w:pPr>
        <w:spacing w:line="56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二、治理范围</w:t>
      </w:r>
    </w:p>
    <w:p>
      <w:pPr>
        <w:pStyle w:val="3"/>
        <w:rPr>
          <w:rFonts w:ascii="Times New Roman" w:hAnsi="Times New Roman" w:eastAsia="方正仿宋_GBK"/>
          <w:color w:val="548DD4"/>
          <w:spacing w:val="-2"/>
        </w:rPr>
      </w:pPr>
      <w:r>
        <w:rPr>
          <w:rFonts w:hint="eastAsia" w:ascii="Times New Roman" w:hAnsi="Times New Roman" w:eastAsia="方正仿宋_GBK"/>
          <w:sz w:val="32"/>
          <w:szCs w:val="32"/>
        </w:rPr>
        <w:t>此次治理范围围绕主次干道、商业大街、背街小巷、地铁车站及公交中心站周边、交通场站周边、集贸市场周边、商场及超市周边、公共广场、公园、城市社区（居民小区）</w:t>
      </w:r>
      <w:r>
        <w:rPr>
          <w:rFonts w:ascii="Times New Roman" w:hAnsi="Times New Roman" w:eastAsia="方正仿宋_GBK"/>
          <w:sz w:val="32"/>
          <w:szCs w:val="32"/>
        </w:rPr>
        <w:t>10</w:t>
      </w:r>
      <w:r>
        <w:rPr>
          <w:rFonts w:hint="eastAsia" w:ascii="Times New Roman" w:hAnsi="Times New Roman" w:eastAsia="方正仿宋_GBK"/>
          <w:sz w:val="32"/>
          <w:szCs w:val="32"/>
        </w:rPr>
        <w:t>个考察点展开，覆盖市、区</w:t>
      </w:r>
      <w:r>
        <w:rPr>
          <w:rFonts w:ascii="Times New Roman" w:hAnsi="Times New Roman" w:eastAsia="方正仿宋_GBK"/>
          <w:sz w:val="32"/>
          <w:szCs w:val="32"/>
        </w:rPr>
        <w:t>110</w:t>
      </w:r>
      <w:r>
        <w:rPr>
          <w:rFonts w:hint="eastAsia" w:ascii="Times New Roman" w:hAnsi="Times New Roman" w:eastAsia="方正仿宋_GBK"/>
          <w:sz w:val="32"/>
          <w:szCs w:val="32"/>
        </w:rPr>
        <w:t>个争创全国文明典范城市实地样本示范点，针对线缆施工不规范、私拉乱接、废弃杆缆未清理、通讯交换箱等通信设施设置不合理等问题进行治理提升。</w:t>
      </w:r>
    </w:p>
    <w:p>
      <w:pPr>
        <w:spacing w:line="56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三、治理重点</w:t>
      </w:r>
    </w:p>
    <w:p>
      <w:pPr>
        <w:spacing w:line="560" w:lineRule="exact"/>
        <w:ind w:firstLine="616" w:firstLineChars="200"/>
        <w:rPr>
          <w:rFonts w:ascii="Times New Roman" w:hAnsi="Times New Roman" w:eastAsia="方正仿宋_GBK"/>
          <w:sz w:val="32"/>
          <w:szCs w:val="32"/>
        </w:rPr>
      </w:pPr>
      <w:r>
        <w:rPr>
          <w:rFonts w:hint="eastAsia" w:ascii="楷体" w:hAnsi="楷体" w:eastAsia="楷体" w:cs="楷体"/>
          <w:spacing w:val="-6"/>
          <w:sz w:val="32"/>
          <w:szCs w:val="32"/>
        </w:rPr>
        <w:t>（一）电力设施治理。</w:t>
      </w:r>
      <w:r>
        <w:rPr>
          <w:rFonts w:hint="eastAsia" w:ascii="Times New Roman" w:hAnsi="Times New Roman" w:eastAsia="方正仿宋_GBK"/>
          <w:spacing w:val="-6"/>
          <w:sz w:val="32"/>
          <w:szCs w:val="32"/>
        </w:rPr>
        <w:t>重点治理中低压环网柜、箱变、电缆分支箱、电表箱锈蚀、老化以及电力线路老化等问题，加强供配电设施设备维修维护，对锈蚀、老化严重的进行全面更换，彻底消除安全隐患。老旧小区电线要进行拆旧换新，安装漏电保护开关等安全措施，保障居民用电需求和生命财产安全。治理“飞线充电”、违规接电经营、接线偷电等各类私拉乱接行为，对废弃电力线路、“断头”电线等进行全面清理。（责任单位：市发改委、公安局、住建局、供电公司等常州市小区电线私拉乱接专项整治工作小组成员单位）</w:t>
      </w:r>
    </w:p>
    <w:p>
      <w:pPr>
        <w:spacing w:line="560" w:lineRule="exact"/>
        <w:ind w:firstLine="616" w:firstLineChars="200"/>
        <w:rPr>
          <w:rFonts w:ascii="Times New Roman" w:hAnsi="Times New Roman" w:eastAsia="方正仿宋_GBK"/>
          <w:color w:val="C00000"/>
          <w:sz w:val="32"/>
          <w:szCs w:val="32"/>
        </w:rPr>
      </w:pPr>
      <w:r>
        <w:rPr>
          <w:rFonts w:hint="eastAsia" w:ascii="楷体" w:hAnsi="楷体" w:eastAsia="楷体" w:cs="楷体"/>
          <w:spacing w:val="-6"/>
          <w:sz w:val="32"/>
          <w:szCs w:val="32"/>
        </w:rPr>
        <w:t>（二）弱电管线治理。</w:t>
      </w:r>
      <w:r>
        <w:rPr>
          <w:rFonts w:hint="eastAsia" w:ascii="Times New Roman" w:hAnsi="Times New Roman" w:eastAsia="方正仿宋_GBK"/>
          <w:spacing w:val="-6"/>
          <w:sz w:val="32"/>
          <w:szCs w:val="32"/>
        </w:rPr>
        <w:t>各线路产权管理单位对线缆工程开展自查自纠，对没有按照规划要求施工，未下地、未束紧、未架高、未套管的过街线缆全面整改。重点治理凌空架设、私拉乱接、墙面管线杂乱、废弃管线未清除等各类通信管线铺装、使用不规范问题，全面消除“蜘蛛网”。要依据现状，采取整理和规范相结合的方式集中治理，将各类通信管线统一路径，规范接入到户，严禁个人私拉乱接。对建筑外立面线路重新规整，在规划的空中通道内建设，沿墙走直线、拐角成</w:t>
      </w:r>
      <w:r>
        <w:rPr>
          <w:rFonts w:ascii="Times New Roman" w:hAnsi="Times New Roman" w:eastAsia="方正仿宋_GBK"/>
          <w:spacing w:val="-6"/>
          <w:sz w:val="32"/>
          <w:szCs w:val="32"/>
        </w:rPr>
        <w:t>90</w:t>
      </w:r>
      <w:r>
        <w:rPr>
          <w:rFonts w:hint="eastAsia" w:ascii="Times New Roman" w:hAnsi="Times New Roman" w:eastAsia="方正仿宋_GBK"/>
          <w:spacing w:val="-6"/>
          <w:sz w:val="32"/>
          <w:szCs w:val="32"/>
        </w:rPr>
        <w:t>度，同一墙面线路尽可能平行。对不便整规的要重新铺设，对废弃的通信管线要全面清除。对因线路改造等原因长期不用的线杆、线缆，组织力量予以拆除。（责任单位：市公安局、市通管办、电信分公司、移动分公司、联通分公司、广电网络公司、城投集团）</w:t>
      </w:r>
    </w:p>
    <w:p>
      <w:pPr>
        <w:spacing w:line="560" w:lineRule="exact"/>
        <w:ind w:firstLine="616" w:firstLineChars="200"/>
        <w:rPr>
          <w:rFonts w:ascii="Times New Roman" w:hAnsi="Times New Roman" w:eastAsia="方正仿宋_GBK"/>
          <w:color w:val="C00000"/>
          <w:sz w:val="32"/>
          <w:szCs w:val="32"/>
        </w:rPr>
      </w:pPr>
      <w:r>
        <w:rPr>
          <w:rFonts w:hint="eastAsia" w:ascii="楷体" w:hAnsi="楷体" w:eastAsia="楷体" w:cs="楷体"/>
          <w:spacing w:val="-6"/>
          <w:sz w:val="32"/>
          <w:szCs w:val="32"/>
        </w:rPr>
        <w:t>（三）配套设施建设</w:t>
      </w:r>
      <w:r>
        <w:rPr>
          <w:rFonts w:hint="eastAsia" w:ascii="Times New Roman" w:hAnsi="Times New Roman" w:eastAsia="方正仿宋_GBK"/>
          <w:spacing w:val="-6"/>
          <w:sz w:val="32"/>
          <w:szCs w:val="32"/>
        </w:rPr>
        <w:t>。坚持“疏堵结合、整建并举”，在全面取缔私拉乱接管线的同时，充分考虑群众生活需求，在居住小区、市场商城等内部，精心选择合适区域，高标准、统一规划设置电动自行车充电设施，为居民充电提供舒适、便利和安全的环境。（责任单位：市住建局、供电公司）</w:t>
      </w:r>
    </w:p>
    <w:p>
      <w:pPr>
        <w:pStyle w:val="2"/>
        <w:spacing w:line="560" w:lineRule="exact"/>
        <w:ind w:left="0" w:leftChars="0" w:firstLine="616" w:firstLineChars="200"/>
        <w:rPr>
          <w:rFonts w:ascii="Times New Roman" w:hAnsi="Times New Roman" w:eastAsia="方正仿宋_GBK" w:cs="Times New Roman"/>
          <w:b w:val="0"/>
          <w:bCs w:val="0"/>
          <w:spacing w:val="-6"/>
        </w:rPr>
      </w:pPr>
      <w:r>
        <w:rPr>
          <w:rFonts w:hint="eastAsia" w:ascii="楷体" w:hAnsi="楷体" w:eastAsia="楷体" w:cs="楷体"/>
          <w:b w:val="0"/>
          <w:bCs w:val="0"/>
          <w:spacing w:val="-6"/>
        </w:rPr>
        <w:t>（四）长效机制建设。</w:t>
      </w:r>
      <w:r>
        <w:rPr>
          <w:rFonts w:hint="eastAsia" w:ascii="Times New Roman" w:hAnsi="Times New Roman" w:eastAsia="方正仿宋_GBK" w:cs="Times New Roman"/>
          <w:b w:val="0"/>
          <w:bCs w:val="0"/>
          <w:spacing w:val="-6"/>
        </w:rPr>
        <w:t>根据此次治理情况，进一步修订完善城市公共空间强电、弱电管线建设及整规导则，研究制定城市公共空间强弱电管线管理办法，建立健全源头规划、施工报备、工程验收、日常监管、信息共享等机制，切实加强常态长效管理，从源头上化解各类管线铺装设置杂乱、不规范等现象。（责任单位：市文明办、市发改委、市工信局、市通管办）</w:t>
      </w:r>
    </w:p>
    <w:p>
      <w:pPr>
        <w:pStyle w:val="2"/>
        <w:spacing w:line="560" w:lineRule="exact"/>
        <w:ind w:left="0" w:leftChars="0" w:firstLine="640" w:firstLineChars="200"/>
        <w:rPr>
          <w:rFonts w:ascii="Times New Roman" w:hAnsi="Times New Roman" w:eastAsia="方正黑体_GBK" w:cs="Times New Roman"/>
          <w:b w:val="0"/>
          <w:bCs w:val="0"/>
        </w:rPr>
      </w:pPr>
      <w:r>
        <w:rPr>
          <w:rFonts w:hint="eastAsia" w:ascii="Times New Roman" w:hAnsi="Times New Roman" w:eastAsia="方正黑体_GBK" w:cs="Times New Roman"/>
          <w:b w:val="0"/>
          <w:bCs w:val="0"/>
        </w:rPr>
        <w:t>四、实施计划</w:t>
      </w:r>
    </w:p>
    <w:p>
      <w:pPr>
        <w:spacing w:line="560" w:lineRule="exact"/>
        <w:ind w:firstLine="640" w:firstLineChars="200"/>
        <w:rPr>
          <w:rFonts w:ascii="Times New Roman" w:hAnsi="Times New Roman" w:eastAsia="方正仿宋_GBK"/>
          <w:color w:val="000000"/>
          <w:kern w:val="0"/>
          <w:sz w:val="32"/>
          <w:szCs w:val="32"/>
        </w:rPr>
      </w:pPr>
      <w:r>
        <w:rPr>
          <w:rFonts w:hint="eastAsia" w:ascii="Times New Roman" w:hAnsi="Times New Roman" w:eastAsia="方正仿宋_GBK"/>
          <w:color w:val="000000"/>
          <w:kern w:val="0"/>
          <w:sz w:val="32"/>
          <w:szCs w:val="32"/>
        </w:rPr>
        <w:t>此次专项治理工作，按照“分类施策、全面覆盖”的思路，总体分五个阶段组织实施。</w:t>
      </w:r>
    </w:p>
    <w:p>
      <w:pPr>
        <w:spacing w:line="560" w:lineRule="exact"/>
        <w:ind w:firstLine="640" w:firstLineChars="200"/>
        <w:rPr>
          <w:rFonts w:ascii="Times New Roman" w:hAnsi="Times New Roman" w:eastAsia="方正仿宋_GBK"/>
          <w:color w:val="000000"/>
          <w:kern w:val="0"/>
          <w:sz w:val="32"/>
          <w:szCs w:val="32"/>
        </w:rPr>
      </w:pPr>
      <w:r>
        <w:rPr>
          <w:rFonts w:hint="eastAsia" w:ascii="Times New Roman" w:hAnsi="Times New Roman" w:eastAsia="方正楷体_GBK"/>
          <w:color w:val="000000"/>
          <w:kern w:val="0"/>
          <w:sz w:val="32"/>
          <w:szCs w:val="32"/>
        </w:rPr>
        <w:t>（一）前期准备阶段（</w:t>
      </w:r>
      <w:r>
        <w:rPr>
          <w:rFonts w:ascii="Times New Roman" w:hAnsi="Times New Roman" w:eastAsia="方正楷体_GBK"/>
          <w:color w:val="000000"/>
          <w:kern w:val="0"/>
          <w:sz w:val="32"/>
          <w:szCs w:val="32"/>
        </w:rPr>
        <w:t>4</w:t>
      </w:r>
      <w:r>
        <w:rPr>
          <w:rFonts w:hint="eastAsia" w:ascii="Times New Roman" w:hAnsi="Times New Roman" w:eastAsia="方正楷体_GBK"/>
          <w:color w:val="000000"/>
          <w:kern w:val="0"/>
          <w:sz w:val="32"/>
          <w:szCs w:val="32"/>
        </w:rPr>
        <w:t>月</w:t>
      </w:r>
      <w:r>
        <w:rPr>
          <w:rFonts w:ascii="Times New Roman" w:hAnsi="Times New Roman" w:eastAsia="方正楷体_GBK"/>
          <w:color w:val="000000"/>
          <w:kern w:val="0"/>
          <w:sz w:val="32"/>
          <w:szCs w:val="32"/>
        </w:rPr>
        <w:t>25</w:t>
      </w:r>
      <w:r>
        <w:rPr>
          <w:rFonts w:hint="eastAsia" w:ascii="Times New Roman" w:hAnsi="Times New Roman" w:eastAsia="方正楷体_GBK"/>
          <w:color w:val="000000"/>
          <w:kern w:val="0"/>
          <w:sz w:val="32"/>
          <w:szCs w:val="32"/>
        </w:rPr>
        <w:t>日前）</w:t>
      </w:r>
      <w:r>
        <w:rPr>
          <w:rFonts w:hint="eastAsia" w:ascii="Times New Roman" w:hAnsi="Times New Roman" w:eastAsia="方正仿宋_GBK"/>
          <w:color w:val="000000"/>
          <w:kern w:val="0"/>
          <w:sz w:val="32"/>
          <w:szCs w:val="32"/>
        </w:rPr>
        <w:t>。市工信局拟制《市空中线缆治理提升行动方案》，制定实施举措，明确责任分工。召开任务部署会，各责任单位根据会议要求分解任务，拟制计划，并现场签订《市空中线缆治理提升行动责任书》。行动方案、责任书及有关准备情况报市建指办综合组。各责任单位每月</w:t>
      </w:r>
      <w:r>
        <w:rPr>
          <w:rFonts w:ascii="Times New Roman" w:hAnsi="Times New Roman" w:eastAsia="方正仿宋_GBK"/>
          <w:color w:val="000000"/>
          <w:kern w:val="0"/>
          <w:sz w:val="32"/>
          <w:szCs w:val="32"/>
        </w:rPr>
        <w:t>25</w:t>
      </w:r>
      <w:r>
        <w:rPr>
          <w:rFonts w:hint="eastAsia" w:ascii="Times New Roman" w:hAnsi="Times New Roman" w:eastAsia="方正仿宋_GBK"/>
          <w:color w:val="000000"/>
          <w:kern w:val="0"/>
          <w:sz w:val="32"/>
          <w:szCs w:val="32"/>
        </w:rPr>
        <w:t>日前将治理进展情况上报市工信局，由工信局汇总后上报指挥部。</w:t>
      </w:r>
    </w:p>
    <w:p>
      <w:pPr>
        <w:spacing w:line="560" w:lineRule="exact"/>
        <w:ind w:firstLine="640" w:firstLineChars="200"/>
        <w:rPr>
          <w:rFonts w:ascii="Times New Roman" w:hAnsi="Times New Roman" w:eastAsia="方正仿宋_GBK"/>
          <w:color w:val="000000"/>
          <w:kern w:val="0"/>
          <w:sz w:val="32"/>
          <w:szCs w:val="32"/>
        </w:rPr>
      </w:pPr>
      <w:r>
        <w:rPr>
          <w:rFonts w:hint="eastAsia" w:ascii="Times New Roman" w:hAnsi="Times New Roman" w:eastAsia="方正楷体_GBK"/>
          <w:color w:val="000000"/>
          <w:kern w:val="0"/>
          <w:sz w:val="32"/>
          <w:szCs w:val="32"/>
        </w:rPr>
        <w:t>（二）全面排查阶段（</w:t>
      </w:r>
      <w:r>
        <w:rPr>
          <w:rFonts w:ascii="Times New Roman" w:hAnsi="Times New Roman" w:eastAsia="方正楷体_GBK"/>
          <w:color w:val="000000"/>
          <w:kern w:val="0"/>
          <w:sz w:val="32"/>
          <w:szCs w:val="32"/>
        </w:rPr>
        <w:t>4</w:t>
      </w:r>
      <w:r>
        <w:rPr>
          <w:rFonts w:hint="eastAsia" w:ascii="Times New Roman" w:hAnsi="Times New Roman" w:eastAsia="方正楷体_GBK"/>
          <w:color w:val="000000"/>
          <w:kern w:val="0"/>
          <w:sz w:val="32"/>
          <w:szCs w:val="32"/>
        </w:rPr>
        <w:t>月</w:t>
      </w:r>
      <w:r>
        <w:rPr>
          <w:rFonts w:ascii="Times New Roman" w:hAnsi="Times New Roman" w:eastAsia="方正楷体_GBK"/>
          <w:color w:val="000000"/>
          <w:kern w:val="0"/>
          <w:sz w:val="32"/>
          <w:szCs w:val="32"/>
        </w:rPr>
        <w:t>26</w:t>
      </w:r>
      <w:r>
        <w:rPr>
          <w:rFonts w:hint="eastAsia" w:ascii="Times New Roman" w:hAnsi="Times New Roman" w:eastAsia="方正楷体_GBK"/>
          <w:color w:val="000000"/>
          <w:kern w:val="0"/>
          <w:sz w:val="32"/>
          <w:szCs w:val="32"/>
        </w:rPr>
        <w:t>日至</w:t>
      </w:r>
      <w:r>
        <w:rPr>
          <w:rFonts w:ascii="Times New Roman" w:hAnsi="Times New Roman" w:eastAsia="方正楷体_GBK"/>
          <w:color w:val="000000"/>
          <w:kern w:val="0"/>
          <w:sz w:val="32"/>
          <w:szCs w:val="32"/>
        </w:rPr>
        <w:t>5</w:t>
      </w:r>
      <w:r>
        <w:rPr>
          <w:rFonts w:hint="eastAsia" w:ascii="Times New Roman" w:hAnsi="Times New Roman" w:eastAsia="方正楷体_GBK"/>
          <w:color w:val="000000"/>
          <w:kern w:val="0"/>
          <w:sz w:val="32"/>
          <w:szCs w:val="32"/>
        </w:rPr>
        <w:t>月</w:t>
      </w:r>
      <w:r>
        <w:rPr>
          <w:rFonts w:ascii="Times New Roman" w:hAnsi="Times New Roman" w:eastAsia="方正楷体_GBK"/>
          <w:color w:val="000000"/>
          <w:kern w:val="0"/>
          <w:sz w:val="32"/>
          <w:szCs w:val="32"/>
        </w:rPr>
        <w:t>31</w:t>
      </w:r>
      <w:r>
        <w:rPr>
          <w:rFonts w:hint="eastAsia" w:ascii="Times New Roman" w:hAnsi="Times New Roman" w:eastAsia="方正楷体_GBK"/>
          <w:color w:val="000000"/>
          <w:kern w:val="0"/>
          <w:sz w:val="32"/>
          <w:szCs w:val="32"/>
        </w:rPr>
        <w:t>日）。</w:t>
      </w:r>
      <w:r>
        <w:rPr>
          <w:rFonts w:hint="eastAsia" w:ascii="Times New Roman" w:hAnsi="Times New Roman" w:eastAsia="方正仿宋_GBK"/>
          <w:color w:val="000000"/>
          <w:kern w:val="0"/>
          <w:sz w:val="32"/>
          <w:szCs w:val="32"/>
        </w:rPr>
        <w:t>各责任单位严格对照此次治理范围、重点内容和工作要求，组织对</w:t>
      </w:r>
      <w:r>
        <w:rPr>
          <w:rFonts w:hint="eastAsia" w:ascii="Times New Roman" w:hAnsi="Times New Roman" w:eastAsia="方正仿宋_GBK"/>
          <w:sz w:val="32"/>
          <w:szCs w:val="32"/>
        </w:rPr>
        <w:t>主次干道、商业大街、背街小巷</w:t>
      </w:r>
      <w:r>
        <w:rPr>
          <w:rFonts w:hint="eastAsia" w:ascii="Times New Roman" w:hAnsi="Times New Roman" w:eastAsia="方正仿宋_GBK"/>
          <w:color w:val="000000"/>
          <w:kern w:val="0"/>
          <w:sz w:val="32"/>
          <w:szCs w:val="32"/>
        </w:rPr>
        <w:t>等</w:t>
      </w:r>
      <w:r>
        <w:rPr>
          <w:rFonts w:ascii="Times New Roman" w:hAnsi="Times New Roman" w:eastAsia="方正仿宋_GBK"/>
          <w:color w:val="000000"/>
          <w:kern w:val="0"/>
          <w:sz w:val="32"/>
          <w:szCs w:val="32"/>
        </w:rPr>
        <w:t>10</w:t>
      </w:r>
      <w:r>
        <w:rPr>
          <w:rFonts w:hint="eastAsia" w:ascii="Times New Roman" w:hAnsi="Times New Roman" w:eastAsia="方正仿宋_GBK"/>
          <w:color w:val="000000"/>
          <w:kern w:val="0"/>
          <w:sz w:val="32"/>
          <w:szCs w:val="32"/>
        </w:rPr>
        <w:t>个考察点区域</w:t>
      </w:r>
      <w:r>
        <w:rPr>
          <w:rFonts w:hint="eastAsia" w:ascii="Times New Roman" w:hAnsi="Times New Roman" w:eastAsia="方正仿宋_GBK"/>
          <w:sz w:val="32"/>
          <w:szCs w:val="32"/>
        </w:rPr>
        <w:t>线缆施工不规范、私拉乱接、废弃杆缆未清理、通讯交换箱</w:t>
      </w:r>
      <w:r>
        <w:rPr>
          <w:rFonts w:hint="eastAsia" w:ascii="Times New Roman" w:hAnsi="Times New Roman" w:eastAsia="方正仿宋_GBK"/>
          <w:color w:val="000000"/>
          <w:kern w:val="0"/>
          <w:sz w:val="32"/>
          <w:szCs w:val="32"/>
        </w:rPr>
        <w:t>设置不合理及存在安全隐患等问题进行拉网式全面排查，按照治理对象类别和问题程度，分类列出治理名单和问题清单。</w:t>
      </w:r>
    </w:p>
    <w:p>
      <w:pPr>
        <w:spacing w:line="560" w:lineRule="exact"/>
        <w:ind w:firstLine="640" w:firstLineChars="200"/>
        <w:rPr>
          <w:rFonts w:ascii="Times New Roman" w:hAnsi="Times New Roman" w:eastAsia="方正仿宋_GBK"/>
          <w:color w:val="000000"/>
          <w:kern w:val="0"/>
          <w:sz w:val="32"/>
          <w:szCs w:val="32"/>
        </w:rPr>
      </w:pPr>
      <w:r>
        <w:rPr>
          <w:rFonts w:hint="eastAsia" w:ascii="Times New Roman" w:hAnsi="Times New Roman" w:eastAsia="方正楷体_GBK"/>
          <w:color w:val="000000"/>
          <w:kern w:val="0"/>
          <w:sz w:val="32"/>
          <w:szCs w:val="32"/>
        </w:rPr>
        <w:t>（三）集中治理阶段（</w:t>
      </w:r>
      <w:r>
        <w:rPr>
          <w:rFonts w:ascii="Times New Roman" w:hAnsi="Times New Roman" w:eastAsia="方正楷体_GBK"/>
          <w:color w:val="000000"/>
          <w:kern w:val="0"/>
          <w:sz w:val="32"/>
          <w:szCs w:val="32"/>
        </w:rPr>
        <w:t>6</w:t>
      </w:r>
      <w:r>
        <w:rPr>
          <w:rFonts w:hint="eastAsia" w:ascii="Times New Roman" w:hAnsi="Times New Roman" w:eastAsia="方正楷体_GBK"/>
          <w:color w:val="000000"/>
          <w:kern w:val="0"/>
          <w:sz w:val="32"/>
          <w:szCs w:val="32"/>
        </w:rPr>
        <w:t>月</w:t>
      </w:r>
      <w:r>
        <w:rPr>
          <w:rFonts w:ascii="Times New Roman" w:hAnsi="Times New Roman" w:eastAsia="方正楷体_GBK"/>
          <w:color w:val="000000"/>
          <w:kern w:val="0"/>
          <w:sz w:val="32"/>
          <w:szCs w:val="32"/>
        </w:rPr>
        <w:t>1</w:t>
      </w:r>
      <w:r>
        <w:rPr>
          <w:rFonts w:hint="eastAsia" w:ascii="Times New Roman" w:hAnsi="Times New Roman" w:eastAsia="方正楷体_GBK"/>
          <w:color w:val="000000"/>
          <w:kern w:val="0"/>
          <w:sz w:val="32"/>
          <w:szCs w:val="32"/>
        </w:rPr>
        <w:t>日至</w:t>
      </w:r>
      <w:r>
        <w:rPr>
          <w:rFonts w:ascii="Times New Roman" w:hAnsi="Times New Roman" w:eastAsia="方正楷体_GBK"/>
          <w:color w:val="000000"/>
          <w:kern w:val="0"/>
          <w:sz w:val="32"/>
          <w:szCs w:val="32"/>
        </w:rPr>
        <w:t>8</w:t>
      </w:r>
      <w:r>
        <w:rPr>
          <w:rFonts w:hint="eastAsia" w:ascii="Times New Roman" w:hAnsi="Times New Roman" w:eastAsia="方正楷体_GBK"/>
          <w:color w:val="000000"/>
          <w:kern w:val="0"/>
          <w:sz w:val="32"/>
          <w:szCs w:val="32"/>
        </w:rPr>
        <w:t>月</w:t>
      </w:r>
      <w:r>
        <w:rPr>
          <w:rFonts w:ascii="Times New Roman" w:hAnsi="Times New Roman" w:eastAsia="方正楷体_GBK"/>
          <w:color w:val="000000"/>
          <w:kern w:val="0"/>
          <w:sz w:val="32"/>
          <w:szCs w:val="32"/>
        </w:rPr>
        <w:t>31</w:t>
      </w:r>
      <w:r>
        <w:rPr>
          <w:rFonts w:hint="eastAsia" w:ascii="Times New Roman" w:hAnsi="Times New Roman" w:eastAsia="方正楷体_GBK"/>
          <w:color w:val="000000"/>
          <w:kern w:val="0"/>
          <w:sz w:val="32"/>
          <w:szCs w:val="32"/>
        </w:rPr>
        <w:t>日）。</w:t>
      </w:r>
      <w:r>
        <w:rPr>
          <w:rFonts w:hint="eastAsia" w:ascii="Times New Roman" w:hAnsi="Times New Roman" w:eastAsia="方正仿宋_GBK"/>
          <w:color w:val="000000"/>
          <w:kern w:val="0"/>
          <w:sz w:val="32"/>
          <w:szCs w:val="32"/>
        </w:rPr>
        <w:t>各责任单位在全面排查的基础上，会同相关单位，实行分片包干，落实工作责任，加强协同作战，逐一逐项推进整改销号。各单位要注重总结经验，按照按照“全面治理、不漏一个”的思路要求，集中人力物力，落实有效举措，全面推进治理工作，确保应整尽整，真正解决各类线缆乱象和问题，还原城市清爽空间，改善群众生活环境。</w:t>
      </w:r>
    </w:p>
    <w:p>
      <w:pPr>
        <w:spacing w:line="560" w:lineRule="exact"/>
        <w:ind w:firstLine="640" w:firstLineChars="200"/>
        <w:rPr>
          <w:rFonts w:ascii="Times New Roman" w:hAnsi="Times New Roman" w:eastAsia="方正仿宋_GBK"/>
          <w:color w:val="000000"/>
          <w:kern w:val="0"/>
          <w:sz w:val="32"/>
          <w:szCs w:val="32"/>
        </w:rPr>
      </w:pPr>
      <w:r>
        <w:rPr>
          <w:rFonts w:hint="eastAsia" w:ascii="Times New Roman" w:hAnsi="Times New Roman" w:eastAsia="方正楷体_GBK"/>
          <w:color w:val="000000"/>
          <w:kern w:val="0"/>
          <w:sz w:val="32"/>
          <w:szCs w:val="32"/>
        </w:rPr>
        <w:t>（四）检查验收阶段（</w:t>
      </w:r>
      <w:r>
        <w:rPr>
          <w:rFonts w:ascii="Times New Roman" w:hAnsi="Times New Roman" w:eastAsia="方正楷体_GBK"/>
          <w:color w:val="000000"/>
          <w:kern w:val="0"/>
          <w:sz w:val="32"/>
          <w:szCs w:val="32"/>
        </w:rPr>
        <w:t>9</w:t>
      </w:r>
      <w:r>
        <w:rPr>
          <w:rFonts w:hint="eastAsia" w:ascii="Times New Roman" w:hAnsi="Times New Roman" w:eastAsia="方正楷体_GBK"/>
          <w:color w:val="000000"/>
          <w:kern w:val="0"/>
          <w:sz w:val="32"/>
          <w:szCs w:val="32"/>
        </w:rPr>
        <w:t>月</w:t>
      </w:r>
      <w:r>
        <w:rPr>
          <w:rFonts w:ascii="Times New Roman" w:hAnsi="Times New Roman" w:eastAsia="方正楷体_GBK"/>
          <w:color w:val="000000"/>
          <w:kern w:val="0"/>
          <w:sz w:val="32"/>
          <w:szCs w:val="32"/>
        </w:rPr>
        <w:t>1</w:t>
      </w:r>
      <w:r>
        <w:rPr>
          <w:rFonts w:hint="eastAsia" w:ascii="Times New Roman" w:hAnsi="Times New Roman" w:eastAsia="方正楷体_GBK"/>
          <w:color w:val="000000"/>
          <w:kern w:val="0"/>
          <w:sz w:val="32"/>
          <w:szCs w:val="32"/>
        </w:rPr>
        <w:t>日至</w:t>
      </w:r>
      <w:r>
        <w:rPr>
          <w:rFonts w:ascii="Times New Roman" w:hAnsi="Times New Roman" w:eastAsia="方正楷体_GBK"/>
          <w:color w:val="000000"/>
          <w:kern w:val="0"/>
          <w:sz w:val="32"/>
          <w:szCs w:val="32"/>
        </w:rPr>
        <w:t>9</w:t>
      </w:r>
      <w:r>
        <w:rPr>
          <w:rFonts w:hint="eastAsia" w:ascii="Times New Roman" w:hAnsi="Times New Roman" w:eastAsia="方正楷体_GBK"/>
          <w:color w:val="000000"/>
          <w:kern w:val="0"/>
          <w:sz w:val="32"/>
          <w:szCs w:val="32"/>
        </w:rPr>
        <w:t>月</w:t>
      </w:r>
      <w:r>
        <w:rPr>
          <w:rFonts w:ascii="Times New Roman" w:hAnsi="Times New Roman" w:eastAsia="方正楷体_GBK"/>
          <w:color w:val="000000"/>
          <w:kern w:val="0"/>
          <w:sz w:val="32"/>
          <w:szCs w:val="32"/>
        </w:rPr>
        <w:t>30</w:t>
      </w:r>
      <w:r>
        <w:rPr>
          <w:rFonts w:hint="eastAsia" w:ascii="Times New Roman" w:hAnsi="Times New Roman" w:eastAsia="方正楷体_GBK"/>
          <w:color w:val="000000"/>
          <w:kern w:val="0"/>
          <w:sz w:val="32"/>
          <w:szCs w:val="32"/>
        </w:rPr>
        <w:t>日）。</w:t>
      </w:r>
      <w:r>
        <w:rPr>
          <w:rFonts w:hint="eastAsia" w:ascii="Times New Roman" w:hAnsi="Times New Roman" w:eastAsia="方正仿宋_GBK"/>
          <w:color w:val="000000"/>
          <w:kern w:val="0"/>
          <w:sz w:val="32"/>
          <w:szCs w:val="32"/>
        </w:rPr>
        <w:t>治理结束后，由市工信局牵头，市文明办、市发改委、市公安局、市住建局、市通管办等单位参与，组建联合检查组，对线缆治理工作进行全面考核验收，并及时通报有关情况。同步接受市督查组督查，</w:t>
      </w:r>
      <w:r>
        <w:rPr>
          <w:rFonts w:ascii="Times New Roman" w:hAnsi="Times New Roman" w:eastAsia="方正仿宋_GBK"/>
          <w:color w:val="000000"/>
          <w:kern w:val="0"/>
          <w:sz w:val="32"/>
          <w:szCs w:val="32"/>
        </w:rPr>
        <w:t>9</w:t>
      </w:r>
      <w:r>
        <w:rPr>
          <w:rFonts w:hint="eastAsia" w:ascii="Times New Roman" w:hAnsi="Times New Roman" w:eastAsia="方正仿宋_GBK"/>
          <w:color w:val="000000"/>
          <w:kern w:val="0"/>
          <w:sz w:val="32"/>
          <w:szCs w:val="32"/>
        </w:rPr>
        <w:t>月底</w:t>
      </w:r>
      <w:r>
        <w:rPr>
          <w:rFonts w:hint="eastAsia" w:ascii="Times New Roman" w:hAnsi="Times New Roman" w:eastAsia="方正仿宋_GBK"/>
          <w:sz w:val="32"/>
          <w:szCs w:val="32"/>
        </w:rPr>
        <w:t>市建设文明城市指挥部</w:t>
      </w:r>
      <w:r>
        <w:rPr>
          <w:rFonts w:hint="eastAsia" w:ascii="Times New Roman" w:hAnsi="Times New Roman" w:eastAsia="方正仿宋_GBK"/>
          <w:color w:val="000000"/>
          <w:kern w:val="0"/>
          <w:sz w:val="32"/>
          <w:szCs w:val="32"/>
        </w:rPr>
        <w:t>将对治理提升行动进行评估，结果纳入年度考评考核。</w:t>
      </w:r>
    </w:p>
    <w:p>
      <w:pPr>
        <w:spacing w:line="560" w:lineRule="exact"/>
        <w:ind w:firstLine="640" w:firstLineChars="200"/>
        <w:rPr>
          <w:rFonts w:ascii="Times New Roman" w:hAnsi="Times New Roman" w:eastAsia="方正仿宋_GBK"/>
          <w:color w:val="000000"/>
          <w:kern w:val="0"/>
          <w:sz w:val="32"/>
          <w:szCs w:val="32"/>
        </w:rPr>
      </w:pPr>
      <w:r>
        <w:rPr>
          <w:rFonts w:hint="eastAsia" w:ascii="Times New Roman" w:hAnsi="Times New Roman" w:eastAsia="方正楷体_GBK"/>
          <w:color w:val="000000"/>
          <w:kern w:val="0"/>
          <w:sz w:val="32"/>
          <w:szCs w:val="32"/>
        </w:rPr>
        <w:t>（五）巩固提升阶段（</w:t>
      </w:r>
      <w:r>
        <w:rPr>
          <w:rFonts w:ascii="Times New Roman" w:hAnsi="Times New Roman" w:eastAsia="方正楷体_GBK"/>
          <w:color w:val="000000"/>
          <w:kern w:val="0"/>
          <w:sz w:val="32"/>
          <w:szCs w:val="32"/>
        </w:rPr>
        <w:t>10</w:t>
      </w:r>
      <w:r>
        <w:rPr>
          <w:rFonts w:hint="eastAsia" w:ascii="Times New Roman" w:hAnsi="Times New Roman" w:eastAsia="方正楷体_GBK"/>
          <w:color w:val="000000"/>
          <w:kern w:val="0"/>
          <w:sz w:val="32"/>
          <w:szCs w:val="32"/>
        </w:rPr>
        <w:t>月</w:t>
      </w:r>
      <w:r>
        <w:rPr>
          <w:rFonts w:ascii="Times New Roman" w:hAnsi="Times New Roman" w:eastAsia="方正楷体_GBK"/>
          <w:color w:val="000000"/>
          <w:kern w:val="0"/>
          <w:sz w:val="32"/>
          <w:szCs w:val="32"/>
        </w:rPr>
        <w:t>1</w:t>
      </w:r>
      <w:r>
        <w:rPr>
          <w:rFonts w:hint="eastAsia" w:ascii="Times New Roman" w:hAnsi="Times New Roman" w:eastAsia="方正楷体_GBK"/>
          <w:color w:val="000000"/>
          <w:kern w:val="0"/>
          <w:sz w:val="32"/>
          <w:szCs w:val="32"/>
        </w:rPr>
        <w:t>日至年底）。</w:t>
      </w:r>
      <w:r>
        <w:rPr>
          <w:rFonts w:hint="eastAsia" w:ascii="Times New Roman" w:hAnsi="Times New Roman" w:eastAsia="方正仿宋_GBK"/>
          <w:sz w:val="32"/>
          <w:szCs w:val="32"/>
        </w:rPr>
        <w:t>市工信局组织召开治理提升行动总结大会，总结经验做法及成效并进行宣传推广。</w:t>
      </w:r>
      <w:r>
        <w:rPr>
          <w:rFonts w:hint="eastAsia" w:ascii="Times New Roman" w:hAnsi="Times New Roman" w:eastAsia="方正仿宋_GBK"/>
          <w:color w:val="000000"/>
          <w:kern w:val="0"/>
          <w:sz w:val="32"/>
          <w:szCs w:val="32"/>
        </w:rPr>
        <w:t>坚持集中治理与长效管理有机结合，</w:t>
      </w:r>
      <w:r>
        <w:rPr>
          <w:rFonts w:hint="eastAsia" w:ascii="Times New Roman" w:hAnsi="Times New Roman" w:eastAsia="方正仿宋_GBK"/>
          <w:sz w:val="32"/>
          <w:szCs w:val="32"/>
        </w:rPr>
        <w:t>将各项有效措施纳入长效机制，</w:t>
      </w:r>
      <w:r>
        <w:rPr>
          <w:rFonts w:hint="eastAsia" w:ascii="Times New Roman" w:hAnsi="Times New Roman" w:eastAsia="方正仿宋_GBK"/>
          <w:color w:val="000000"/>
          <w:kern w:val="0"/>
          <w:sz w:val="32"/>
          <w:szCs w:val="32"/>
        </w:rPr>
        <w:t>不断完善各类管线源头规划、施工审批、日常监管等联</w:t>
      </w:r>
      <w:r>
        <w:rPr>
          <w:rFonts w:hint="eastAsia" w:ascii="Times New Roman" w:hAnsi="Times New Roman" w:eastAsia="方正仿宋_GBK"/>
          <w:sz w:val="32"/>
          <w:szCs w:val="32"/>
        </w:rPr>
        <w:t>动机制，强化源头管控，</w:t>
      </w:r>
      <w:r>
        <w:rPr>
          <w:rFonts w:hint="eastAsia" w:ascii="Times New Roman" w:hAnsi="Times New Roman" w:eastAsia="方正仿宋_GBK"/>
          <w:color w:val="000000"/>
          <w:kern w:val="0"/>
          <w:sz w:val="32"/>
          <w:szCs w:val="32"/>
        </w:rPr>
        <w:t>夯实监管责任</w:t>
      </w:r>
      <w:r>
        <w:rPr>
          <w:rFonts w:hint="eastAsia" w:ascii="Times New Roman" w:hAnsi="Times New Roman" w:eastAsia="方正仿宋_GBK"/>
          <w:sz w:val="32"/>
          <w:szCs w:val="32"/>
        </w:rPr>
        <w:t>。</w:t>
      </w:r>
      <w:r>
        <w:rPr>
          <w:rFonts w:hint="eastAsia" w:ascii="Times New Roman" w:hAnsi="Times New Roman" w:eastAsia="方正仿宋_GBK"/>
          <w:color w:val="000000"/>
          <w:kern w:val="0"/>
          <w:sz w:val="32"/>
          <w:szCs w:val="32"/>
        </w:rPr>
        <w:t>贯彻全国文明城市长效建设工作要求，</w:t>
      </w:r>
      <w:r>
        <w:rPr>
          <w:rFonts w:hint="eastAsia" w:ascii="Times New Roman" w:hAnsi="Times New Roman" w:eastAsia="方正仿宋_GBK"/>
          <w:sz w:val="32"/>
          <w:szCs w:val="32"/>
        </w:rPr>
        <w:t>推动创建工作高效质优、常态惯性进行。</w:t>
      </w:r>
    </w:p>
    <w:p>
      <w:pPr>
        <w:spacing w:line="56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五、有关要求</w:t>
      </w:r>
    </w:p>
    <w:p>
      <w:pPr>
        <w:pStyle w:val="6"/>
        <w:widowControl w:val="0"/>
        <w:spacing w:before="0" w:beforeAutospacing="0" w:after="0" w:afterAutospacing="0" w:line="560" w:lineRule="exact"/>
        <w:ind w:firstLine="640" w:firstLineChars="200"/>
        <w:jc w:val="both"/>
        <w:rPr>
          <w:rFonts w:ascii="Times New Roman" w:hAnsi="Times New Roman" w:eastAsia="方正仿宋_GBK" w:cs="Times New Roman"/>
          <w:color w:val="000000"/>
          <w:spacing w:val="-6"/>
          <w:kern w:val="2"/>
          <w:sz w:val="32"/>
          <w:szCs w:val="32"/>
        </w:rPr>
      </w:pPr>
      <w:r>
        <w:rPr>
          <w:rFonts w:hint="eastAsia" w:ascii="Times New Roman" w:hAnsi="Times New Roman" w:eastAsia="方正楷体_GBK" w:cs="Times New Roman"/>
          <w:sz w:val="32"/>
          <w:szCs w:val="32"/>
        </w:rPr>
        <w:t>（一）加强组织领导。</w:t>
      </w:r>
      <w:r>
        <w:rPr>
          <w:rFonts w:hint="eastAsia" w:ascii="Times New Roman" w:hAnsi="Times New Roman" w:eastAsia="方正仿宋_GBK"/>
          <w:sz w:val="32"/>
          <w:szCs w:val="32"/>
        </w:rPr>
        <w:t>开展空中线缆治理提升行动，</w:t>
      </w:r>
      <w:r>
        <w:rPr>
          <w:rFonts w:hint="eastAsia" w:ascii="Times New Roman" w:hAnsi="Times New Roman" w:eastAsia="方正仿宋_GBK" w:cs="Times New Roman"/>
          <w:sz w:val="32"/>
          <w:szCs w:val="32"/>
        </w:rPr>
        <w:t>是落实市委、市政府决策部署，</w:t>
      </w:r>
      <w:r>
        <w:rPr>
          <w:rFonts w:hint="eastAsia" w:ascii="Times New Roman" w:hAnsi="Times New Roman" w:eastAsia="方正仿宋_GBK"/>
          <w:sz w:val="32"/>
          <w:szCs w:val="32"/>
        </w:rPr>
        <w:t>深化文明城市长效治理，为争创全国文明典范城市厚积优势、改善群众生活居住环境、推进助力“</w:t>
      </w:r>
      <w:r>
        <w:rPr>
          <w:rFonts w:ascii="Times New Roman" w:hAnsi="Times New Roman" w:eastAsia="方正仿宋_GBK"/>
          <w:sz w:val="32"/>
          <w:szCs w:val="32"/>
        </w:rPr>
        <w:t>532</w:t>
      </w:r>
      <w:r>
        <w:rPr>
          <w:rFonts w:hint="eastAsia" w:ascii="Times New Roman" w:hAnsi="Times New Roman" w:eastAsia="方正仿宋_GBK"/>
          <w:sz w:val="32"/>
          <w:szCs w:val="32"/>
        </w:rPr>
        <w:t>”发展战略的有力举措。为加强工作指挥协调，市成立空中线缆治理提升行动指挥部，市政府副市长徐华勤任总指挥，市工信局牵头，</w:t>
      </w:r>
      <w:r>
        <w:rPr>
          <w:rFonts w:hint="eastAsia" w:ascii="Times New Roman" w:hAnsi="Times New Roman" w:eastAsia="方正仿宋_GBK"/>
          <w:color w:val="000000"/>
          <w:sz w:val="32"/>
          <w:szCs w:val="32"/>
        </w:rPr>
        <w:t>市发改委、市公安局、市文明办、市住建局、市通管办、电信分公司、移动分公司、联通分公司、供电公司、广电网络公司、城建集团以及各区政府、经开区管委会</w:t>
      </w:r>
      <w:r>
        <w:rPr>
          <w:rFonts w:hint="eastAsia" w:ascii="Times New Roman" w:hAnsi="Times New Roman" w:eastAsia="方正仿宋_GBK" w:cs="Times New Roman"/>
          <w:color w:val="000000"/>
          <w:spacing w:val="-6"/>
          <w:sz w:val="32"/>
          <w:szCs w:val="32"/>
        </w:rPr>
        <w:t>为成员，</w:t>
      </w:r>
      <w:r>
        <w:rPr>
          <w:rFonts w:hint="eastAsia" w:ascii="Times New Roman" w:hAnsi="Times New Roman" w:eastAsia="方正仿宋_GBK" w:cs="Times New Roman"/>
          <w:color w:val="000000"/>
          <w:spacing w:val="-6"/>
          <w:kern w:val="2"/>
          <w:sz w:val="32"/>
          <w:szCs w:val="32"/>
        </w:rPr>
        <w:t>指挥部</w:t>
      </w:r>
      <w:r>
        <w:rPr>
          <w:rFonts w:hint="eastAsia" w:ascii="Times New Roman" w:hAnsi="Times New Roman" w:eastAsia="方正仿宋_GBK" w:cs="Times New Roman"/>
          <w:color w:val="000000"/>
          <w:spacing w:val="-6"/>
          <w:sz w:val="32"/>
          <w:szCs w:val="32"/>
        </w:rPr>
        <w:t>办公室设在市工信局，</w:t>
      </w:r>
      <w:r>
        <w:rPr>
          <w:rFonts w:hint="eastAsia" w:ascii="Times New Roman" w:hAnsi="Times New Roman" w:eastAsia="方正仿宋_GBK" w:cs="Times New Roman"/>
          <w:color w:val="000000"/>
          <w:spacing w:val="-6"/>
          <w:kern w:val="2"/>
          <w:sz w:val="32"/>
          <w:szCs w:val="32"/>
        </w:rPr>
        <w:t>负责统筹协调、检查督导等工作。</w:t>
      </w:r>
      <w:r>
        <w:rPr>
          <w:rFonts w:hint="eastAsia" w:ascii="Times New Roman" w:hAnsi="Times New Roman" w:eastAsia="方正仿宋_GBK" w:cs="Times New Roman"/>
          <w:spacing w:val="-2"/>
          <w:sz w:val="32"/>
          <w:szCs w:val="32"/>
        </w:rPr>
        <w:t>各成员单位要</w:t>
      </w:r>
      <w:r>
        <w:rPr>
          <w:rFonts w:hint="eastAsia" w:ascii="Times New Roman" w:hAnsi="Times New Roman" w:eastAsia="方正仿宋_GBK" w:cs="Times New Roman"/>
          <w:sz w:val="32"/>
          <w:szCs w:val="32"/>
        </w:rPr>
        <w:t>迅速将提升行动摆上重要位置，</w:t>
      </w:r>
      <w:r>
        <w:rPr>
          <w:rFonts w:hint="eastAsia" w:ascii="Times New Roman" w:hAnsi="Times New Roman" w:eastAsia="方正仿宋_GBK" w:cs="Times New Roman"/>
          <w:color w:val="000000"/>
          <w:spacing w:val="-6"/>
          <w:kern w:val="2"/>
          <w:sz w:val="32"/>
          <w:szCs w:val="32"/>
        </w:rPr>
        <w:t>成立专门组织领导机构，明确责任分工，建立推进制度，落实有力措施，确保各项工作无缝对接、高效推进。</w:t>
      </w:r>
    </w:p>
    <w:p>
      <w:pPr>
        <w:pStyle w:val="6"/>
        <w:widowControl w:val="0"/>
        <w:spacing w:before="0" w:beforeAutospacing="0" w:after="0" w:afterAutospacing="0" w:line="560" w:lineRule="exact"/>
        <w:ind w:firstLine="640" w:firstLineChars="200"/>
        <w:jc w:val="both"/>
        <w:rPr>
          <w:rFonts w:ascii="Times New Roman" w:hAnsi="Times New Roman" w:eastAsia="方正仿宋_GBK" w:cs="Times New Roman"/>
          <w:kern w:val="2"/>
          <w:sz w:val="32"/>
          <w:szCs w:val="32"/>
        </w:rPr>
      </w:pPr>
      <w:r>
        <w:rPr>
          <w:rFonts w:hint="eastAsia" w:ascii="Times New Roman" w:hAnsi="Times New Roman" w:eastAsia="方正楷体_GBK" w:cs="Times New Roman"/>
          <w:kern w:val="2"/>
          <w:sz w:val="32"/>
          <w:szCs w:val="32"/>
        </w:rPr>
        <w:t>（二）落实工作</w:t>
      </w:r>
      <w:r>
        <w:rPr>
          <w:rFonts w:hint="eastAsia" w:ascii="Times New Roman" w:hAnsi="Times New Roman" w:eastAsia="方正楷体_GBK" w:cs="Times New Roman"/>
          <w:color w:val="000000"/>
          <w:sz w:val="32"/>
          <w:szCs w:val="32"/>
        </w:rPr>
        <w:t>责任。</w:t>
      </w:r>
      <w:r>
        <w:rPr>
          <w:rFonts w:hint="eastAsia" w:ascii="Times New Roman" w:hAnsi="Times New Roman" w:eastAsia="方正仿宋_GBK" w:cs="Times New Roman"/>
          <w:spacing w:val="-2"/>
          <w:sz w:val="32"/>
          <w:szCs w:val="32"/>
        </w:rPr>
        <w:t>各责任部门要严格按照市级方案要求，结合各自实际，进一步细化工作推进计划，分类制定治理</w:t>
      </w:r>
      <w:r>
        <w:rPr>
          <w:rFonts w:hint="eastAsia" w:ascii="Times New Roman" w:hAnsi="Times New Roman" w:eastAsia="方正仿宋_GBK"/>
          <w:color w:val="000000"/>
          <w:sz w:val="32"/>
          <w:szCs w:val="32"/>
        </w:rPr>
        <w:t>方案，明确职责分工，严格标准要求，强化责任落实，采取“部门牵头、属地负责、上下联动、统筹推进”的原则组织实施，全力以赴抓好各项工作。市发改委、市通管办要充分履</w:t>
      </w:r>
      <w:r>
        <w:rPr>
          <w:rFonts w:hint="eastAsia" w:ascii="Times New Roman" w:hAnsi="Times New Roman" w:eastAsia="方正仿宋_GBK" w:cs="Times New Roman"/>
          <w:sz w:val="32"/>
          <w:szCs w:val="32"/>
        </w:rPr>
        <w:t>行行业管理责任，加强对提升行动的协调调度、监督指导；供电公司、</w:t>
      </w:r>
      <w:r>
        <w:rPr>
          <w:rFonts w:hint="eastAsia" w:ascii="Times New Roman" w:hAnsi="Times New Roman" w:eastAsia="方正仿宋_GBK"/>
          <w:color w:val="000000"/>
          <w:sz w:val="32"/>
          <w:szCs w:val="32"/>
        </w:rPr>
        <w:t>电信分公司、移动分公司、联通分公司、广电网络公司</w:t>
      </w:r>
      <w:r>
        <w:rPr>
          <w:rFonts w:hint="eastAsia" w:ascii="Times New Roman" w:hAnsi="Times New Roman" w:eastAsia="方正仿宋_GBK" w:cs="Times New Roman"/>
          <w:sz w:val="32"/>
          <w:szCs w:val="32"/>
        </w:rPr>
        <w:t>要切实履职，逐个排查存在问题，针对现状问题分类拿出治理方案，安排专项经费，按要求扎实做好电力和通信管线治理提升工作。公安系统通信、治安及交通监控等各类专用线缆的排查整治方案由市公安局统一扎口。</w:t>
      </w:r>
    </w:p>
    <w:p>
      <w:pPr>
        <w:widowControl/>
        <w:spacing w:line="560" w:lineRule="exact"/>
        <w:ind w:firstLine="632" w:firstLineChars="200"/>
        <w:rPr>
          <w:rFonts w:ascii="Times New Roman" w:hAnsi="Times New Roman" w:eastAsia="方正仿宋_GBK"/>
          <w:spacing w:val="-6"/>
          <w:sz w:val="32"/>
          <w:szCs w:val="32"/>
        </w:rPr>
      </w:pPr>
      <w:r>
        <w:rPr>
          <w:rFonts w:hint="eastAsia" w:ascii="Times New Roman" w:hAnsi="Times New Roman" w:eastAsia="方正楷体_GBK"/>
          <w:spacing w:val="-2"/>
          <w:kern w:val="0"/>
          <w:sz w:val="32"/>
          <w:szCs w:val="32"/>
        </w:rPr>
        <w:t>（三）强化联动推进。</w:t>
      </w:r>
      <w:r>
        <w:rPr>
          <w:rFonts w:hint="eastAsia" w:ascii="Times New Roman" w:hAnsi="Times New Roman" w:eastAsia="方正仿宋_GBK"/>
          <w:spacing w:val="-6"/>
          <w:sz w:val="32"/>
          <w:szCs w:val="32"/>
        </w:rPr>
        <w:t>在治理工作中，要加强沟通，密切配合，协同作战。各板块要</w:t>
      </w:r>
      <w:r>
        <w:rPr>
          <w:rFonts w:hint="eastAsia" w:ascii="Times New Roman" w:hAnsi="Times New Roman" w:eastAsia="方正仿宋_GBK"/>
          <w:color w:val="000000"/>
          <w:spacing w:val="-6"/>
          <w:kern w:val="0"/>
          <w:sz w:val="32"/>
          <w:szCs w:val="32"/>
        </w:rPr>
        <w:t>充分整合工信局、文明办、公安、住建、街道社区等多方力量，市各有关部门和单位</w:t>
      </w:r>
      <w:r>
        <w:rPr>
          <w:rFonts w:hint="eastAsia" w:ascii="Times New Roman" w:hAnsi="Times New Roman" w:eastAsia="方正仿宋_GBK"/>
          <w:spacing w:val="-6"/>
          <w:sz w:val="32"/>
          <w:szCs w:val="32"/>
        </w:rPr>
        <w:t>要根据各自职责，切实</w:t>
      </w:r>
      <w:r>
        <w:rPr>
          <w:rFonts w:hint="eastAsia" w:ascii="Times New Roman" w:hAnsi="Times New Roman" w:eastAsia="方正仿宋_GBK"/>
          <w:color w:val="000000"/>
          <w:spacing w:val="-6"/>
          <w:sz w:val="32"/>
          <w:szCs w:val="32"/>
        </w:rPr>
        <w:t>加强工作指导和过程把关，</w:t>
      </w:r>
      <w:r>
        <w:rPr>
          <w:rFonts w:hint="eastAsia" w:ascii="Times New Roman" w:hAnsi="Times New Roman" w:eastAsia="方正仿宋_GBK"/>
          <w:spacing w:val="-6"/>
          <w:sz w:val="32"/>
          <w:szCs w:val="32"/>
        </w:rPr>
        <w:t>形成合力推进的良好局面。要科学安排工序，</w:t>
      </w:r>
      <w:r>
        <w:rPr>
          <w:rFonts w:hint="eastAsia" w:ascii="Times New Roman" w:hAnsi="Times New Roman" w:eastAsia="方正仿宋_GBK"/>
          <w:color w:val="000000"/>
          <w:spacing w:val="-6"/>
          <w:sz w:val="32"/>
          <w:szCs w:val="32"/>
        </w:rPr>
        <w:t>强化施工过程</w:t>
      </w:r>
      <w:r>
        <w:rPr>
          <w:rFonts w:hint="eastAsia" w:ascii="Times New Roman" w:hAnsi="Times New Roman" w:eastAsia="方正仿宋_GBK"/>
          <w:spacing w:val="-6"/>
          <w:sz w:val="32"/>
          <w:szCs w:val="32"/>
        </w:rPr>
        <w:t>、施工安全和工程质量</w:t>
      </w:r>
      <w:r>
        <w:rPr>
          <w:rFonts w:hint="eastAsia" w:ascii="Times New Roman" w:hAnsi="Times New Roman" w:eastAsia="方正仿宋_GBK"/>
          <w:color w:val="000000"/>
          <w:spacing w:val="-6"/>
          <w:sz w:val="32"/>
          <w:szCs w:val="32"/>
        </w:rPr>
        <w:t>监管，</w:t>
      </w:r>
      <w:r>
        <w:rPr>
          <w:rFonts w:hint="eastAsia" w:ascii="Times New Roman" w:hAnsi="Times New Roman" w:eastAsia="方正仿宋_GBK"/>
          <w:spacing w:val="-6"/>
          <w:sz w:val="32"/>
          <w:szCs w:val="32"/>
        </w:rPr>
        <w:t>确保治理工作各个环节科学合理、严格规范，</w:t>
      </w:r>
      <w:r>
        <w:rPr>
          <w:rFonts w:hint="eastAsia" w:ascii="Times New Roman" w:hAnsi="Times New Roman" w:eastAsia="方正仿宋_GBK"/>
          <w:color w:val="000000"/>
          <w:spacing w:val="-6"/>
          <w:sz w:val="32"/>
          <w:szCs w:val="32"/>
        </w:rPr>
        <w:t>所有项目一把尺子推进、一个标准实施</w:t>
      </w:r>
      <w:r>
        <w:rPr>
          <w:rFonts w:hint="eastAsia" w:ascii="Times New Roman" w:hAnsi="Times New Roman" w:eastAsia="方正仿宋_GBK"/>
          <w:spacing w:val="-6"/>
          <w:sz w:val="32"/>
          <w:szCs w:val="32"/>
        </w:rPr>
        <w:t>。各区工信部门要强化治理工作统筹协调，适时建立工作例会、联合会办、现场指导等工作推进制度，及时协调解决各种问题和困难。</w:t>
      </w:r>
    </w:p>
    <w:p>
      <w:pPr>
        <w:spacing w:line="560" w:lineRule="exact"/>
        <w:ind w:firstLine="640" w:firstLineChars="200"/>
        <w:rPr>
          <w:rFonts w:ascii="Times New Roman" w:hAnsi="Times New Roman" w:eastAsia="方正仿宋_GBK"/>
          <w:color w:val="000000"/>
          <w:sz w:val="32"/>
          <w:szCs w:val="32"/>
        </w:rPr>
      </w:pPr>
      <w:r>
        <w:rPr>
          <w:rFonts w:hint="eastAsia" w:ascii="Times New Roman" w:hAnsi="Times New Roman" w:eastAsia="方正楷体_GBK"/>
          <w:sz w:val="32"/>
          <w:szCs w:val="32"/>
        </w:rPr>
        <w:t>（四）深入宣传发动。</w:t>
      </w:r>
      <w:r>
        <w:rPr>
          <w:rFonts w:hint="eastAsia" w:ascii="Times New Roman" w:hAnsi="Times New Roman" w:eastAsia="方正仿宋_GBK"/>
          <w:color w:val="000000"/>
          <w:kern w:val="0"/>
          <w:sz w:val="32"/>
          <w:szCs w:val="32"/>
        </w:rPr>
        <w:t>要利用各类载体、各种渠道，深入开展宣传发动，</w:t>
      </w:r>
      <w:r>
        <w:rPr>
          <w:rFonts w:hint="eastAsia" w:ascii="Times New Roman" w:hAnsi="Times New Roman" w:eastAsia="方正仿宋_GBK"/>
          <w:sz w:val="32"/>
          <w:szCs w:val="32"/>
        </w:rPr>
        <w:t>及时报道此次专项治理的重要意义、工作成效，广泛动员、引导社会各界理解、支持、配合治理工作</w:t>
      </w:r>
      <w:r>
        <w:rPr>
          <w:rFonts w:hint="eastAsia" w:ascii="Times New Roman" w:hAnsi="Times New Roman" w:eastAsia="方正仿宋_GBK"/>
          <w:color w:val="000000"/>
          <w:kern w:val="0"/>
          <w:sz w:val="32"/>
          <w:szCs w:val="32"/>
        </w:rPr>
        <w:t>，为治理工作营造良好的社会氛围。</w:t>
      </w:r>
      <w:r>
        <w:rPr>
          <w:rFonts w:hint="eastAsia" w:ascii="Times New Roman" w:hAnsi="Times New Roman" w:eastAsia="方正仿宋_GBK"/>
          <w:color w:val="000000"/>
          <w:sz w:val="32"/>
          <w:szCs w:val="32"/>
        </w:rPr>
        <w:t>要发挥典型示范作用，及时总结提炼、宣传推广经验做法，形成一批可复制、可推广的示范典型，引领面上治理工作高标准推进。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3C0041" w:csb1="A0080000"/>
  </w:font>
  <w:font w:name="Arial Unicode MS">
    <w:panose1 w:val="020B0604020202020204"/>
    <w:charset w:val="86"/>
    <w:family w:val="swiss"/>
    <w:pitch w:val="default"/>
    <w:sig w:usb0="FFFFFFFF" w:usb1="E9FFFFFF" w:usb2="0000003F" w:usb3="00000000" w:csb0="603F01FF" w:csb1="FFFF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Q0MmY0NDljZTk4YWNjMmZiNjNlOGM3ODg5NDRkZTYifQ=="/>
  </w:docVars>
  <w:rsids>
    <w:rsidRoot w:val="00F535F0"/>
    <w:rsid w:val="00041DEB"/>
    <w:rsid w:val="00046B57"/>
    <w:rsid w:val="00085E37"/>
    <w:rsid w:val="000904B5"/>
    <w:rsid w:val="000C0442"/>
    <w:rsid w:val="000C0A3A"/>
    <w:rsid w:val="000C11B4"/>
    <w:rsid w:val="00110DF9"/>
    <w:rsid w:val="001D2C75"/>
    <w:rsid w:val="001F59FD"/>
    <w:rsid w:val="001F5B9B"/>
    <w:rsid w:val="002B5064"/>
    <w:rsid w:val="002F1CF3"/>
    <w:rsid w:val="004B5287"/>
    <w:rsid w:val="00584BD9"/>
    <w:rsid w:val="00627BF0"/>
    <w:rsid w:val="00630BFA"/>
    <w:rsid w:val="00711B68"/>
    <w:rsid w:val="00724A5F"/>
    <w:rsid w:val="00766AB7"/>
    <w:rsid w:val="00791BCA"/>
    <w:rsid w:val="007B25FE"/>
    <w:rsid w:val="007D24D2"/>
    <w:rsid w:val="007F4540"/>
    <w:rsid w:val="00805ED4"/>
    <w:rsid w:val="008E4327"/>
    <w:rsid w:val="00945821"/>
    <w:rsid w:val="00A06922"/>
    <w:rsid w:val="00AC432B"/>
    <w:rsid w:val="00BE3D81"/>
    <w:rsid w:val="00CB4712"/>
    <w:rsid w:val="00CC240C"/>
    <w:rsid w:val="00CD61C6"/>
    <w:rsid w:val="00D16E85"/>
    <w:rsid w:val="00D20DF4"/>
    <w:rsid w:val="00D32549"/>
    <w:rsid w:val="00DA20EB"/>
    <w:rsid w:val="00DB409E"/>
    <w:rsid w:val="00E5562B"/>
    <w:rsid w:val="00F37FD9"/>
    <w:rsid w:val="00F535F0"/>
    <w:rsid w:val="00FB108A"/>
    <w:rsid w:val="039705CB"/>
    <w:rsid w:val="05D5104E"/>
    <w:rsid w:val="06FD6A39"/>
    <w:rsid w:val="0FAC2D6C"/>
    <w:rsid w:val="130D0F0D"/>
    <w:rsid w:val="173D1254"/>
    <w:rsid w:val="1A6D4C6F"/>
    <w:rsid w:val="1D2662B2"/>
    <w:rsid w:val="205725BB"/>
    <w:rsid w:val="21F12A39"/>
    <w:rsid w:val="24EC4C3A"/>
    <w:rsid w:val="29876182"/>
    <w:rsid w:val="2AC92C5C"/>
    <w:rsid w:val="2B0B3576"/>
    <w:rsid w:val="30534C5D"/>
    <w:rsid w:val="342E6D8D"/>
    <w:rsid w:val="34771488"/>
    <w:rsid w:val="34FC2895"/>
    <w:rsid w:val="361A743B"/>
    <w:rsid w:val="3C2756AE"/>
    <w:rsid w:val="3E0B1EC8"/>
    <w:rsid w:val="3F0312B5"/>
    <w:rsid w:val="42A72443"/>
    <w:rsid w:val="44615DE6"/>
    <w:rsid w:val="45B63C90"/>
    <w:rsid w:val="45C0435A"/>
    <w:rsid w:val="47050BAF"/>
    <w:rsid w:val="4E6C4890"/>
    <w:rsid w:val="4E8658A1"/>
    <w:rsid w:val="511019C9"/>
    <w:rsid w:val="55B14A6D"/>
    <w:rsid w:val="5A204212"/>
    <w:rsid w:val="60961BED"/>
    <w:rsid w:val="61036553"/>
    <w:rsid w:val="61327C87"/>
    <w:rsid w:val="615F2BAC"/>
    <w:rsid w:val="644B34C9"/>
    <w:rsid w:val="65A64212"/>
    <w:rsid w:val="690E6581"/>
    <w:rsid w:val="6B3932AB"/>
    <w:rsid w:val="6B7E1733"/>
    <w:rsid w:val="6BA02274"/>
    <w:rsid w:val="6D4E687D"/>
    <w:rsid w:val="7156028E"/>
    <w:rsid w:val="72893C5F"/>
    <w:rsid w:val="76971F7B"/>
    <w:rsid w:val="7A330D89"/>
    <w:rsid w:val="7A4D64EF"/>
    <w:rsid w:val="7DBB7893"/>
    <w:rsid w:val="7E6E0A4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nhideWhenUsed="0" w:uiPriority="99"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link w:val="9"/>
    <w:qFormat/>
    <w:uiPriority w:val="99"/>
    <w:pPr>
      <w:ind w:left="640" w:leftChars="200"/>
      <w:outlineLvl w:val="0"/>
    </w:pPr>
    <w:rPr>
      <w:rFonts w:ascii="Arial" w:hAnsi="Arial" w:eastAsia="仿宋_GB2312" w:cs="Arial"/>
      <w:b/>
      <w:bCs/>
      <w:sz w:val="32"/>
      <w:szCs w:val="32"/>
    </w:rPr>
  </w:style>
  <w:style w:type="paragraph" w:styleId="3">
    <w:name w:val="Body Text Indent"/>
    <w:basedOn w:val="1"/>
    <w:link w:val="10"/>
    <w:uiPriority w:val="99"/>
    <w:pPr>
      <w:spacing w:line="570" w:lineRule="exact"/>
      <w:ind w:firstLine="616" w:firstLineChars="200"/>
    </w:pPr>
    <w:rPr>
      <w:spacing w:val="-6"/>
    </w:rPr>
  </w:style>
  <w:style w:type="paragraph" w:styleId="4">
    <w:name w:val="footer"/>
    <w:basedOn w:val="1"/>
    <w:link w:val="11"/>
    <w:semiHidden/>
    <w:uiPriority w:val="99"/>
    <w:pPr>
      <w:tabs>
        <w:tab w:val="center" w:pos="4153"/>
        <w:tab w:val="right" w:pos="8306"/>
      </w:tabs>
      <w:snapToGrid w:val="0"/>
      <w:jc w:val="left"/>
    </w:pPr>
    <w:rPr>
      <w:sz w:val="18"/>
    </w:rPr>
  </w:style>
  <w:style w:type="paragraph" w:styleId="5">
    <w:name w:val="header"/>
    <w:basedOn w:val="1"/>
    <w:link w:val="12"/>
    <w:semiHidden/>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iPriority w:val="99"/>
    <w:pPr>
      <w:widowControl/>
      <w:spacing w:before="100" w:beforeAutospacing="1" w:after="100" w:afterAutospacing="1"/>
      <w:jc w:val="left"/>
    </w:pPr>
    <w:rPr>
      <w:rFonts w:ascii="宋体" w:hAnsi="宋体" w:cs="宋体"/>
      <w:kern w:val="0"/>
      <w:sz w:val="24"/>
    </w:rPr>
  </w:style>
  <w:style w:type="character" w:customStyle="1" w:styleId="9">
    <w:name w:val="Title Char"/>
    <w:basedOn w:val="8"/>
    <w:link w:val="2"/>
    <w:locked/>
    <w:uiPriority w:val="99"/>
    <w:rPr>
      <w:rFonts w:ascii="Arial" w:hAnsi="Arial" w:eastAsia="仿宋_GB2312" w:cs="Arial"/>
      <w:b/>
      <w:bCs/>
      <w:sz w:val="32"/>
      <w:szCs w:val="32"/>
    </w:rPr>
  </w:style>
  <w:style w:type="character" w:customStyle="1" w:styleId="10">
    <w:name w:val="Body Text Indent Char"/>
    <w:basedOn w:val="8"/>
    <w:link w:val="3"/>
    <w:locked/>
    <w:uiPriority w:val="99"/>
    <w:rPr>
      <w:rFonts w:ascii="Calibri" w:hAnsi="Calibri" w:eastAsia="宋体" w:cs="Times New Roman"/>
      <w:spacing w:val="-6"/>
      <w:sz w:val="24"/>
      <w:szCs w:val="24"/>
    </w:rPr>
  </w:style>
  <w:style w:type="character" w:customStyle="1" w:styleId="11">
    <w:name w:val="Footer Char"/>
    <w:basedOn w:val="8"/>
    <w:link w:val="4"/>
    <w:semiHidden/>
    <w:locked/>
    <w:uiPriority w:val="99"/>
    <w:rPr>
      <w:rFonts w:ascii="Calibri" w:hAnsi="Calibri" w:cs="Times New Roman"/>
      <w:sz w:val="18"/>
      <w:szCs w:val="18"/>
    </w:rPr>
  </w:style>
  <w:style w:type="character" w:customStyle="1" w:styleId="12">
    <w:name w:val="Header Char"/>
    <w:basedOn w:val="8"/>
    <w:link w:val="5"/>
    <w:semiHidden/>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6</Pages>
  <Words>3383</Words>
  <Characters>3424</Characters>
  <Lines>0</Lines>
  <Paragraphs>0</Paragraphs>
  <TotalTime>165</TotalTime>
  <ScaleCrop>false</ScaleCrop>
  <LinksUpToDate>false</LinksUpToDate>
  <CharactersWithSpaces>3424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2022-03-11T03:10:00Z</dcterms:created>
  <dc:creator>lenovo</dc:creator>
  <cp:lastModifiedBy>微信用户</cp:lastModifiedBy>
  <dcterms:modified xsi:type="dcterms:W3CDTF">2022-05-12T01:05:05Z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22B26A3DD49C4D8F907006E280D89E73</vt:lpwstr>
  </property>
</Properties>
</file>