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方正黑体_GBK" w:eastAsia="方正黑体_GBK"/>
          <w:szCs w:val="32"/>
        </w:rPr>
      </w:pPr>
      <w:r>
        <w:rPr>
          <w:rFonts w:hint="eastAsia" w:ascii="方正黑体_GBK" w:eastAsia="方正黑体_GBK"/>
          <w:szCs w:val="32"/>
        </w:rPr>
        <w:t>附件1</w:t>
      </w:r>
    </w:p>
    <w:p>
      <w:pPr>
        <w:pStyle w:val="3"/>
        <w:spacing w:line="700" w:lineRule="exact"/>
        <w:ind w:right="108"/>
        <w:jc w:val="center"/>
        <w:rPr>
          <w:rFonts w:ascii="方正小标宋_GBK" w:hAnsi="Times New Roman" w:eastAsia="方正小标宋_GBK" w:cs="Times New Roman"/>
          <w:color w:val="231F20"/>
          <w:sz w:val="44"/>
          <w:szCs w:val="44"/>
        </w:rPr>
      </w:pPr>
      <w:r>
        <w:rPr>
          <w:rFonts w:hint="eastAsia" w:ascii="方正小标宋_GBK" w:hAnsi="Times New Roman" w:eastAsia="方正小标宋_GBK" w:cs="Times New Roman"/>
          <w:color w:val="231F20"/>
          <w:sz w:val="44"/>
          <w:szCs w:val="44"/>
        </w:rPr>
        <w:t>常州市水利工程质量检测单位“双随机、一公开”抽查事项清单</w:t>
      </w:r>
    </w:p>
    <w:p>
      <w:pPr>
        <w:jc w:val="center"/>
        <w:rPr>
          <w:rFonts w:ascii="黑体" w:hAnsi="黑体" w:eastAsia="黑体"/>
          <w:szCs w:val="32"/>
        </w:rPr>
      </w:pPr>
    </w:p>
    <w:tbl>
      <w:tblPr>
        <w:tblStyle w:val="7"/>
        <w:tblW w:w="151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080"/>
        <w:gridCol w:w="1320"/>
        <w:gridCol w:w="1950"/>
        <w:gridCol w:w="5835"/>
        <w:gridCol w:w="1080"/>
        <w:gridCol w:w="2513"/>
        <w:gridCol w:w="7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blHeader/>
          <w:jc w:val="center"/>
        </w:trPr>
        <w:tc>
          <w:tcPr>
            <w:tcW w:w="709" w:type="dxa"/>
            <w:vAlign w:val="center"/>
          </w:tcPr>
          <w:p>
            <w:pPr>
              <w:widowControl/>
              <w:spacing w:line="240" w:lineRule="exact"/>
              <w:jc w:val="center"/>
              <w:rPr>
                <w:rFonts w:ascii="方正黑体_GBK" w:hAnsi="黑体" w:eastAsia="方正黑体_GBK" w:cs="黑体"/>
                <w:color w:val="000000"/>
                <w:kern w:val="0"/>
                <w:sz w:val="21"/>
                <w:szCs w:val="21"/>
              </w:rPr>
            </w:pPr>
            <w:r>
              <w:rPr>
                <w:rFonts w:hint="eastAsia" w:ascii="方正黑体_GBK" w:hAnsi="黑体" w:eastAsia="方正黑体_GBK" w:cs="黑体"/>
                <w:color w:val="000000"/>
                <w:kern w:val="0"/>
                <w:sz w:val="21"/>
                <w:szCs w:val="21"/>
              </w:rPr>
              <w:t>序号</w:t>
            </w:r>
          </w:p>
        </w:tc>
        <w:tc>
          <w:tcPr>
            <w:tcW w:w="1080" w:type="dxa"/>
            <w:vAlign w:val="center"/>
          </w:tcPr>
          <w:p>
            <w:pPr>
              <w:widowControl/>
              <w:spacing w:line="240" w:lineRule="exact"/>
              <w:jc w:val="center"/>
              <w:rPr>
                <w:rFonts w:ascii="方正黑体_GBK" w:hAnsi="黑体" w:eastAsia="方正黑体_GBK" w:cs="黑体"/>
                <w:color w:val="000000"/>
                <w:kern w:val="0"/>
                <w:sz w:val="21"/>
                <w:szCs w:val="21"/>
              </w:rPr>
            </w:pPr>
            <w:r>
              <w:rPr>
                <w:rFonts w:hint="eastAsia" w:ascii="方正黑体_GBK" w:hAnsi="黑体" w:eastAsia="方正黑体_GBK" w:cs="黑体"/>
                <w:color w:val="000000"/>
                <w:kern w:val="0"/>
                <w:sz w:val="21"/>
                <w:szCs w:val="21"/>
              </w:rPr>
              <w:t>检查项目</w:t>
            </w:r>
          </w:p>
        </w:tc>
        <w:tc>
          <w:tcPr>
            <w:tcW w:w="1320" w:type="dxa"/>
            <w:vAlign w:val="center"/>
          </w:tcPr>
          <w:p>
            <w:pPr>
              <w:widowControl/>
              <w:spacing w:line="240" w:lineRule="exact"/>
              <w:jc w:val="center"/>
              <w:rPr>
                <w:rFonts w:ascii="方正黑体_GBK" w:hAnsi="黑体" w:eastAsia="方正黑体_GBK" w:cs="黑体"/>
                <w:color w:val="000000"/>
                <w:kern w:val="0"/>
                <w:sz w:val="21"/>
                <w:szCs w:val="21"/>
              </w:rPr>
            </w:pPr>
            <w:r>
              <w:rPr>
                <w:rFonts w:hint="eastAsia" w:ascii="方正黑体_GBK" w:hAnsi="黑体" w:eastAsia="方正黑体_GBK" w:cs="黑体"/>
                <w:color w:val="000000"/>
                <w:kern w:val="0"/>
                <w:sz w:val="21"/>
                <w:szCs w:val="21"/>
              </w:rPr>
              <w:t>检查子项</w:t>
            </w:r>
          </w:p>
        </w:tc>
        <w:tc>
          <w:tcPr>
            <w:tcW w:w="1950" w:type="dxa"/>
            <w:vAlign w:val="center"/>
          </w:tcPr>
          <w:p>
            <w:pPr>
              <w:widowControl/>
              <w:spacing w:line="240" w:lineRule="exact"/>
              <w:jc w:val="center"/>
              <w:rPr>
                <w:rFonts w:ascii="方正黑体_GBK" w:hAnsi="黑体" w:eastAsia="方正黑体_GBK" w:cs="黑体"/>
                <w:color w:val="000000"/>
                <w:kern w:val="0"/>
                <w:sz w:val="21"/>
                <w:szCs w:val="21"/>
              </w:rPr>
            </w:pPr>
            <w:r>
              <w:rPr>
                <w:rFonts w:hint="eastAsia" w:ascii="方正黑体_GBK" w:hAnsi="黑体" w:eastAsia="方正黑体_GBK" w:cs="黑体"/>
                <w:color w:val="000000"/>
                <w:kern w:val="0"/>
                <w:sz w:val="21"/>
                <w:szCs w:val="21"/>
              </w:rPr>
              <w:t>检查依据</w:t>
            </w:r>
          </w:p>
        </w:tc>
        <w:tc>
          <w:tcPr>
            <w:tcW w:w="5835" w:type="dxa"/>
            <w:vAlign w:val="center"/>
          </w:tcPr>
          <w:p>
            <w:pPr>
              <w:widowControl/>
              <w:tabs>
                <w:tab w:val="left" w:pos="4465"/>
              </w:tabs>
              <w:spacing w:line="240" w:lineRule="exact"/>
              <w:jc w:val="center"/>
              <w:rPr>
                <w:rFonts w:ascii="方正黑体_GBK" w:hAnsi="黑体" w:eastAsia="方正黑体_GBK" w:cs="黑体"/>
                <w:color w:val="000000"/>
                <w:kern w:val="0"/>
                <w:sz w:val="21"/>
                <w:szCs w:val="21"/>
              </w:rPr>
            </w:pPr>
            <w:r>
              <w:rPr>
                <w:rFonts w:hint="eastAsia" w:ascii="方正黑体_GBK" w:hAnsi="黑体" w:eastAsia="方正黑体_GBK" w:cs="黑体"/>
                <w:color w:val="000000"/>
                <w:kern w:val="0"/>
                <w:sz w:val="21"/>
                <w:szCs w:val="21"/>
              </w:rPr>
              <w:t>检查内容</w:t>
            </w:r>
          </w:p>
        </w:tc>
        <w:tc>
          <w:tcPr>
            <w:tcW w:w="1080" w:type="dxa"/>
            <w:vAlign w:val="center"/>
          </w:tcPr>
          <w:p>
            <w:pPr>
              <w:widowControl/>
              <w:spacing w:line="240" w:lineRule="exact"/>
              <w:jc w:val="center"/>
              <w:rPr>
                <w:rFonts w:ascii="方正黑体_GBK" w:hAnsi="黑体" w:eastAsia="方正黑体_GBK" w:cs="黑体"/>
                <w:color w:val="000000"/>
                <w:kern w:val="0"/>
                <w:sz w:val="21"/>
                <w:szCs w:val="21"/>
              </w:rPr>
            </w:pPr>
            <w:r>
              <w:rPr>
                <w:rFonts w:hint="eastAsia" w:ascii="方正黑体_GBK" w:hAnsi="黑体" w:eastAsia="方正黑体_GBK" w:cs="黑体"/>
                <w:color w:val="000000"/>
                <w:kern w:val="0"/>
                <w:sz w:val="21"/>
                <w:szCs w:val="21"/>
              </w:rPr>
              <w:t>检查方式</w:t>
            </w:r>
          </w:p>
        </w:tc>
        <w:tc>
          <w:tcPr>
            <w:tcW w:w="2513" w:type="dxa"/>
            <w:vAlign w:val="center"/>
          </w:tcPr>
          <w:p>
            <w:pPr>
              <w:widowControl/>
              <w:spacing w:line="240" w:lineRule="exact"/>
              <w:jc w:val="center"/>
              <w:rPr>
                <w:rFonts w:ascii="方正黑体_GBK" w:hAnsi="黑体" w:eastAsia="方正黑体_GBK" w:cs="黑体"/>
                <w:color w:val="000000"/>
                <w:kern w:val="0"/>
                <w:sz w:val="21"/>
                <w:szCs w:val="21"/>
              </w:rPr>
            </w:pPr>
            <w:r>
              <w:rPr>
                <w:rFonts w:hint="eastAsia" w:ascii="方正黑体_GBK" w:hAnsi="黑体" w:eastAsia="方正黑体_GBK" w:cs="黑体"/>
                <w:color w:val="000000"/>
                <w:kern w:val="0"/>
                <w:sz w:val="21"/>
                <w:szCs w:val="21"/>
              </w:rPr>
              <w:t>检查方法</w:t>
            </w:r>
          </w:p>
        </w:tc>
        <w:tc>
          <w:tcPr>
            <w:tcW w:w="702" w:type="dxa"/>
            <w:vAlign w:val="center"/>
          </w:tcPr>
          <w:p>
            <w:pPr>
              <w:widowControl/>
              <w:spacing w:line="240" w:lineRule="exact"/>
              <w:jc w:val="center"/>
              <w:rPr>
                <w:rFonts w:ascii="方正黑体_GBK" w:hAnsi="黑体" w:eastAsia="方正黑体_GBK" w:cs="黑体"/>
                <w:color w:val="000000"/>
                <w:kern w:val="0"/>
                <w:sz w:val="21"/>
                <w:szCs w:val="21"/>
              </w:rPr>
            </w:pPr>
            <w:r>
              <w:rPr>
                <w:rFonts w:hint="eastAsia" w:ascii="方正黑体_GBK" w:hAnsi="黑体" w:eastAsia="方正黑体_GBK" w:cs="黑体"/>
                <w:color w:val="000000"/>
                <w:kern w:val="0"/>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709" w:type="dxa"/>
            <w:vMerge w:val="restart"/>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1</w:t>
            </w:r>
          </w:p>
        </w:tc>
        <w:tc>
          <w:tcPr>
            <w:tcW w:w="1080" w:type="dxa"/>
            <w:vMerge w:val="restart"/>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资质复核</w:t>
            </w:r>
          </w:p>
        </w:tc>
        <w:tc>
          <w:tcPr>
            <w:tcW w:w="1320" w:type="dxa"/>
            <w:vMerge w:val="restart"/>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资质等级证书</w:t>
            </w:r>
          </w:p>
        </w:tc>
        <w:tc>
          <w:tcPr>
            <w:tcW w:w="1950"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《水利工程质量检测管理规定》第六条</w:t>
            </w:r>
          </w:p>
        </w:tc>
        <w:tc>
          <w:tcPr>
            <w:tcW w:w="5835" w:type="dxa"/>
            <w:vAlign w:val="center"/>
          </w:tcPr>
          <w:p>
            <w:pPr>
              <w:widowControl/>
              <w:jc w:val="left"/>
              <w:rPr>
                <w:rFonts w:ascii="Times New Roman" w:hAnsi="Times New Roman"/>
                <w:color w:val="000000"/>
                <w:kern w:val="0"/>
                <w:sz w:val="21"/>
                <w:szCs w:val="21"/>
              </w:rPr>
            </w:pPr>
            <w:r>
              <w:rPr>
                <w:rFonts w:ascii="Times New Roman" w:hAnsi="Times New Roman"/>
                <w:color w:val="000000"/>
                <w:kern w:val="0"/>
                <w:sz w:val="21"/>
                <w:szCs w:val="21"/>
              </w:rPr>
              <w:t>计量认证证书是否在有效期内</w:t>
            </w:r>
          </w:p>
        </w:tc>
        <w:tc>
          <w:tcPr>
            <w:tcW w:w="1080"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实地核查</w:t>
            </w:r>
          </w:p>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书面检查</w:t>
            </w:r>
          </w:p>
        </w:tc>
        <w:tc>
          <w:tcPr>
            <w:tcW w:w="2513"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核查证书有效日期</w:t>
            </w:r>
          </w:p>
        </w:tc>
        <w:tc>
          <w:tcPr>
            <w:tcW w:w="702" w:type="dxa"/>
          </w:tcPr>
          <w:p>
            <w:pPr>
              <w:widowControl/>
              <w:jc w:val="center"/>
              <w:rPr>
                <w:rFonts w:ascii="Times New Roman" w:hAnsi="Times New Roman"/>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709" w:type="dxa"/>
            <w:vMerge w:val="continue"/>
            <w:vAlign w:val="center"/>
          </w:tcPr>
          <w:p>
            <w:pPr>
              <w:widowControl/>
              <w:jc w:val="center"/>
              <w:rPr>
                <w:rFonts w:ascii="Times New Roman" w:hAnsi="Times New Roman"/>
                <w:color w:val="000000"/>
                <w:kern w:val="0"/>
                <w:sz w:val="21"/>
                <w:szCs w:val="21"/>
              </w:rPr>
            </w:pPr>
          </w:p>
        </w:tc>
        <w:tc>
          <w:tcPr>
            <w:tcW w:w="1080" w:type="dxa"/>
            <w:vMerge w:val="continue"/>
            <w:vAlign w:val="center"/>
          </w:tcPr>
          <w:p>
            <w:pPr>
              <w:widowControl/>
              <w:jc w:val="center"/>
              <w:rPr>
                <w:rFonts w:ascii="Times New Roman" w:hAnsi="Times New Roman"/>
                <w:color w:val="000000"/>
                <w:kern w:val="0"/>
                <w:sz w:val="21"/>
                <w:szCs w:val="21"/>
              </w:rPr>
            </w:pPr>
          </w:p>
        </w:tc>
        <w:tc>
          <w:tcPr>
            <w:tcW w:w="1320" w:type="dxa"/>
            <w:vMerge w:val="continue"/>
            <w:vAlign w:val="center"/>
          </w:tcPr>
          <w:p>
            <w:pPr>
              <w:widowControl/>
              <w:jc w:val="center"/>
              <w:rPr>
                <w:rFonts w:ascii="Times New Roman" w:hAnsi="Times New Roman"/>
                <w:color w:val="000000"/>
                <w:kern w:val="0"/>
                <w:sz w:val="21"/>
                <w:szCs w:val="21"/>
              </w:rPr>
            </w:pPr>
          </w:p>
        </w:tc>
        <w:tc>
          <w:tcPr>
            <w:tcW w:w="1950"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《水利工程质量检测管理规定》第十条</w:t>
            </w:r>
          </w:p>
        </w:tc>
        <w:tc>
          <w:tcPr>
            <w:tcW w:w="5835" w:type="dxa"/>
            <w:vAlign w:val="center"/>
          </w:tcPr>
          <w:p>
            <w:pPr>
              <w:widowControl/>
              <w:jc w:val="left"/>
              <w:rPr>
                <w:rFonts w:ascii="Times New Roman" w:hAnsi="Times New Roman"/>
                <w:color w:val="000000"/>
                <w:kern w:val="0"/>
                <w:sz w:val="21"/>
                <w:szCs w:val="21"/>
              </w:rPr>
            </w:pPr>
            <w:r>
              <w:rPr>
                <w:rFonts w:ascii="Times New Roman" w:hAnsi="Times New Roman"/>
                <w:color w:val="000000"/>
                <w:kern w:val="0"/>
                <w:sz w:val="21"/>
                <w:szCs w:val="21"/>
              </w:rPr>
              <w:t>检测单位名称、地址、法定代表人、技术负责人等信息在资质等级证书、营业执照等一致性</w:t>
            </w:r>
          </w:p>
        </w:tc>
        <w:tc>
          <w:tcPr>
            <w:tcW w:w="1080"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实地核查</w:t>
            </w:r>
          </w:p>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书面检查</w:t>
            </w:r>
          </w:p>
        </w:tc>
        <w:tc>
          <w:tcPr>
            <w:tcW w:w="2513"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对照相关证、照信息</w:t>
            </w:r>
          </w:p>
        </w:tc>
        <w:tc>
          <w:tcPr>
            <w:tcW w:w="702" w:type="dxa"/>
          </w:tcPr>
          <w:p>
            <w:pPr>
              <w:widowControl/>
              <w:jc w:val="center"/>
              <w:rPr>
                <w:rFonts w:ascii="Times New Roman" w:hAnsi="Times New Roman"/>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709" w:type="dxa"/>
            <w:vMerge w:val="continue"/>
            <w:vAlign w:val="center"/>
          </w:tcPr>
          <w:p>
            <w:pPr>
              <w:widowControl/>
              <w:jc w:val="center"/>
              <w:rPr>
                <w:rFonts w:ascii="Times New Roman" w:hAnsi="Times New Roman"/>
                <w:color w:val="000000"/>
                <w:kern w:val="0"/>
                <w:sz w:val="21"/>
                <w:szCs w:val="21"/>
              </w:rPr>
            </w:pPr>
          </w:p>
        </w:tc>
        <w:tc>
          <w:tcPr>
            <w:tcW w:w="1080" w:type="dxa"/>
            <w:vMerge w:val="continue"/>
            <w:vAlign w:val="center"/>
          </w:tcPr>
          <w:p>
            <w:pPr>
              <w:widowControl/>
              <w:jc w:val="center"/>
              <w:rPr>
                <w:rFonts w:ascii="Times New Roman" w:hAnsi="Times New Roman"/>
                <w:color w:val="000000"/>
                <w:kern w:val="0"/>
                <w:sz w:val="21"/>
                <w:szCs w:val="21"/>
              </w:rPr>
            </w:pPr>
          </w:p>
        </w:tc>
        <w:tc>
          <w:tcPr>
            <w:tcW w:w="1320" w:type="dxa"/>
            <w:vMerge w:val="restart"/>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人员资格</w:t>
            </w:r>
          </w:p>
        </w:tc>
        <w:tc>
          <w:tcPr>
            <w:tcW w:w="1950"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《水利部关于发布水利工程质量检测单位资质等级标准的公告》</w:t>
            </w:r>
          </w:p>
        </w:tc>
        <w:tc>
          <w:tcPr>
            <w:tcW w:w="5835" w:type="dxa"/>
            <w:vAlign w:val="center"/>
          </w:tcPr>
          <w:p>
            <w:pPr>
              <w:widowControl/>
              <w:jc w:val="left"/>
              <w:rPr>
                <w:rFonts w:ascii="Times New Roman" w:hAnsi="Times New Roman"/>
                <w:color w:val="000000"/>
                <w:kern w:val="0"/>
                <w:sz w:val="21"/>
                <w:szCs w:val="21"/>
              </w:rPr>
            </w:pPr>
            <w:r>
              <w:rPr>
                <w:rFonts w:ascii="Times New Roman" w:hAnsi="Times New Roman"/>
                <w:color w:val="000000"/>
                <w:kern w:val="0"/>
                <w:sz w:val="21"/>
                <w:szCs w:val="21"/>
              </w:rPr>
              <w:t>技术负责人是否具有10年以上从事水利水电工程建设相关工作经历，并具有水利水电专业高级以上技术职称</w:t>
            </w:r>
          </w:p>
        </w:tc>
        <w:tc>
          <w:tcPr>
            <w:tcW w:w="1080"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实地核查</w:t>
            </w:r>
          </w:p>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书面检查</w:t>
            </w:r>
          </w:p>
        </w:tc>
        <w:tc>
          <w:tcPr>
            <w:tcW w:w="2513"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检查劳动合同、社保证明、职称证书等</w:t>
            </w:r>
          </w:p>
        </w:tc>
        <w:tc>
          <w:tcPr>
            <w:tcW w:w="702" w:type="dxa"/>
          </w:tcPr>
          <w:p>
            <w:pPr>
              <w:widowControl/>
              <w:jc w:val="center"/>
              <w:rPr>
                <w:rFonts w:ascii="Times New Roman" w:hAnsi="Times New Roman"/>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709" w:type="dxa"/>
            <w:vMerge w:val="continue"/>
            <w:vAlign w:val="center"/>
          </w:tcPr>
          <w:p>
            <w:pPr>
              <w:widowControl/>
              <w:jc w:val="center"/>
              <w:rPr>
                <w:rFonts w:ascii="Times New Roman" w:hAnsi="Times New Roman"/>
                <w:color w:val="000000"/>
                <w:kern w:val="0"/>
                <w:sz w:val="21"/>
                <w:szCs w:val="21"/>
              </w:rPr>
            </w:pPr>
          </w:p>
        </w:tc>
        <w:tc>
          <w:tcPr>
            <w:tcW w:w="1080" w:type="dxa"/>
            <w:vMerge w:val="continue"/>
            <w:vAlign w:val="center"/>
          </w:tcPr>
          <w:p>
            <w:pPr>
              <w:widowControl/>
              <w:jc w:val="center"/>
              <w:rPr>
                <w:rFonts w:ascii="Times New Roman" w:hAnsi="Times New Roman"/>
                <w:color w:val="000000"/>
                <w:kern w:val="0"/>
                <w:sz w:val="21"/>
                <w:szCs w:val="21"/>
              </w:rPr>
            </w:pPr>
          </w:p>
        </w:tc>
        <w:tc>
          <w:tcPr>
            <w:tcW w:w="1320" w:type="dxa"/>
            <w:vMerge w:val="continue"/>
            <w:vAlign w:val="center"/>
          </w:tcPr>
          <w:p>
            <w:pPr>
              <w:widowControl/>
              <w:jc w:val="center"/>
              <w:rPr>
                <w:rFonts w:ascii="Times New Roman" w:hAnsi="Times New Roman"/>
                <w:color w:val="000000"/>
                <w:kern w:val="0"/>
                <w:sz w:val="21"/>
                <w:szCs w:val="21"/>
              </w:rPr>
            </w:pPr>
          </w:p>
        </w:tc>
        <w:tc>
          <w:tcPr>
            <w:tcW w:w="1950"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《水利部关于发布水利工程质量检测单位资质等级标准的公告》</w:t>
            </w:r>
          </w:p>
        </w:tc>
        <w:tc>
          <w:tcPr>
            <w:tcW w:w="5835" w:type="dxa"/>
            <w:vAlign w:val="center"/>
          </w:tcPr>
          <w:p>
            <w:pPr>
              <w:widowControl/>
              <w:jc w:val="left"/>
              <w:rPr>
                <w:rFonts w:ascii="Times New Roman" w:hAnsi="Times New Roman"/>
                <w:color w:val="000000"/>
                <w:kern w:val="0"/>
                <w:sz w:val="21"/>
                <w:szCs w:val="21"/>
              </w:rPr>
            </w:pPr>
            <w:r>
              <w:rPr>
                <w:rFonts w:ascii="Times New Roman" w:hAnsi="Times New Roman"/>
                <w:color w:val="000000"/>
                <w:kern w:val="0"/>
                <w:sz w:val="21"/>
                <w:szCs w:val="21"/>
              </w:rPr>
              <w:t>检测人员是否具有水利工程质量检测员职业资格或者具备水利水电工程及相关专业中级以上技术职称，不少于规定人数</w:t>
            </w:r>
          </w:p>
        </w:tc>
        <w:tc>
          <w:tcPr>
            <w:tcW w:w="1080"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实地核查</w:t>
            </w:r>
          </w:p>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书面检查</w:t>
            </w:r>
          </w:p>
        </w:tc>
        <w:tc>
          <w:tcPr>
            <w:tcW w:w="2513"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检查劳动合同、社保缴纳证明、职称、资格证书等</w:t>
            </w:r>
          </w:p>
        </w:tc>
        <w:tc>
          <w:tcPr>
            <w:tcW w:w="702" w:type="dxa"/>
          </w:tcPr>
          <w:p>
            <w:pPr>
              <w:widowControl/>
              <w:jc w:val="center"/>
              <w:rPr>
                <w:rFonts w:ascii="Times New Roman" w:hAnsi="Times New Roman"/>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709" w:type="dxa"/>
            <w:vMerge w:val="continue"/>
            <w:vAlign w:val="center"/>
          </w:tcPr>
          <w:p>
            <w:pPr>
              <w:widowControl/>
              <w:jc w:val="center"/>
              <w:rPr>
                <w:rFonts w:ascii="Times New Roman" w:hAnsi="Times New Roman"/>
                <w:color w:val="000000"/>
                <w:kern w:val="0"/>
                <w:sz w:val="21"/>
                <w:szCs w:val="21"/>
              </w:rPr>
            </w:pPr>
          </w:p>
        </w:tc>
        <w:tc>
          <w:tcPr>
            <w:tcW w:w="1080" w:type="dxa"/>
            <w:vMerge w:val="continue"/>
            <w:vAlign w:val="center"/>
          </w:tcPr>
          <w:p>
            <w:pPr>
              <w:widowControl/>
              <w:jc w:val="center"/>
              <w:rPr>
                <w:rFonts w:ascii="Times New Roman" w:hAnsi="Times New Roman"/>
                <w:color w:val="000000"/>
                <w:kern w:val="0"/>
                <w:sz w:val="21"/>
                <w:szCs w:val="21"/>
              </w:rPr>
            </w:pPr>
          </w:p>
        </w:tc>
        <w:tc>
          <w:tcPr>
            <w:tcW w:w="1320" w:type="dxa"/>
            <w:vMerge w:val="restart"/>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技术管理和质量保证体系</w:t>
            </w:r>
          </w:p>
        </w:tc>
        <w:tc>
          <w:tcPr>
            <w:tcW w:w="1950"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《水利工程质量检测管理规定》第二十一条</w:t>
            </w:r>
          </w:p>
        </w:tc>
        <w:tc>
          <w:tcPr>
            <w:tcW w:w="5835" w:type="dxa"/>
            <w:vAlign w:val="center"/>
          </w:tcPr>
          <w:p>
            <w:pPr>
              <w:widowControl/>
              <w:jc w:val="left"/>
              <w:rPr>
                <w:rFonts w:ascii="Times New Roman" w:hAnsi="Times New Roman"/>
                <w:color w:val="000000"/>
                <w:kern w:val="0"/>
                <w:sz w:val="21"/>
                <w:szCs w:val="21"/>
              </w:rPr>
            </w:pPr>
            <w:r>
              <w:rPr>
                <w:rFonts w:ascii="Times New Roman" w:hAnsi="Times New Roman"/>
                <w:color w:val="000000"/>
                <w:kern w:val="0"/>
                <w:sz w:val="21"/>
                <w:szCs w:val="21"/>
              </w:rPr>
              <w:t>仪器设备运行、检定和校准情况是否符合相关规定和要求</w:t>
            </w:r>
          </w:p>
        </w:tc>
        <w:tc>
          <w:tcPr>
            <w:tcW w:w="1080"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实地核查</w:t>
            </w:r>
          </w:p>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书面检查</w:t>
            </w:r>
          </w:p>
        </w:tc>
        <w:tc>
          <w:tcPr>
            <w:tcW w:w="2513"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抽查仪器设备校准、运行、检定记录</w:t>
            </w:r>
          </w:p>
        </w:tc>
        <w:tc>
          <w:tcPr>
            <w:tcW w:w="702" w:type="dxa"/>
          </w:tcPr>
          <w:p>
            <w:pPr>
              <w:widowControl/>
              <w:jc w:val="center"/>
              <w:rPr>
                <w:rFonts w:ascii="Times New Roman" w:hAnsi="Times New Roman"/>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709" w:type="dxa"/>
            <w:vMerge w:val="continue"/>
            <w:vAlign w:val="center"/>
          </w:tcPr>
          <w:p>
            <w:pPr>
              <w:widowControl/>
              <w:jc w:val="center"/>
              <w:rPr>
                <w:rFonts w:ascii="Times New Roman" w:hAnsi="Times New Roman"/>
                <w:color w:val="000000"/>
                <w:kern w:val="0"/>
                <w:sz w:val="21"/>
                <w:szCs w:val="21"/>
              </w:rPr>
            </w:pPr>
          </w:p>
        </w:tc>
        <w:tc>
          <w:tcPr>
            <w:tcW w:w="1080" w:type="dxa"/>
            <w:vMerge w:val="continue"/>
            <w:vAlign w:val="center"/>
          </w:tcPr>
          <w:p>
            <w:pPr>
              <w:widowControl/>
              <w:jc w:val="center"/>
              <w:rPr>
                <w:rFonts w:ascii="Times New Roman" w:hAnsi="Times New Roman"/>
                <w:color w:val="000000"/>
                <w:kern w:val="0"/>
                <w:sz w:val="21"/>
                <w:szCs w:val="21"/>
              </w:rPr>
            </w:pPr>
          </w:p>
        </w:tc>
        <w:tc>
          <w:tcPr>
            <w:tcW w:w="1320" w:type="dxa"/>
            <w:vMerge w:val="continue"/>
            <w:vAlign w:val="center"/>
          </w:tcPr>
          <w:p>
            <w:pPr>
              <w:widowControl/>
              <w:jc w:val="center"/>
              <w:rPr>
                <w:rFonts w:ascii="Times New Roman" w:hAnsi="Times New Roman"/>
                <w:color w:val="000000"/>
                <w:kern w:val="0"/>
                <w:sz w:val="21"/>
                <w:szCs w:val="21"/>
              </w:rPr>
            </w:pPr>
          </w:p>
        </w:tc>
        <w:tc>
          <w:tcPr>
            <w:tcW w:w="1950"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《水利工程质量检测管理规定》第十九条</w:t>
            </w:r>
          </w:p>
        </w:tc>
        <w:tc>
          <w:tcPr>
            <w:tcW w:w="5835" w:type="dxa"/>
            <w:vAlign w:val="center"/>
          </w:tcPr>
          <w:p>
            <w:pPr>
              <w:widowControl/>
              <w:jc w:val="left"/>
              <w:rPr>
                <w:rFonts w:ascii="Times New Roman" w:hAnsi="Times New Roman"/>
                <w:color w:val="000000"/>
                <w:kern w:val="0"/>
                <w:sz w:val="21"/>
                <w:szCs w:val="21"/>
              </w:rPr>
            </w:pPr>
            <w:r>
              <w:rPr>
                <w:rFonts w:ascii="Times New Roman" w:hAnsi="Times New Roman"/>
                <w:color w:val="000000"/>
                <w:kern w:val="0"/>
                <w:sz w:val="21"/>
                <w:szCs w:val="21"/>
              </w:rPr>
              <w:t>检测单位是否建立档案管理制度，单独建立检测结果不合格项目台账</w:t>
            </w:r>
          </w:p>
        </w:tc>
        <w:tc>
          <w:tcPr>
            <w:tcW w:w="1080"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实地核查</w:t>
            </w:r>
          </w:p>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书面检查</w:t>
            </w:r>
          </w:p>
        </w:tc>
        <w:tc>
          <w:tcPr>
            <w:tcW w:w="2513"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查看制度及台账</w:t>
            </w:r>
          </w:p>
        </w:tc>
        <w:tc>
          <w:tcPr>
            <w:tcW w:w="702" w:type="dxa"/>
          </w:tcPr>
          <w:p>
            <w:pPr>
              <w:widowControl/>
              <w:jc w:val="center"/>
              <w:rPr>
                <w:rFonts w:ascii="Times New Roman" w:hAnsi="Times New Roman"/>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709" w:type="dxa"/>
            <w:vMerge w:val="restart"/>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2</w:t>
            </w:r>
          </w:p>
        </w:tc>
        <w:tc>
          <w:tcPr>
            <w:tcW w:w="1080" w:type="dxa"/>
            <w:vMerge w:val="restart"/>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质量行为</w:t>
            </w:r>
          </w:p>
        </w:tc>
        <w:tc>
          <w:tcPr>
            <w:tcW w:w="1320" w:type="dxa"/>
            <w:vMerge w:val="restart"/>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检测资质</w:t>
            </w:r>
          </w:p>
        </w:tc>
        <w:tc>
          <w:tcPr>
            <w:tcW w:w="1950"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《水利工程质量检测管理规定》第十二条</w:t>
            </w:r>
          </w:p>
        </w:tc>
        <w:tc>
          <w:tcPr>
            <w:tcW w:w="5835" w:type="dxa"/>
            <w:vAlign w:val="center"/>
          </w:tcPr>
          <w:p>
            <w:pPr>
              <w:widowControl/>
              <w:jc w:val="left"/>
              <w:rPr>
                <w:rFonts w:ascii="Times New Roman" w:hAnsi="Times New Roman"/>
                <w:color w:val="000000"/>
                <w:kern w:val="0"/>
                <w:sz w:val="21"/>
                <w:szCs w:val="21"/>
              </w:rPr>
            </w:pPr>
            <w:r>
              <w:rPr>
                <w:rFonts w:ascii="Times New Roman" w:hAnsi="Times New Roman"/>
                <w:color w:val="000000"/>
                <w:kern w:val="0"/>
                <w:sz w:val="21"/>
                <w:szCs w:val="21"/>
              </w:rPr>
              <w:t>是否存在涂改、倒卖、出租、出借或者其他形式非法转让《资质等级证书》的情况</w:t>
            </w:r>
          </w:p>
        </w:tc>
        <w:tc>
          <w:tcPr>
            <w:tcW w:w="1080"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实地核查</w:t>
            </w:r>
          </w:p>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书面检查</w:t>
            </w:r>
          </w:p>
        </w:tc>
        <w:tc>
          <w:tcPr>
            <w:tcW w:w="2513" w:type="dxa"/>
            <w:vAlign w:val="center"/>
          </w:tcPr>
          <w:p>
            <w:pPr>
              <w:widowControl/>
              <w:jc w:val="center"/>
              <w:rPr>
                <w:rFonts w:ascii="Times New Roman" w:hAnsi="Times New Roman"/>
                <w:color w:val="000000"/>
                <w:kern w:val="0"/>
                <w:sz w:val="21"/>
                <w:szCs w:val="21"/>
              </w:rPr>
            </w:pPr>
          </w:p>
        </w:tc>
        <w:tc>
          <w:tcPr>
            <w:tcW w:w="702" w:type="dxa"/>
          </w:tcPr>
          <w:p>
            <w:pPr>
              <w:widowControl/>
              <w:jc w:val="center"/>
              <w:rPr>
                <w:rFonts w:ascii="Times New Roman" w:hAnsi="Times New Roman"/>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709" w:type="dxa"/>
            <w:vMerge w:val="continue"/>
            <w:vAlign w:val="center"/>
          </w:tcPr>
          <w:p>
            <w:pPr>
              <w:widowControl/>
              <w:jc w:val="center"/>
              <w:rPr>
                <w:rFonts w:ascii="Times New Roman" w:hAnsi="Times New Roman"/>
                <w:color w:val="000000"/>
                <w:kern w:val="0"/>
                <w:sz w:val="21"/>
                <w:szCs w:val="21"/>
              </w:rPr>
            </w:pPr>
          </w:p>
        </w:tc>
        <w:tc>
          <w:tcPr>
            <w:tcW w:w="1080" w:type="dxa"/>
            <w:vMerge w:val="continue"/>
            <w:vAlign w:val="center"/>
          </w:tcPr>
          <w:p>
            <w:pPr>
              <w:widowControl/>
              <w:jc w:val="center"/>
              <w:rPr>
                <w:rFonts w:ascii="Times New Roman" w:hAnsi="Times New Roman"/>
                <w:color w:val="000000"/>
                <w:kern w:val="0"/>
                <w:sz w:val="21"/>
                <w:szCs w:val="21"/>
              </w:rPr>
            </w:pPr>
          </w:p>
        </w:tc>
        <w:tc>
          <w:tcPr>
            <w:tcW w:w="1320" w:type="dxa"/>
            <w:vMerge w:val="continue"/>
            <w:vAlign w:val="center"/>
          </w:tcPr>
          <w:p>
            <w:pPr>
              <w:widowControl/>
              <w:jc w:val="center"/>
              <w:rPr>
                <w:rFonts w:ascii="Times New Roman" w:hAnsi="Times New Roman"/>
                <w:color w:val="000000"/>
                <w:kern w:val="0"/>
                <w:sz w:val="21"/>
                <w:szCs w:val="21"/>
              </w:rPr>
            </w:pPr>
          </w:p>
        </w:tc>
        <w:tc>
          <w:tcPr>
            <w:tcW w:w="1950"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《水利工程质量检测管理规定》第二十四条</w:t>
            </w:r>
          </w:p>
        </w:tc>
        <w:tc>
          <w:tcPr>
            <w:tcW w:w="5835" w:type="dxa"/>
            <w:vAlign w:val="center"/>
          </w:tcPr>
          <w:p>
            <w:pPr>
              <w:widowControl/>
              <w:jc w:val="left"/>
              <w:rPr>
                <w:rFonts w:ascii="Times New Roman" w:hAnsi="Times New Roman"/>
                <w:color w:val="000000"/>
                <w:kern w:val="0"/>
                <w:sz w:val="21"/>
                <w:szCs w:val="21"/>
              </w:rPr>
            </w:pPr>
            <w:r>
              <w:rPr>
                <w:rFonts w:ascii="Times New Roman" w:hAnsi="Times New Roman"/>
                <w:color w:val="000000"/>
                <w:kern w:val="0"/>
                <w:sz w:val="21"/>
                <w:szCs w:val="21"/>
              </w:rPr>
              <w:t>是否存在未取得相应资质，擅自承担检测业务的情况</w:t>
            </w:r>
          </w:p>
        </w:tc>
        <w:tc>
          <w:tcPr>
            <w:tcW w:w="1080"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实地核查</w:t>
            </w:r>
          </w:p>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书面检查</w:t>
            </w:r>
          </w:p>
        </w:tc>
        <w:tc>
          <w:tcPr>
            <w:tcW w:w="2513"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抽查近三年承担的检测业务台账，对照资质、计量证书核查有无资质</w:t>
            </w:r>
          </w:p>
        </w:tc>
        <w:tc>
          <w:tcPr>
            <w:tcW w:w="702" w:type="dxa"/>
          </w:tcPr>
          <w:p>
            <w:pPr>
              <w:widowControl/>
              <w:jc w:val="center"/>
              <w:rPr>
                <w:rFonts w:ascii="Times New Roman" w:hAnsi="Times New Roman"/>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709" w:type="dxa"/>
            <w:vMerge w:val="continue"/>
            <w:vAlign w:val="center"/>
          </w:tcPr>
          <w:p>
            <w:pPr>
              <w:widowControl/>
              <w:jc w:val="center"/>
              <w:rPr>
                <w:rFonts w:ascii="Times New Roman" w:hAnsi="Times New Roman"/>
                <w:color w:val="000000"/>
                <w:kern w:val="0"/>
                <w:sz w:val="21"/>
                <w:szCs w:val="21"/>
              </w:rPr>
            </w:pPr>
          </w:p>
        </w:tc>
        <w:tc>
          <w:tcPr>
            <w:tcW w:w="1080" w:type="dxa"/>
            <w:vMerge w:val="continue"/>
            <w:vAlign w:val="center"/>
          </w:tcPr>
          <w:p>
            <w:pPr>
              <w:widowControl/>
              <w:jc w:val="center"/>
              <w:rPr>
                <w:rFonts w:ascii="Times New Roman" w:hAnsi="Times New Roman"/>
                <w:color w:val="000000"/>
                <w:kern w:val="0"/>
                <w:sz w:val="21"/>
                <w:szCs w:val="21"/>
              </w:rPr>
            </w:pPr>
          </w:p>
        </w:tc>
        <w:tc>
          <w:tcPr>
            <w:tcW w:w="1320" w:type="dxa"/>
            <w:vMerge w:val="continue"/>
            <w:vAlign w:val="center"/>
          </w:tcPr>
          <w:p>
            <w:pPr>
              <w:widowControl/>
              <w:jc w:val="center"/>
              <w:rPr>
                <w:rFonts w:ascii="Times New Roman" w:hAnsi="Times New Roman"/>
                <w:color w:val="000000"/>
                <w:kern w:val="0"/>
                <w:sz w:val="21"/>
                <w:szCs w:val="21"/>
              </w:rPr>
            </w:pPr>
          </w:p>
        </w:tc>
        <w:tc>
          <w:tcPr>
            <w:tcW w:w="1950"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《水利工程质量检测管理规定》第十四条</w:t>
            </w:r>
          </w:p>
        </w:tc>
        <w:tc>
          <w:tcPr>
            <w:tcW w:w="5835" w:type="dxa"/>
            <w:vAlign w:val="center"/>
          </w:tcPr>
          <w:p>
            <w:pPr>
              <w:widowControl/>
              <w:jc w:val="left"/>
              <w:rPr>
                <w:rFonts w:ascii="Times New Roman" w:hAnsi="Times New Roman"/>
                <w:color w:val="000000"/>
                <w:kern w:val="0"/>
                <w:sz w:val="21"/>
                <w:szCs w:val="21"/>
              </w:rPr>
            </w:pPr>
            <w:r>
              <w:rPr>
                <w:rFonts w:ascii="Times New Roman" w:hAnsi="Times New Roman"/>
                <w:color w:val="000000"/>
                <w:kern w:val="0"/>
                <w:sz w:val="21"/>
                <w:szCs w:val="21"/>
              </w:rPr>
              <w:t>是否存在转包质量检测业务或未经委托方同意分包质量检测业务的问题</w:t>
            </w:r>
          </w:p>
        </w:tc>
        <w:tc>
          <w:tcPr>
            <w:tcW w:w="1080"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实地核查</w:t>
            </w:r>
          </w:p>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书面检查</w:t>
            </w:r>
          </w:p>
        </w:tc>
        <w:tc>
          <w:tcPr>
            <w:tcW w:w="2513"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抽查合同</w:t>
            </w:r>
          </w:p>
        </w:tc>
        <w:tc>
          <w:tcPr>
            <w:tcW w:w="702" w:type="dxa"/>
          </w:tcPr>
          <w:p>
            <w:pPr>
              <w:widowControl/>
              <w:jc w:val="center"/>
              <w:rPr>
                <w:rFonts w:ascii="Times New Roman" w:hAnsi="Times New Roman"/>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709" w:type="dxa"/>
            <w:vMerge w:val="continue"/>
            <w:vAlign w:val="center"/>
          </w:tcPr>
          <w:p>
            <w:pPr>
              <w:widowControl/>
              <w:jc w:val="center"/>
              <w:rPr>
                <w:rFonts w:ascii="Times New Roman" w:hAnsi="Times New Roman"/>
                <w:color w:val="000000"/>
                <w:kern w:val="0"/>
                <w:sz w:val="21"/>
                <w:szCs w:val="21"/>
              </w:rPr>
            </w:pPr>
          </w:p>
        </w:tc>
        <w:tc>
          <w:tcPr>
            <w:tcW w:w="1080" w:type="dxa"/>
            <w:vMerge w:val="continue"/>
            <w:vAlign w:val="center"/>
          </w:tcPr>
          <w:p>
            <w:pPr>
              <w:widowControl/>
              <w:jc w:val="center"/>
              <w:rPr>
                <w:rFonts w:ascii="Times New Roman" w:hAnsi="Times New Roman"/>
                <w:color w:val="000000"/>
                <w:kern w:val="0"/>
                <w:sz w:val="21"/>
                <w:szCs w:val="21"/>
              </w:rPr>
            </w:pPr>
          </w:p>
        </w:tc>
        <w:tc>
          <w:tcPr>
            <w:tcW w:w="1320" w:type="dxa"/>
            <w:vMerge w:val="continue"/>
            <w:vAlign w:val="center"/>
          </w:tcPr>
          <w:p>
            <w:pPr>
              <w:widowControl/>
              <w:jc w:val="center"/>
              <w:rPr>
                <w:rFonts w:ascii="Times New Roman" w:hAnsi="Times New Roman"/>
                <w:color w:val="000000"/>
                <w:kern w:val="0"/>
                <w:sz w:val="21"/>
                <w:szCs w:val="21"/>
              </w:rPr>
            </w:pPr>
          </w:p>
        </w:tc>
        <w:tc>
          <w:tcPr>
            <w:tcW w:w="1950"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《水利工程质量检测管理规定》第二十七条</w:t>
            </w:r>
          </w:p>
        </w:tc>
        <w:tc>
          <w:tcPr>
            <w:tcW w:w="5835" w:type="dxa"/>
            <w:vAlign w:val="center"/>
          </w:tcPr>
          <w:p>
            <w:pPr>
              <w:widowControl/>
              <w:jc w:val="left"/>
              <w:rPr>
                <w:rFonts w:ascii="Times New Roman" w:hAnsi="Times New Roman"/>
                <w:color w:val="000000"/>
                <w:kern w:val="0"/>
                <w:sz w:val="21"/>
                <w:szCs w:val="21"/>
              </w:rPr>
            </w:pPr>
            <w:r>
              <w:rPr>
                <w:rFonts w:ascii="Times New Roman" w:hAnsi="Times New Roman"/>
                <w:color w:val="000000"/>
                <w:kern w:val="0"/>
                <w:sz w:val="21"/>
                <w:szCs w:val="21"/>
              </w:rPr>
              <w:t>是否存在超出资质等级范围从事检测活动的情况</w:t>
            </w:r>
          </w:p>
        </w:tc>
        <w:tc>
          <w:tcPr>
            <w:tcW w:w="1080"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实地核查</w:t>
            </w:r>
          </w:p>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书面检查</w:t>
            </w:r>
          </w:p>
        </w:tc>
        <w:tc>
          <w:tcPr>
            <w:tcW w:w="2513"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抽查近三年承担的检测业务台账，对照资质、计量证书核查有无资质超越情况</w:t>
            </w:r>
          </w:p>
        </w:tc>
        <w:tc>
          <w:tcPr>
            <w:tcW w:w="702" w:type="dxa"/>
          </w:tcPr>
          <w:p>
            <w:pPr>
              <w:widowControl/>
              <w:jc w:val="center"/>
              <w:rPr>
                <w:rFonts w:ascii="Times New Roman" w:hAnsi="Times New Roman"/>
                <w:color w:val="FF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709" w:type="dxa"/>
            <w:vMerge w:val="continue"/>
            <w:vAlign w:val="center"/>
          </w:tcPr>
          <w:p>
            <w:pPr>
              <w:widowControl/>
              <w:jc w:val="center"/>
              <w:rPr>
                <w:rFonts w:ascii="Times New Roman" w:hAnsi="Times New Roman"/>
                <w:color w:val="000000"/>
                <w:kern w:val="0"/>
                <w:sz w:val="21"/>
                <w:szCs w:val="21"/>
              </w:rPr>
            </w:pPr>
          </w:p>
        </w:tc>
        <w:tc>
          <w:tcPr>
            <w:tcW w:w="1080" w:type="dxa"/>
            <w:vMerge w:val="continue"/>
            <w:vAlign w:val="center"/>
          </w:tcPr>
          <w:p>
            <w:pPr>
              <w:widowControl/>
              <w:jc w:val="center"/>
              <w:rPr>
                <w:rFonts w:ascii="Times New Roman" w:hAnsi="Times New Roman"/>
                <w:color w:val="000000"/>
                <w:kern w:val="0"/>
                <w:sz w:val="21"/>
                <w:szCs w:val="21"/>
              </w:rPr>
            </w:pPr>
          </w:p>
        </w:tc>
        <w:tc>
          <w:tcPr>
            <w:tcW w:w="1320" w:type="dxa"/>
            <w:vMerge w:val="restart"/>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仪器设备</w:t>
            </w:r>
          </w:p>
        </w:tc>
        <w:tc>
          <w:tcPr>
            <w:tcW w:w="1950"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《质量检测单位质量管理违规行为分类标准》第8条</w:t>
            </w:r>
          </w:p>
        </w:tc>
        <w:tc>
          <w:tcPr>
            <w:tcW w:w="5835" w:type="dxa"/>
            <w:vAlign w:val="center"/>
          </w:tcPr>
          <w:p>
            <w:pPr>
              <w:widowControl/>
              <w:jc w:val="left"/>
              <w:rPr>
                <w:rFonts w:ascii="Times New Roman" w:hAnsi="Times New Roman"/>
                <w:color w:val="000000"/>
                <w:kern w:val="0"/>
                <w:sz w:val="21"/>
                <w:szCs w:val="21"/>
              </w:rPr>
            </w:pPr>
            <w:r>
              <w:rPr>
                <w:rFonts w:ascii="Times New Roman" w:hAnsi="Times New Roman"/>
                <w:color w:val="000000"/>
                <w:kern w:val="0"/>
                <w:sz w:val="21"/>
                <w:szCs w:val="21"/>
              </w:rPr>
              <w:t>仪器设备作业指导书是否不全</w:t>
            </w:r>
          </w:p>
        </w:tc>
        <w:tc>
          <w:tcPr>
            <w:tcW w:w="1080"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实地核查</w:t>
            </w:r>
          </w:p>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书面检查</w:t>
            </w:r>
          </w:p>
        </w:tc>
        <w:tc>
          <w:tcPr>
            <w:tcW w:w="2513"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抽查作业指导书</w:t>
            </w:r>
          </w:p>
        </w:tc>
        <w:tc>
          <w:tcPr>
            <w:tcW w:w="702" w:type="dxa"/>
          </w:tcPr>
          <w:p>
            <w:pPr>
              <w:widowControl/>
              <w:jc w:val="center"/>
              <w:rPr>
                <w:rFonts w:ascii="Times New Roman" w:hAnsi="Times New Roman"/>
                <w:color w:val="FF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709" w:type="dxa"/>
            <w:vMerge w:val="continue"/>
            <w:vAlign w:val="center"/>
          </w:tcPr>
          <w:p>
            <w:pPr>
              <w:widowControl/>
              <w:jc w:val="center"/>
              <w:rPr>
                <w:rFonts w:ascii="Times New Roman" w:hAnsi="Times New Roman"/>
                <w:color w:val="000000"/>
                <w:kern w:val="0"/>
                <w:sz w:val="21"/>
                <w:szCs w:val="21"/>
              </w:rPr>
            </w:pPr>
          </w:p>
        </w:tc>
        <w:tc>
          <w:tcPr>
            <w:tcW w:w="1080" w:type="dxa"/>
            <w:vMerge w:val="continue"/>
            <w:vAlign w:val="center"/>
          </w:tcPr>
          <w:p>
            <w:pPr>
              <w:widowControl/>
              <w:jc w:val="center"/>
              <w:rPr>
                <w:rFonts w:ascii="Times New Roman" w:hAnsi="Times New Roman"/>
                <w:color w:val="000000"/>
                <w:kern w:val="0"/>
                <w:sz w:val="21"/>
                <w:szCs w:val="21"/>
              </w:rPr>
            </w:pPr>
          </w:p>
        </w:tc>
        <w:tc>
          <w:tcPr>
            <w:tcW w:w="1320" w:type="dxa"/>
            <w:vMerge w:val="continue"/>
            <w:vAlign w:val="center"/>
          </w:tcPr>
          <w:p>
            <w:pPr>
              <w:widowControl/>
              <w:jc w:val="center"/>
              <w:rPr>
                <w:rFonts w:ascii="Times New Roman" w:hAnsi="Times New Roman"/>
                <w:color w:val="000000"/>
                <w:kern w:val="0"/>
                <w:sz w:val="21"/>
                <w:szCs w:val="21"/>
              </w:rPr>
            </w:pPr>
          </w:p>
        </w:tc>
        <w:tc>
          <w:tcPr>
            <w:tcW w:w="1950"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《质量检测单位质量管理违规行为分类标准》第12条</w:t>
            </w:r>
          </w:p>
        </w:tc>
        <w:tc>
          <w:tcPr>
            <w:tcW w:w="5835" w:type="dxa"/>
            <w:vAlign w:val="center"/>
          </w:tcPr>
          <w:p>
            <w:pPr>
              <w:widowControl/>
              <w:jc w:val="left"/>
              <w:rPr>
                <w:rFonts w:ascii="Times New Roman" w:hAnsi="Times New Roman"/>
                <w:color w:val="000000"/>
                <w:kern w:val="0"/>
                <w:sz w:val="21"/>
                <w:szCs w:val="21"/>
              </w:rPr>
            </w:pPr>
            <w:r>
              <w:rPr>
                <w:rFonts w:ascii="Times New Roman" w:hAnsi="Times New Roman"/>
                <w:color w:val="000000"/>
                <w:kern w:val="0"/>
                <w:sz w:val="21"/>
                <w:szCs w:val="21"/>
              </w:rPr>
              <w:t>危险化学试剂运输、存储、使用、废弃处置等管理是否符合规定</w:t>
            </w:r>
          </w:p>
        </w:tc>
        <w:tc>
          <w:tcPr>
            <w:tcW w:w="1080"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实地核查</w:t>
            </w:r>
          </w:p>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书面检查</w:t>
            </w:r>
          </w:p>
        </w:tc>
        <w:tc>
          <w:tcPr>
            <w:tcW w:w="2513"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检查安全管理规章制度、安全操作规程，运输、存储、使用、废弃处置台账</w:t>
            </w:r>
          </w:p>
        </w:tc>
        <w:tc>
          <w:tcPr>
            <w:tcW w:w="702" w:type="dxa"/>
          </w:tcPr>
          <w:p>
            <w:pPr>
              <w:widowControl/>
              <w:jc w:val="center"/>
              <w:rPr>
                <w:rFonts w:ascii="Times New Roman" w:hAnsi="Times New Roman"/>
                <w:color w:val="FF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709" w:type="dxa"/>
            <w:vMerge w:val="continue"/>
            <w:vAlign w:val="center"/>
          </w:tcPr>
          <w:p>
            <w:pPr>
              <w:widowControl/>
              <w:jc w:val="center"/>
              <w:rPr>
                <w:rFonts w:ascii="Times New Roman" w:hAnsi="Times New Roman"/>
                <w:color w:val="000000"/>
                <w:kern w:val="0"/>
                <w:sz w:val="21"/>
                <w:szCs w:val="21"/>
              </w:rPr>
            </w:pPr>
          </w:p>
        </w:tc>
        <w:tc>
          <w:tcPr>
            <w:tcW w:w="1080" w:type="dxa"/>
            <w:vMerge w:val="continue"/>
            <w:vAlign w:val="center"/>
          </w:tcPr>
          <w:p>
            <w:pPr>
              <w:widowControl/>
              <w:jc w:val="center"/>
              <w:rPr>
                <w:rFonts w:ascii="Times New Roman" w:hAnsi="Times New Roman"/>
                <w:color w:val="000000"/>
                <w:kern w:val="0"/>
                <w:sz w:val="21"/>
                <w:szCs w:val="21"/>
              </w:rPr>
            </w:pPr>
          </w:p>
        </w:tc>
        <w:tc>
          <w:tcPr>
            <w:tcW w:w="1320" w:type="dxa"/>
            <w:vMerge w:val="continue"/>
            <w:vAlign w:val="center"/>
          </w:tcPr>
          <w:p>
            <w:pPr>
              <w:widowControl/>
              <w:jc w:val="center"/>
              <w:rPr>
                <w:rFonts w:ascii="Times New Roman" w:hAnsi="Times New Roman"/>
                <w:color w:val="000000"/>
                <w:kern w:val="0"/>
                <w:sz w:val="21"/>
                <w:szCs w:val="21"/>
              </w:rPr>
            </w:pPr>
          </w:p>
        </w:tc>
        <w:tc>
          <w:tcPr>
            <w:tcW w:w="1950"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《质量检测单位质量管理违规行为分类标准》第13条</w:t>
            </w:r>
          </w:p>
        </w:tc>
        <w:tc>
          <w:tcPr>
            <w:tcW w:w="5835" w:type="dxa"/>
            <w:vAlign w:val="center"/>
          </w:tcPr>
          <w:p>
            <w:pPr>
              <w:widowControl/>
              <w:jc w:val="left"/>
              <w:rPr>
                <w:rFonts w:ascii="Times New Roman" w:hAnsi="Times New Roman"/>
                <w:color w:val="000000"/>
                <w:kern w:val="0"/>
                <w:sz w:val="21"/>
                <w:szCs w:val="21"/>
              </w:rPr>
            </w:pPr>
            <w:r>
              <w:rPr>
                <w:rFonts w:ascii="Times New Roman" w:hAnsi="Times New Roman"/>
                <w:color w:val="000000"/>
                <w:kern w:val="0"/>
                <w:sz w:val="21"/>
                <w:szCs w:val="21"/>
              </w:rPr>
              <w:t>试验室的工作环境、温度、湿度是否符合要求</w:t>
            </w:r>
          </w:p>
        </w:tc>
        <w:tc>
          <w:tcPr>
            <w:tcW w:w="1080"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实地核查</w:t>
            </w:r>
          </w:p>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书面检查</w:t>
            </w:r>
          </w:p>
        </w:tc>
        <w:tc>
          <w:tcPr>
            <w:tcW w:w="2513"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查看原始记录</w:t>
            </w:r>
          </w:p>
        </w:tc>
        <w:tc>
          <w:tcPr>
            <w:tcW w:w="702" w:type="dxa"/>
          </w:tcPr>
          <w:p>
            <w:pPr>
              <w:widowControl/>
              <w:jc w:val="center"/>
              <w:rPr>
                <w:rFonts w:ascii="Times New Roman" w:hAnsi="Times New Roman"/>
                <w:color w:val="FF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709" w:type="dxa"/>
            <w:vMerge w:val="continue"/>
            <w:vAlign w:val="center"/>
          </w:tcPr>
          <w:p>
            <w:pPr>
              <w:widowControl/>
              <w:jc w:val="center"/>
              <w:rPr>
                <w:rFonts w:ascii="Times New Roman" w:hAnsi="Times New Roman"/>
                <w:color w:val="000000"/>
                <w:kern w:val="0"/>
                <w:sz w:val="21"/>
                <w:szCs w:val="21"/>
              </w:rPr>
            </w:pPr>
          </w:p>
        </w:tc>
        <w:tc>
          <w:tcPr>
            <w:tcW w:w="1080" w:type="dxa"/>
            <w:vMerge w:val="continue"/>
            <w:vAlign w:val="center"/>
          </w:tcPr>
          <w:p>
            <w:pPr>
              <w:widowControl/>
              <w:jc w:val="center"/>
              <w:rPr>
                <w:rFonts w:ascii="Times New Roman" w:hAnsi="Times New Roman"/>
                <w:color w:val="000000"/>
                <w:kern w:val="0"/>
                <w:sz w:val="21"/>
                <w:szCs w:val="21"/>
              </w:rPr>
            </w:pPr>
          </w:p>
        </w:tc>
        <w:tc>
          <w:tcPr>
            <w:tcW w:w="1320" w:type="dxa"/>
            <w:vMerge w:val="restart"/>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检测报告</w:t>
            </w:r>
          </w:p>
        </w:tc>
        <w:tc>
          <w:tcPr>
            <w:tcW w:w="1950"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《水利工程质量检测管理规定》第二十一条</w:t>
            </w:r>
          </w:p>
        </w:tc>
        <w:tc>
          <w:tcPr>
            <w:tcW w:w="5835" w:type="dxa"/>
            <w:vAlign w:val="center"/>
          </w:tcPr>
          <w:p>
            <w:pPr>
              <w:widowControl/>
              <w:jc w:val="left"/>
              <w:rPr>
                <w:rFonts w:ascii="Times New Roman" w:hAnsi="Times New Roman"/>
                <w:color w:val="000000"/>
                <w:kern w:val="0"/>
                <w:sz w:val="21"/>
                <w:szCs w:val="21"/>
              </w:rPr>
            </w:pPr>
            <w:r>
              <w:rPr>
                <w:rFonts w:ascii="Times New Roman" w:hAnsi="Times New Roman"/>
                <w:color w:val="000000"/>
                <w:kern w:val="0"/>
                <w:sz w:val="21"/>
                <w:szCs w:val="21"/>
              </w:rPr>
              <w:t>是否按照规定在质量检测报告上签字盖章</w:t>
            </w:r>
          </w:p>
        </w:tc>
        <w:tc>
          <w:tcPr>
            <w:tcW w:w="1080"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实地核查</w:t>
            </w:r>
          </w:p>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书面检查</w:t>
            </w:r>
          </w:p>
        </w:tc>
        <w:tc>
          <w:tcPr>
            <w:tcW w:w="2513"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抽查检测报告，核查授权签字人、检测人员签字，及盖章情况（检测专用章、CMA章、骑缝章等）</w:t>
            </w:r>
          </w:p>
        </w:tc>
        <w:tc>
          <w:tcPr>
            <w:tcW w:w="702" w:type="dxa"/>
          </w:tcPr>
          <w:p>
            <w:pPr>
              <w:widowControl/>
              <w:jc w:val="center"/>
              <w:rPr>
                <w:rFonts w:ascii="Times New Roman" w:hAnsi="Times New Roman"/>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709" w:type="dxa"/>
            <w:vMerge w:val="continue"/>
            <w:vAlign w:val="center"/>
          </w:tcPr>
          <w:p>
            <w:pPr>
              <w:widowControl/>
              <w:jc w:val="center"/>
              <w:rPr>
                <w:rFonts w:ascii="Times New Roman" w:hAnsi="Times New Roman"/>
                <w:color w:val="000000"/>
                <w:kern w:val="0"/>
                <w:sz w:val="21"/>
                <w:szCs w:val="21"/>
              </w:rPr>
            </w:pPr>
          </w:p>
        </w:tc>
        <w:tc>
          <w:tcPr>
            <w:tcW w:w="1080" w:type="dxa"/>
            <w:vMerge w:val="continue"/>
            <w:vAlign w:val="center"/>
          </w:tcPr>
          <w:p>
            <w:pPr>
              <w:widowControl/>
              <w:jc w:val="center"/>
              <w:rPr>
                <w:rFonts w:ascii="Times New Roman" w:hAnsi="Times New Roman"/>
                <w:color w:val="000000"/>
                <w:kern w:val="0"/>
                <w:sz w:val="21"/>
                <w:szCs w:val="21"/>
              </w:rPr>
            </w:pPr>
          </w:p>
        </w:tc>
        <w:tc>
          <w:tcPr>
            <w:tcW w:w="1320" w:type="dxa"/>
            <w:vMerge w:val="continue"/>
            <w:vAlign w:val="center"/>
          </w:tcPr>
          <w:p>
            <w:pPr>
              <w:widowControl/>
              <w:jc w:val="center"/>
              <w:rPr>
                <w:rFonts w:ascii="Times New Roman" w:hAnsi="Times New Roman"/>
                <w:color w:val="000000"/>
                <w:kern w:val="0"/>
                <w:sz w:val="21"/>
                <w:szCs w:val="21"/>
              </w:rPr>
            </w:pPr>
          </w:p>
        </w:tc>
        <w:tc>
          <w:tcPr>
            <w:tcW w:w="1950"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《水利工程质量检测管理规定》第十七条</w:t>
            </w:r>
          </w:p>
        </w:tc>
        <w:tc>
          <w:tcPr>
            <w:tcW w:w="5835" w:type="dxa"/>
            <w:vAlign w:val="center"/>
          </w:tcPr>
          <w:p>
            <w:pPr>
              <w:widowControl/>
              <w:jc w:val="left"/>
              <w:rPr>
                <w:rFonts w:ascii="Times New Roman" w:hAnsi="Times New Roman"/>
                <w:color w:val="000000"/>
                <w:kern w:val="0"/>
                <w:sz w:val="21"/>
                <w:szCs w:val="21"/>
              </w:rPr>
            </w:pPr>
            <w:r>
              <w:rPr>
                <w:rFonts w:ascii="Times New Roman" w:hAnsi="Times New Roman"/>
                <w:color w:val="000000"/>
                <w:kern w:val="0"/>
                <w:sz w:val="21"/>
                <w:szCs w:val="21"/>
              </w:rPr>
              <w:t>是否及时提供检测报告</w:t>
            </w:r>
          </w:p>
        </w:tc>
        <w:tc>
          <w:tcPr>
            <w:tcW w:w="1080"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实地核查</w:t>
            </w:r>
          </w:p>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书面检查</w:t>
            </w:r>
          </w:p>
        </w:tc>
        <w:tc>
          <w:tcPr>
            <w:tcW w:w="2513"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查看检测日期及报告日期</w:t>
            </w:r>
          </w:p>
        </w:tc>
        <w:tc>
          <w:tcPr>
            <w:tcW w:w="702" w:type="dxa"/>
          </w:tcPr>
          <w:p>
            <w:pPr>
              <w:widowControl/>
              <w:jc w:val="center"/>
              <w:rPr>
                <w:rFonts w:ascii="Times New Roman" w:hAnsi="Times New Roman"/>
                <w:color w:val="FF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709" w:type="dxa"/>
            <w:vMerge w:val="continue"/>
            <w:vAlign w:val="center"/>
          </w:tcPr>
          <w:p>
            <w:pPr>
              <w:widowControl/>
              <w:jc w:val="center"/>
              <w:rPr>
                <w:rFonts w:ascii="Times New Roman" w:hAnsi="Times New Roman"/>
                <w:color w:val="000000"/>
                <w:kern w:val="0"/>
                <w:sz w:val="21"/>
                <w:szCs w:val="21"/>
              </w:rPr>
            </w:pPr>
          </w:p>
        </w:tc>
        <w:tc>
          <w:tcPr>
            <w:tcW w:w="1080" w:type="dxa"/>
            <w:vMerge w:val="continue"/>
            <w:vAlign w:val="center"/>
          </w:tcPr>
          <w:p>
            <w:pPr>
              <w:widowControl/>
              <w:jc w:val="center"/>
              <w:rPr>
                <w:rFonts w:ascii="Times New Roman" w:hAnsi="Times New Roman"/>
                <w:color w:val="000000"/>
                <w:kern w:val="0"/>
                <w:sz w:val="21"/>
                <w:szCs w:val="21"/>
              </w:rPr>
            </w:pPr>
          </w:p>
        </w:tc>
        <w:tc>
          <w:tcPr>
            <w:tcW w:w="1320" w:type="dxa"/>
            <w:vMerge w:val="continue"/>
            <w:vAlign w:val="center"/>
          </w:tcPr>
          <w:p>
            <w:pPr>
              <w:widowControl/>
              <w:jc w:val="center"/>
              <w:rPr>
                <w:rFonts w:ascii="Times New Roman" w:hAnsi="Times New Roman"/>
                <w:color w:val="000000"/>
                <w:kern w:val="0"/>
                <w:sz w:val="21"/>
                <w:szCs w:val="21"/>
              </w:rPr>
            </w:pPr>
          </w:p>
        </w:tc>
        <w:tc>
          <w:tcPr>
            <w:tcW w:w="1950"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《水利工程质量检测管理规定》第十七条、第二十八条</w:t>
            </w:r>
          </w:p>
        </w:tc>
        <w:tc>
          <w:tcPr>
            <w:tcW w:w="5835" w:type="dxa"/>
            <w:vAlign w:val="center"/>
          </w:tcPr>
          <w:p>
            <w:pPr>
              <w:widowControl/>
              <w:jc w:val="left"/>
              <w:rPr>
                <w:rFonts w:ascii="Times New Roman" w:hAnsi="Times New Roman"/>
                <w:color w:val="000000"/>
                <w:kern w:val="0"/>
                <w:sz w:val="21"/>
                <w:szCs w:val="21"/>
              </w:rPr>
            </w:pPr>
            <w:r>
              <w:rPr>
                <w:rFonts w:ascii="Times New Roman" w:hAnsi="Times New Roman"/>
                <w:color w:val="000000"/>
                <w:kern w:val="0"/>
                <w:sz w:val="21"/>
                <w:szCs w:val="21"/>
              </w:rPr>
              <w:t>是否存在编造虚假检测报告、伪造检测数据等行为</w:t>
            </w:r>
          </w:p>
        </w:tc>
        <w:tc>
          <w:tcPr>
            <w:tcW w:w="1080"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实地核查</w:t>
            </w:r>
          </w:p>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书面检查</w:t>
            </w:r>
          </w:p>
        </w:tc>
        <w:tc>
          <w:tcPr>
            <w:tcW w:w="2513"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查看检测报告及</w:t>
            </w:r>
          </w:p>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相应原始记录</w:t>
            </w:r>
          </w:p>
        </w:tc>
        <w:tc>
          <w:tcPr>
            <w:tcW w:w="702" w:type="dxa"/>
          </w:tcPr>
          <w:p>
            <w:pPr>
              <w:widowControl/>
              <w:jc w:val="center"/>
              <w:rPr>
                <w:rFonts w:ascii="Times New Roman" w:hAnsi="Times New Roman"/>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709" w:type="dxa"/>
            <w:vMerge w:val="continue"/>
            <w:vAlign w:val="center"/>
          </w:tcPr>
          <w:p>
            <w:pPr>
              <w:widowControl/>
              <w:jc w:val="center"/>
              <w:rPr>
                <w:rFonts w:ascii="Times New Roman" w:hAnsi="Times New Roman"/>
                <w:color w:val="000000"/>
                <w:kern w:val="0"/>
                <w:sz w:val="21"/>
                <w:szCs w:val="21"/>
              </w:rPr>
            </w:pPr>
          </w:p>
        </w:tc>
        <w:tc>
          <w:tcPr>
            <w:tcW w:w="1080" w:type="dxa"/>
            <w:vMerge w:val="continue"/>
            <w:vAlign w:val="center"/>
          </w:tcPr>
          <w:p>
            <w:pPr>
              <w:widowControl/>
              <w:jc w:val="center"/>
              <w:rPr>
                <w:rFonts w:ascii="Times New Roman" w:hAnsi="Times New Roman"/>
                <w:color w:val="000000"/>
                <w:kern w:val="0"/>
                <w:sz w:val="21"/>
                <w:szCs w:val="21"/>
              </w:rPr>
            </w:pPr>
          </w:p>
        </w:tc>
        <w:tc>
          <w:tcPr>
            <w:tcW w:w="1320" w:type="dxa"/>
            <w:vMerge w:val="continue"/>
            <w:vAlign w:val="center"/>
          </w:tcPr>
          <w:p>
            <w:pPr>
              <w:widowControl/>
              <w:jc w:val="center"/>
              <w:rPr>
                <w:rFonts w:ascii="Times New Roman" w:hAnsi="Times New Roman"/>
                <w:color w:val="000000"/>
                <w:kern w:val="0"/>
                <w:sz w:val="21"/>
                <w:szCs w:val="21"/>
              </w:rPr>
            </w:pPr>
          </w:p>
        </w:tc>
        <w:tc>
          <w:tcPr>
            <w:tcW w:w="1950"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《质量检测单位质量管理违规行为分类标准》第23条</w:t>
            </w:r>
          </w:p>
        </w:tc>
        <w:tc>
          <w:tcPr>
            <w:tcW w:w="5835" w:type="dxa"/>
            <w:vAlign w:val="center"/>
          </w:tcPr>
          <w:p>
            <w:pPr>
              <w:widowControl/>
              <w:jc w:val="left"/>
              <w:rPr>
                <w:rFonts w:ascii="Times New Roman" w:hAnsi="Times New Roman"/>
                <w:color w:val="000000"/>
                <w:kern w:val="0"/>
                <w:sz w:val="21"/>
                <w:szCs w:val="21"/>
              </w:rPr>
            </w:pPr>
            <w:r>
              <w:rPr>
                <w:rFonts w:ascii="Times New Roman" w:hAnsi="Times New Roman"/>
                <w:color w:val="000000"/>
                <w:kern w:val="0"/>
                <w:sz w:val="21"/>
                <w:szCs w:val="21"/>
              </w:rPr>
              <w:t>试验检测报告出具结果、结论不明确</w:t>
            </w:r>
          </w:p>
        </w:tc>
        <w:tc>
          <w:tcPr>
            <w:tcW w:w="1080"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实地核查</w:t>
            </w:r>
          </w:p>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书面检查</w:t>
            </w:r>
          </w:p>
        </w:tc>
        <w:tc>
          <w:tcPr>
            <w:tcW w:w="2513"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查看检测报告</w:t>
            </w:r>
          </w:p>
        </w:tc>
        <w:tc>
          <w:tcPr>
            <w:tcW w:w="702" w:type="dxa"/>
          </w:tcPr>
          <w:p>
            <w:pPr>
              <w:widowControl/>
              <w:jc w:val="center"/>
              <w:rPr>
                <w:rFonts w:ascii="Times New Roman" w:hAnsi="Times New Roman"/>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709" w:type="dxa"/>
            <w:vMerge w:val="continue"/>
            <w:vAlign w:val="center"/>
          </w:tcPr>
          <w:p>
            <w:pPr>
              <w:widowControl/>
              <w:jc w:val="center"/>
              <w:rPr>
                <w:rFonts w:ascii="Times New Roman" w:hAnsi="Times New Roman"/>
                <w:color w:val="000000"/>
                <w:kern w:val="0"/>
                <w:sz w:val="21"/>
                <w:szCs w:val="21"/>
              </w:rPr>
            </w:pPr>
          </w:p>
        </w:tc>
        <w:tc>
          <w:tcPr>
            <w:tcW w:w="1080" w:type="dxa"/>
            <w:vMerge w:val="continue"/>
            <w:vAlign w:val="center"/>
          </w:tcPr>
          <w:p>
            <w:pPr>
              <w:widowControl/>
              <w:jc w:val="center"/>
              <w:rPr>
                <w:rFonts w:ascii="Times New Roman" w:hAnsi="Times New Roman"/>
                <w:color w:val="000000"/>
                <w:kern w:val="0"/>
                <w:sz w:val="21"/>
                <w:szCs w:val="21"/>
              </w:rPr>
            </w:pPr>
          </w:p>
        </w:tc>
        <w:tc>
          <w:tcPr>
            <w:tcW w:w="1320" w:type="dxa"/>
            <w:vMerge w:val="continue"/>
            <w:vAlign w:val="center"/>
          </w:tcPr>
          <w:p>
            <w:pPr>
              <w:widowControl/>
              <w:jc w:val="center"/>
              <w:rPr>
                <w:rFonts w:ascii="Times New Roman" w:hAnsi="Times New Roman"/>
                <w:color w:val="000000"/>
                <w:kern w:val="0"/>
                <w:sz w:val="21"/>
                <w:szCs w:val="21"/>
              </w:rPr>
            </w:pPr>
          </w:p>
        </w:tc>
        <w:tc>
          <w:tcPr>
            <w:tcW w:w="1950"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《质量检测单位质量管理违规行为分类标准》第24条</w:t>
            </w:r>
          </w:p>
        </w:tc>
        <w:tc>
          <w:tcPr>
            <w:tcW w:w="5835" w:type="dxa"/>
            <w:vAlign w:val="center"/>
          </w:tcPr>
          <w:p>
            <w:pPr>
              <w:widowControl/>
              <w:jc w:val="left"/>
              <w:rPr>
                <w:rFonts w:ascii="Times New Roman" w:hAnsi="Times New Roman"/>
                <w:color w:val="000000"/>
                <w:kern w:val="0"/>
                <w:sz w:val="21"/>
                <w:szCs w:val="21"/>
              </w:rPr>
            </w:pPr>
            <w:r>
              <w:rPr>
                <w:rFonts w:ascii="Times New Roman" w:hAnsi="Times New Roman"/>
                <w:color w:val="000000"/>
                <w:kern w:val="0"/>
                <w:sz w:val="21"/>
                <w:szCs w:val="21"/>
              </w:rPr>
              <w:t>试验检测报告修订后未按规定处理</w:t>
            </w:r>
          </w:p>
        </w:tc>
        <w:tc>
          <w:tcPr>
            <w:tcW w:w="1080"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实地核查</w:t>
            </w:r>
          </w:p>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书面检查</w:t>
            </w:r>
          </w:p>
        </w:tc>
        <w:tc>
          <w:tcPr>
            <w:tcW w:w="2513"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查看检测报告及</w:t>
            </w:r>
          </w:p>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相应原始记录</w:t>
            </w:r>
          </w:p>
        </w:tc>
        <w:tc>
          <w:tcPr>
            <w:tcW w:w="702" w:type="dxa"/>
          </w:tcPr>
          <w:p>
            <w:pPr>
              <w:widowControl/>
              <w:jc w:val="center"/>
              <w:rPr>
                <w:rFonts w:ascii="Times New Roman" w:hAnsi="Times New Roman"/>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709" w:type="dxa"/>
            <w:vMerge w:val="restart"/>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3</w:t>
            </w:r>
          </w:p>
        </w:tc>
        <w:tc>
          <w:tcPr>
            <w:tcW w:w="1080" w:type="dxa"/>
            <w:vMerge w:val="restart"/>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检测活动</w:t>
            </w:r>
          </w:p>
        </w:tc>
        <w:tc>
          <w:tcPr>
            <w:tcW w:w="1320" w:type="dxa"/>
            <w:vMerge w:val="restart"/>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检测行为</w:t>
            </w:r>
          </w:p>
        </w:tc>
        <w:tc>
          <w:tcPr>
            <w:tcW w:w="1950"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《水利工程质量检测管理规定》第十五条、第十六条</w:t>
            </w:r>
          </w:p>
        </w:tc>
        <w:tc>
          <w:tcPr>
            <w:tcW w:w="5835" w:type="dxa"/>
            <w:vAlign w:val="center"/>
          </w:tcPr>
          <w:p>
            <w:pPr>
              <w:widowControl/>
              <w:jc w:val="left"/>
              <w:rPr>
                <w:rFonts w:ascii="Times New Roman" w:hAnsi="Times New Roman"/>
                <w:color w:val="000000"/>
                <w:kern w:val="0"/>
                <w:sz w:val="21"/>
                <w:szCs w:val="21"/>
              </w:rPr>
            </w:pPr>
            <w:r>
              <w:rPr>
                <w:rFonts w:ascii="Times New Roman" w:hAnsi="Times New Roman"/>
                <w:color w:val="000000"/>
                <w:kern w:val="0"/>
                <w:sz w:val="21"/>
                <w:szCs w:val="21"/>
              </w:rPr>
              <w:t>是否按照国家和行业标准开展检测活动；无相关标准的，是否由检测单位提出方案，委托方确认后实施；质量检测试样的取样是否严格执行国家和行业标准</w:t>
            </w:r>
          </w:p>
        </w:tc>
        <w:tc>
          <w:tcPr>
            <w:tcW w:w="1080"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实地核查</w:t>
            </w:r>
          </w:p>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书面检查</w:t>
            </w:r>
          </w:p>
        </w:tc>
        <w:tc>
          <w:tcPr>
            <w:tcW w:w="2513"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抽查检测方案及相关检测报告，查看试样、委托单及相关过程材料</w:t>
            </w:r>
          </w:p>
        </w:tc>
        <w:tc>
          <w:tcPr>
            <w:tcW w:w="702" w:type="dxa"/>
          </w:tcPr>
          <w:p>
            <w:pPr>
              <w:widowControl/>
              <w:jc w:val="center"/>
              <w:rPr>
                <w:rFonts w:ascii="Times New Roman" w:hAnsi="Times New Roman"/>
                <w:color w:val="FF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709" w:type="dxa"/>
            <w:vMerge w:val="continue"/>
            <w:vAlign w:val="center"/>
          </w:tcPr>
          <w:p>
            <w:pPr>
              <w:widowControl/>
              <w:jc w:val="center"/>
              <w:rPr>
                <w:rFonts w:ascii="Times New Roman" w:hAnsi="Times New Roman"/>
                <w:color w:val="000000"/>
                <w:kern w:val="0"/>
                <w:sz w:val="21"/>
                <w:szCs w:val="21"/>
              </w:rPr>
            </w:pPr>
          </w:p>
        </w:tc>
        <w:tc>
          <w:tcPr>
            <w:tcW w:w="1080" w:type="dxa"/>
            <w:vMerge w:val="continue"/>
            <w:vAlign w:val="center"/>
          </w:tcPr>
          <w:p>
            <w:pPr>
              <w:widowControl/>
              <w:jc w:val="center"/>
              <w:rPr>
                <w:rFonts w:ascii="Times New Roman" w:hAnsi="Times New Roman"/>
                <w:color w:val="000000"/>
                <w:kern w:val="0"/>
                <w:sz w:val="21"/>
                <w:szCs w:val="21"/>
              </w:rPr>
            </w:pPr>
          </w:p>
        </w:tc>
        <w:tc>
          <w:tcPr>
            <w:tcW w:w="1320" w:type="dxa"/>
            <w:vMerge w:val="continue"/>
            <w:vAlign w:val="center"/>
          </w:tcPr>
          <w:p>
            <w:pPr>
              <w:widowControl/>
              <w:jc w:val="center"/>
              <w:rPr>
                <w:rFonts w:ascii="Times New Roman" w:hAnsi="Times New Roman"/>
                <w:color w:val="000000"/>
                <w:kern w:val="0"/>
                <w:sz w:val="21"/>
                <w:szCs w:val="21"/>
              </w:rPr>
            </w:pPr>
          </w:p>
        </w:tc>
        <w:tc>
          <w:tcPr>
            <w:tcW w:w="1950"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《质量检测单位质量管理违规行为分类标准》第17条</w:t>
            </w:r>
          </w:p>
        </w:tc>
        <w:tc>
          <w:tcPr>
            <w:tcW w:w="5835" w:type="dxa"/>
            <w:vAlign w:val="center"/>
          </w:tcPr>
          <w:p>
            <w:pPr>
              <w:widowControl/>
              <w:jc w:val="left"/>
              <w:rPr>
                <w:rFonts w:ascii="Times New Roman" w:hAnsi="Times New Roman"/>
                <w:color w:val="000000"/>
                <w:kern w:val="0"/>
                <w:sz w:val="21"/>
                <w:szCs w:val="21"/>
              </w:rPr>
            </w:pPr>
            <w:r>
              <w:rPr>
                <w:rFonts w:ascii="Times New Roman" w:hAnsi="Times New Roman"/>
                <w:color w:val="000000"/>
                <w:kern w:val="0"/>
                <w:sz w:val="21"/>
                <w:szCs w:val="21"/>
              </w:rPr>
              <w:t>试验检测人员承担超出本人授权范围和资格的试验检测工作</w:t>
            </w:r>
          </w:p>
        </w:tc>
        <w:tc>
          <w:tcPr>
            <w:tcW w:w="1080"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实地核查</w:t>
            </w:r>
          </w:p>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书面检查</w:t>
            </w:r>
          </w:p>
        </w:tc>
        <w:tc>
          <w:tcPr>
            <w:tcW w:w="2513"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检查职称、资格证书等</w:t>
            </w:r>
          </w:p>
        </w:tc>
        <w:tc>
          <w:tcPr>
            <w:tcW w:w="702" w:type="dxa"/>
          </w:tcPr>
          <w:p>
            <w:pPr>
              <w:widowControl/>
              <w:jc w:val="center"/>
              <w:rPr>
                <w:rFonts w:ascii="Times New Roman" w:hAnsi="Times New Roman"/>
                <w:color w:val="FF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709" w:type="dxa"/>
            <w:vMerge w:val="continue"/>
            <w:vAlign w:val="center"/>
          </w:tcPr>
          <w:p>
            <w:pPr>
              <w:widowControl/>
              <w:jc w:val="center"/>
              <w:rPr>
                <w:rFonts w:ascii="Times New Roman" w:hAnsi="Times New Roman"/>
                <w:color w:val="000000"/>
                <w:kern w:val="0"/>
                <w:sz w:val="21"/>
                <w:szCs w:val="21"/>
              </w:rPr>
            </w:pPr>
          </w:p>
        </w:tc>
        <w:tc>
          <w:tcPr>
            <w:tcW w:w="1080" w:type="dxa"/>
            <w:vMerge w:val="continue"/>
            <w:vAlign w:val="center"/>
          </w:tcPr>
          <w:p>
            <w:pPr>
              <w:widowControl/>
              <w:jc w:val="center"/>
              <w:rPr>
                <w:rFonts w:ascii="Times New Roman" w:hAnsi="Times New Roman"/>
                <w:color w:val="000000"/>
                <w:kern w:val="0"/>
                <w:sz w:val="21"/>
                <w:szCs w:val="21"/>
              </w:rPr>
            </w:pPr>
          </w:p>
        </w:tc>
        <w:tc>
          <w:tcPr>
            <w:tcW w:w="1320" w:type="dxa"/>
            <w:vMerge w:val="continue"/>
            <w:vAlign w:val="center"/>
          </w:tcPr>
          <w:p>
            <w:pPr>
              <w:widowControl/>
              <w:jc w:val="center"/>
              <w:rPr>
                <w:rFonts w:ascii="Times New Roman" w:hAnsi="Times New Roman"/>
                <w:color w:val="000000"/>
                <w:kern w:val="0"/>
                <w:sz w:val="21"/>
                <w:szCs w:val="21"/>
              </w:rPr>
            </w:pPr>
          </w:p>
        </w:tc>
        <w:tc>
          <w:tcPr>
            <w:tcW w:w="1950"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《质量检测单位质量管理违规行为分类标准》第19条</w:t>
            </w:r>
          </w:p>
        </w:tc>
        <w:tc>
          <w:tcPr>
            <w:tcW w:w="5835" w:type="dxa"/>
            <w:vAlign w:val="center"/>
          </w:tcPr>
          <w:p>
            <w:pPr>
              <w:widowControl/>
              <w:jc w:val="left"/>
              <w:rPr>
                <w:rFonts w:ascii="Times New Roman" w:hAnsi="Times New Roman"/>
                <w:color w:val="000000"/>
                <w:kern w:val="0"/>
                <w:sz w:val="21"/>
                <w:szCs w:val="21"/>
              </w:rPr>
            </w:pPr>
            <w:r>
              <w:rPr>
                <w:rFonts w:ascii="Times New Roman" w:hAnsi="Times New Roman"/>
                <w:color w:val="000000"/>
                <w:kern w:val="0"/>
                <w:sz w:val="21"/>
                <w:szCs w:val="21"/>
              </w:rPr>
              <w:t>试验检测使用错误或失效的标准、规程规范</w:t>
            </w:r>
          </w:p>
        </w:tc>
        <w:tc>
          <w:tcPr>
            <w:tcW w:w="1080"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实地核查</w:t>
            </w:r>
          </w:p>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书面检查</w:t>
            </w:r>
          </w:p>
        </w:tc>
        <w:tc>
          <w:tcPr>
            <w:tcW w:w="2513"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查看检测报告</w:t>
            </w:r>
          </w:p>
        </w:tc>
        <w:tc>
          <w:tcPr>
            <w:tcW w:w="702" w:type="dxa"/>
          </w:tcPr>
          <w:p>
            <w:pPr>
              <w:widowControl/>
              <w:jc w:val="center"/>
              <w:rPr>
                <w:rFonts w:ascii="Times New Roman" w:hAnsi="Times New Roman"/>
                <w:color w:val="FF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709" w:type="dxa"/>
            <w:vMerge w:val="continue"/>
            <w:vAlign w:val="center"/>
          </w:tcPr>
          <w:p>
            <w:pPr>
              <w:widowControl/>
              <w:jc w:val="center"/>
              <w:rPr>
                <w:rFonts w:ascii="Times New Roman" w:hAnsi="Times New Roman"/>
                <w:color w:val="000000"/>
                <w:kern w:val="0"/>
                <w:sz w:val="21"/>
                <w:szCs w:val="21"/>
              </w:rPr>
            </w:pPr>
          </w:p>
        </w:tc>
        <w:tc>
          <w:tcPr>
            <w:tcW w:w="1080" w:type="dxa"/>
            <w:vMerge w:val="continue"/>
            <w:vAlign w:val="center"/>
          </w:tcPr>
          <w:p>
            <w:pPr>
              <w:widowControl/>
              <w:jc w:val="center"/>
              <w:rPr>
                <w:rFonts w:ascii="Times New Roman" w:hAnsi="Times New Roman"/>
                <w:color w:val="000000"/>
                <w:kern w:val="0"/>
                <w:sz w:val="21"/>
                <w:szCs w:val="21"/>
              </w:rPr>
            </w:pPr>
          </w:p>
        </w:tc>
        <w:tc>
          <w:tcPr>
            <w:tcW w:w="1320" w:type="dxa"/>
            <w:vMerge w:val="continue"/>
            <w:vAlign w:val="center"/>
          </w:tcPr>
          <w:p>
            <w:pPr>
              <w:widowControl/>
              <w:jc w:val="center"/>
              <w:rPr>
                <w:rFonts w:ascii="Times New Roman" w:hAnsi="Times New Roman"/>
                <w:color w:val="000000"/>
                <w:kern w:val="0"/>
                <w:sz w:val="21"/>
                <w:szCs w:val="21"/>
              </w:rPr>
            </w:pPr>
          </w:p>
        </w:tc>
        <w:tc>
          <w:tcPr>
            <w:tcW w:w="1950"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《质量检测单位质量管理违规行为分类标准》第27条</w:t>
            </w:r>
          </w:p>
        </w:tc>
        <w:tc>
          <w:tcPr>
            <w:tcW w:w="5835" w:type="dxa"/>
            <w:vAlign w:val="center"/>
          </w:tcPr>
          <w:p>
            <w:pPr>
              <w:widowControl/>
              <w:jc w:val="left"/>
              <w:rPr>
                <w:rFonts w:ascii="Times New Roman" w:hAnsi="Times New Roman"/>
                <w:color w:val="000000"/>
                <w:kern w:val="0"/>
                <w:sz w:val="21"/>
                <w:szCs w:val="21"/>
              </w:rPr>
            </w:pPr>
            <w:r>
              <w:rPr>
                <w:rFonts w:ascii="Times New Roman" w:hAnsi="Times New Roman"/>
                <w:color w:val="000000"/>
                <w:kern w:val="0"/>
                <w:sz w:val="21"/>
                <w:szCs w:val="21"/>
              </w:rPr>
              <w:t>是否将存在工程安全问题、可能形成质量隐患或影响工程正常运行的检测结果及时报告委托方</w:t>
            </w:r>
          </w:p>
        </w:tc>
        <w:tc>
          <w:tcPr>
            <w:tcW w:w="1080"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实地核查</w:t>
            </w:r>
          </w:p>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书面检查</w:t>
            </w:r>
          </w:p>
        </w:tc>
        <w:tc>
          <w:tcPr>
            <w:tcW w:w="2513"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查看相关记录</w:t>
            </w:r>
          </w:p>
        </w:tc>
        <w:tc>
          <w:tcPr>
            <w:tcW w:w="702" w:type="dxa"/>
          </w:tcPr>
          <w:p>
            <w:pPr>
              <w:widowControl/>
              <w:jc w:val="center"/>
              <w:rPr>
                <w:rFonts w:ascii="Times New Roman" w:hAnsi="Times New Roman"/>
                <w:color w:val="FF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709" w:type="dxa"/>
            <w:vMerge w:val="continue"/>
            <w:vAlign w:val="center"/>
          </w:tcPr>
          <w:p>
            <w:pPr>
              <w:widowControl/>
              <w:jc w:val="center"/>
              <w:rPr>
                <w:rFonts w:ascii="Times New Roman" w:hAnsi="Times New Roman"/>
                <w:color w:val="000000"/>
                <w:kern w:val="0"/>
                <w:sz w:val="21"/>
                <w:szCs w:val="21"/>
              </w:rPr>
            </w:pPr>
          </w:p>
        </w:tc>
        <w:tc>
          <w:tcPr>
            <w:tcW w:w="1080" w:type="dxa"/>
            <w:vMerge w:val="continue"/>
            <w:vAlign w:val="center"/>
          </w:tcPr>
          <w:p>
            <w:pPr>
              <w:widowControl/>
              <w:jc w:val="center"/>
              <w:rPr>
                <w:rFonts w:ascii="Times New Roman" w:hAnsi="Times New Roman"/>
                <w:color w:val="000000"/>
                <w:kern w:val="0"/>
                <w:sz w:val="21"/>
                <w:szCs w:val="21"/>
              </w:rPr>
            </w:pPr>
          </w:p>
        </w:tc>
        <w:tc>
          <w:tcPr>
            <w:tcW w:w="1320" w:type="dxa"/>
            <w:vMerge w:val="continue"/>
            <w:vAlign w:val="center"/>
          </w:tcPr>
          <w:p>
            <w:pPr>
              <w:widowControl/>
              <w:jc w:val="center"/>
              <w:rPr>
                <w:rFonts w:ascii="Times New Roman" w:hAnsi="Times New Roman"/>
                <w:color w:val="000000"/>
                <w:kern w:val="0"/>
                <w:sz w:val="21"/>
                <w:szCs w:val="21"/>
              </w:rPr>
            </w:pPr>
          </w:p>
        </w:tc>
        <w:tc>
          <w:tcPr>
            <w:tcW w:w="1950"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《质量检测单位质量管理违规行为分类标准》第31条</w:t>
            </w:r>
          </w:p>
        </w:tc>
        <w:tc>
          <w:tcPr>
            <w:tcW w:w="5835" w:type="dxa"/>
            <w:vAlign w:val="center"/>
          </w:tcPr>
          <w:p>
            <w:pPr>
              <w:widowControl/>
              <w:jc w:val="left"/>
              <w:rPr>
                <w:rFonts w:ascii="Times New Roman" w:hAnsi="Times New Roman"/>
                <w:color w:val="000000"/>
                <w:kern w:val="0"/>
                <w:sz w:val="21"/>
                <w:szCs w:val="21"/>
              </w:rPr>
            </w:pPr>
            <w:r>
              <w:rPr>
                <w:rFonts w:ascii="Times New Roman" w:hAnsi="Times New Roman"/>
                <w:color w:val="000000"/>
                <w:kern w:val="0"/>
                <w:sz w:val="21"/>
                <w:szCs w:val="21"/>
              </w:rPr>
              <w:t>是否对质量督查、巡查、检查、稽察等发现的问题整改或整改不到位</w:t>
            </w:r>
          </w:p>
        </w:tc>
        <w:tc>
          <w:tcPr>
            <w:tcW w:w="1080"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实地核查</w:t>
            </w:r>
          </w:p>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书面检查</w:t>
            </w:r>
          </w:p>
        </w:tc>
        <w:tc>
          <w:tcPr>
            <w:tcW w:w="2513" w:type="dxa"/>
            <w:vAlign w:val="center"/>
          </w:tcPr>
          <w:p>
            <w:pPr>
              <w:widowControl/>
              <w:jc w:val="center"/>
              <w:rPr>
                <w:rFonts w:ascii="Times New Roman" w:hAnsi="Times New Roman"/>
                <w:color w:val="000000"/>
                <w:kern w:val="0"/>
                <w:sz w:val="21"/>
                <w:szCs w:val="21"/>
              </w:rPr>
            </w:pPr>
            <w:r>
              <w:rPr>
                <w:rFonts w:ascii="Times New Roman" w:hAnsi="Times New Roman"/>
                <w:color w:val="000000"/>
                <w:kern w:val="0"/>
                <w:sz w:val="21"/>
                <w:szCs w:val="21"/>
              </w:rPr>
              <w:t>查看整改情况</w:t>
            </w:r>
          </w:p>
        </w:tc>
        <w:tc>
          <w:tcPr>
            <w:tcW w:w="702" w:type="dxa"/>
          </w:tcPr>
          <w:p>
            <w:pPr>
              <w:widowControl/>
              <w:jc w:val="center"/>
              <w:rPr>
                <w:rFonts w:ascii="Times New Roman" w:hAnsi="Times New Roman"/>
                <w:color w:val="FF0000"/>
                <w:kern w:val="0"/>
                <w:sz w:val="21"/>
                <w:szCs w:val="21"/>
              </w:rPr>
            </w:pPr>
          </w:p>
        </w:tc>
      </w:tr>
    </w:tbl>
    <w:p>
      <w:pPr>
        <w:widowControl/>
        <w:spacing w:line="570" w:lineRule="exact"/>
        <w:ind w:firstLine="624"/>
        <w:jc w:val="left"/>
        <w:rPr>
          <w:rFonts w:ascii="方正仿宋_GBK" w:hAnsi="仿宋" w:cs="仿宋"/>
          <w:szCs w:val="32"/>
        </w:rPr>
      </w:pPr>
    </w:p>
    <w:p>
      <w:pPr>
        <w:spacing w:line="600" w:lineRule="exact"/>
        <w:rPr>
          <w:rFonts w:ascii="方正黑体_GBK" w:eastAsia="方正黑体_GBK"/>
          <w:szCs w:val="32"/>
        </w:rPr>
      </w:pPr>
    </w:p>
    <w:p>
      <w:pPr>
        <w:rPr>
          <w:rFonts w:ascii="仿宋" w:hAnsi="仿宋" w:eastAsia="仿宋" w:cs="仿宋"/>
          <w:sz w:val="24"/>
        </w:rPr>
      </w:pPr>
      <w:bookmarkStart w:id="0" w:name="_GoBack"/>
      <w:bookmarkEnd w:id="0"/>
    </w:p>
    <w:sectPr>
      <w:footerReference r:id="rId3" w:type="default"/>
      <w:pgSz w:w="16838" w:h="11906" w:orient="landscape"/>
      <w:pgMar w:top="1531" w:right="1588" w:bottom="1531" w:left="1985" w:header="851" w:footer="992" w:gutter="0"/>
      <w:cols w:space="720" w:num="1"/>
      <w:docGrid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320" w:leftChars="100" w:right="320" w:rightChars="100"/>
      <w:rPr>
        <w:rFonts w:ascii="宋体" w:eastAsia="宋体"/>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sz w:val="28"/>
                              <w:szCs w:val="28"/>
                            </w:rPr>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9</w:t>
                          </w:r>
                          <w:r>
                            <w:rPr>
                              <w:sz w:val="28"/>
                              <w:szCs w:val="28"/>
                            </w:rPr>
                            <w:fldChar w:fldCharType="end"/>
                          </w:r>
                          <w:r>
                            <w:rPr>
                              <w:rFonts w:hint="eastAsia"/>
                              <w:sz w:val="28"/>
                              <w:szCs w:val="28"/>
                            </w:rPr>
                            <w:t xml:space="preserve"> —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pStyle w:val="4"/>
                      <w:rPr>
                        <w:sz w:val="28"/>
                        <w:szCs w:val="28"/>
                      </w:rPr>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9</w:t>
                    </w:r>
                    <w:r>
                      <w:rPr>
                        <w:sz w:val="28"/>
                        <w:szCs w:val="28"/>
                      </w:rPr>
                      <w:fldChar w:fldCharType="end"/>
                    </w:r>
                    <w:r>
                      <w:rPr>
                        <w:rFonts w:hint="eastAsia"/>
                        <w:sz w:val="28"/>
                        <w:szCs w:val="28"/>
                      </w:rPr>
                      <w:t xml:space="preserve"> — </w:t>
                    </w:r>
                  </w:p>
                </w:txbxContent>
              </v:textbox>
            </v:shape>
          </w:pict>
        </mc:Fallback>
      </mc:AlternateContent>
    </w: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ascii="Times New Roman" w:hAnsi="Times New Roman"/>
                              <w:sz w:val="32"/>
                              <w:szCs w:val="32"/>
                            </w:rPr>
                          </w:pPr>
                          <w:r>
                            <w:rPr>
                              <w:rFonts w:hint="eastAsia" w:ascii="Times New Roman" w:hAnsi="Times New Roman"/>
                              <w:sz w:val="32"/>
                              <w:szCs w:val="32"/>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4"/>
                      <w:rPr>
                        <w:rFonts w:ascii="Times New Roman" w:hAnsi="Times New Roman"/>
                        <w:sz w:val="32"/>
                        <w:szCs w:val="32"/>
                      </w:rPr>
                    </w:pPr>
                    <w:r>
                      <w:rPr>
                        <w:rFonts w:hint="eastAsia" w:ascii="Times New Roman" w:hAnsi="Times New Roman"/>
                        <w:sz w:val="32"/>
                        <w:szCs w:val="32"/>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E5OGJiZTJiNzQ2OGIyMDY2Y2Y3ZDNlOGVhNzk0OTYifQ=="/>
  </w:docVars>
  <w:rsids>
    <w:rsidRoot w:val="006A2CCC"/>
    <w:rsid w:val="000000B2"/>
    <w:rsid w:val="00081B13"/>
    <w:rsid w:val="0008469D"/>
    <w:rsid w:val="000926D9"/>
    <w:rsid w:val="000A4CA5"/>
    <w:rsid w:val="000A74E7"/>
    <w:rsid w:val="000D300F"/>
    <w:rsid w:val="000F0B56"/>
    <w:rsid w:val="00141CB3"/>
    <w:rsid w:val="00166AF4"/>
    <w:rsid w:val="001A4D62"/>
    <w:rsid w:val="001A4FAF"/>
    <w:rsid w:val="0021135C"/>
    <w:rsid w:val="00253183"/>
    <w:rsid w:val="00275E0B"/>
    <w:rsid w:val="0029013E"/>
    <w:rsid w:val="0030791D"/>
    <w:rsid w:val="0032701B"/>
    <w:rsid w:val="00347374"/>
    <w:rsid w:val="003816F1"/>
    <w:rsid w:val="003E5EF3"/>
    <w:rsid w:val="00404B39"/>
    <w:rsid w:val="004172D2"/>
    <w:rsid w:val="00434A63"/>
    <w:rsid w:val="00456133"/>
    <w:rsid w:val="004A1CD5"/>
    <w:rsid w:val="004B339B"/>
    <w:rsid w:val="0050069A"/>
    <w:rsid w:val="005629D0"/>
    <w:rsid w:val="0056504F"/>
    <w:rsid w:val="00587340"/>
    <w:rsid w:val="005A41D1"/>
    <w:rsid w:val="005E56A6"/>
    <w:rsid w:val="0068106B"/>
    <w:rsid w:val="00683865"/>
    <w:rsid w:val="00692D19"/>
    <w:rsid w:val="006A2CCC"/>
    <w:rsid w:val="006B6657"/>
    <w:rsid w:val="006C028C"/>
    <w:rsid w:val="006F28F1"/>
    <w:rsid w:val="006F7A04"/>
    <w:rsid w:val="00722ADA"/>
    <w:rsid w:val="007266CC"/>
    <w:rsid w:val="00743AAE"/>
    <w:rsid w:val="00767752"/>
    <w:rsid w:val="00786C35"/>
    <w:rsid w:val="00804D21"/>
    <w:rsid w:val="0084308C"/>
    <w:rsid w:val="008919F4"/>
    <w:rsid w:val="008A17D8"/>
    <w:rsid w:val="008C4537"/>
    <w:rsid w:val="008D054E"/>
    <w:rsid w:val="00910D29"/>
    <w:rsid w:val="00952EC0"/>
    <w:rsid w:val="009779D3"/>
    <w:rsid w:val="00983416"/>
    <w:rsid w:val="00985ADA"/>
    <w:rsid w:val="009A544D"/>
    <w:rsid w:val="009A7CC3"/>
    <w:rsid w:val="009E2A69"/>
    <w:rsid w:val="009F460D"/>
    <w:rsid w:val="00A10D08"/>
    <w:rsid w:val="00A2774F"/>
    <w:rsid w:val="00A86684"/>
    <w:rsid w:val="00AA485C"/>
    <w:rsid w:val="00AC3F94"/>
    <w:rsid w:val="00B01A83"/>
    <w:rsid w:val="00B572D0"/>
    <w:rsid w:val="00B61FFD"/>
    <w:rsid w:val="00B91EE7"/>
    <w:rsid w:val="00BB57F1"/>
    <w:rsid w:val="00C21836"/>
    <w:rsid w:val="00C24041"/>
    <w:rsid w:val="00CE5091"/>
    <w:rsid w:val="00D009BE"/>
    <w:rsid w:val="00D50987"/>
    <w:rsid w:val="00D55FE5"/>
    <w:rsid w:val="00D6074B"/>
    <w:rsid w:val="00D74263"/>
    <w:rsid w:val="00DA0DD3"/>
    <w:rsid w:val="00DD5063"/>
    <w:rsid w:val="00E26D20"/>
    <w:rsid w:val="00E562B4"/>
    <w:rsid w:val="00E63FE0"/>
    <w:rsid w:val="00E66460"/>
    <w:rsid w:val="00EB5D20"/>
    <w:rsid w:val="00EC0DC5"/>
    <w:rsid w:val="00ED1F1C"/>
    <w:rsid w:val="00F03638"/>
    <w:rsid w:val="00F11619"/>
    <w:rsid w:val="00F176DA"/>
    <w:rsid w:val="00F46E4D"/>
    <w:rsid w:val="00F63B9B"/>
    <w:rsid w:val="00F76D15"/>
    <w:rsid w:val="00F828EC"/>
    <w:rsid w:val="00F979FB"/>
    <w:rsid w:val="00FA21F2"/>
    <w:rsid w:val="00FB0355"/>
    <w:rsid w:val="00FE096D"/>
    <w:rsid w:val="011D5841"/>
    <w:rsid w:val="0610608A"/>
    <w:rsid w:val="0EB9454B"/>
    <w:rsid w:val="106F65AA"/>
    <w:rsid w:val="12781D49"/>
    <w:rsid w:val="13B17DC3"/>
    <w:rsid w:val="1AB91730"/>
    <w:rsid w:val="1AC62B22"/>
    <w:rsid w:val="1C8C5AD1"/>
    <w:rsid w:val="1D9467EA"/>
    <w:rsid w:val="275B78C2"/>
    <w:rsid w:val="2B8F6831"/>
    <w:rsid w:val="379D68FC"/>
    <w:rsid w:val="3E17223C"/>
    <w:rsid w:val="3F17593F"/>
    <w:rsid w:val="3FD12B1B"/>
    <w:rsid w:val="40715C9B"/>
    <w:rsid w:val="50EE6390"/>
    <w:rsid w:val="51F67A17"/>
    <w:rsid w:val="52CC479B"/>
    <w:rsid w:val="53184DB7"/>
    <w:rsid w:val="545478B0"/>
    <w:rsid w:val="566D19D9"/>
    <w:rsid w:val="5877366D"/>
    <w:rsid w:val="589B736A"/>
    <w:rsid w:val="660858BF"/>
    <w:rsid w:val="698C63E7"/>
    <w:rsid w:val="6BE677BE"/>
    <w:rsid w:val="6FEF1343"/>
    <w:rsid w:val="70002C73"/>
    <w:rsid w:val="703D33EE"/>
    <w:rsid w:val="714C4338"/>
    <w:rsid w:val="71A22577"/>
    <w:rsid w:val="74115E7E"/>
    <w:rsid w:val="774D22DB"/>
    <w:rsid w:val="7AAD7597"/>
    <w:rsid w:val="7B9D26FE"/>
    <w:rsid w:val="7EBF102D"/>
    <w:rsid w:val="7EE67A83"/>
    <w:rsid w:val="8FEBC26D"/>
    <w:rsid w:val="9F57AABA"/>
    <w:rsid w:val="FEBA0F3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nhideWhenUsed="0" w:uiPriority="99" w:semiHidden="0" w:name="heading 5"/>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uiPriority="1" w:name="Default Paragraph Font"/>
    <w:lsdException w:qFormat="1" w:uiPriority="99" w:semiHidden="0"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qFormat="1"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uiPriority="99" w:name="Plain Text" w:locked="1"/>
    <w:lsdException w:uiPriority="99" w:name="E-mail Signature" w:locked="1"/>
    <w:lsdException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方正仿宋_GBK" w:cs="Times New Roman"/>
      <w:kern w:val="2"/>
      <w:sz w:val="32"/>
      <w:szCs w:val="24"/>
      <w:lang w:val="en-US" w:eastAsia="zh-CN" w:bidi="ar-SA"/>
    </w:rPr>
  </w:style>
  <w:style w:type="paragraph" w:styleId="2">
    <w:name w:val="heading 5"/>
    <w:basedOn w:val="1"/>
    <w:next w:val="1"/>
    <w:link w:val="9"/>
    <w:qFormat/>
    <w:uiPriority w:val="99"/>
    <w:pPr>
      <w:keepNext/>
      <w:keepLines/>
      <w:spacing w:before="280" w:after="290" w:line="376" w:lineRule="auto"/>
      <w:outlineLvl w:val="4"/>
    </w:pPr>
    <w:rPr>
      <w:b/>
      <w:bCs/>
      <w:kern w:val="0"/>
      <w:sz w:val="28"/>
      <w:szCs w:val="28"/>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3">
    <w:name w:val="Body Text"/>
    <w:basedOn w:val="1"/>
    <w:link w:val="13"/>
    <w:unhideWhenUsed/>
    <w:qFormat/>
    <w:locked/>
    <w:uiPriority w:val="99"/>
    <w:pPr>
      <w:autoSpaceDE w:val="0"/>
      <w:autoSpaceDN w:val="0"/>
    </w:pPr>
    <w:rPr>
      <w:rFonts w:ascii="宋体" w:hAnsi="宋体" w:eastAsia="宋体" w:cs="宋体"/>
      <w:szCs w:val="32"/>
    </w:rPr>
  </w:style>
  <w:style w:type="paragraph" w:styleId="4">
    <w:name w:val="footer"/>
    <w:basedOn w:val="1"/>
    <w:link w:val="10"/>
    <w:qFormat/>
    <w:uiPriority w:val="99"/>
    <w:pPr>
      <w:tabs>
        <w:tab w:val="center" w:pos="4153"/>
        <w:tab w:val="right" w:pos="8306"/>
      </w:tabs>
      <w:snapToGrid w:val="0"/>
      <w:jc w:val="left"/>
    </w:pPr>
    <w:rPr>
      <w:kern w:val="0"/>
      <w:sz w:val="18"/>
      <w:szCs w:val="18"/>
    </w:rPr>
  </w:style>
  <w:style w:type="paragraph" w:styleId="5">
    <w:name w:val="header"/>
    <w:basedOn w:val="1"/>
    <w:link w:val="11"/>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kern w:val="0"/>
      <w:sz w:val="18"/>
      <w:szCs w:val="18"/>
    </w:rPr>
  </w:style>
  <w:style w:type="paragraph" w:styleId="6">
    <w:name w:val="Body Text First Indent"/>
    <w:basedOn w:val="3"/>
    <w:link w:val="14"/>
    <w:semiHidden/>
    <w:unhideWhenUsed/>
    <w:qFormat/>
    <w:locked/>
    <w:uiPriority w:val="99"/>
    <w:pPr>
      <w:autoSpaceDE/>
      <w:autoSpaceDN/>
      <w:spacing w:after="120"/>
      <w:ind w:firstLine="420" w:firstLineChars="100"/>
    </w:pPr>
    <w:rPr>
      <w:rFonts w:ascii="Calibri" w:hAnsi="Calibri" w:eastAsia="方正仿宋_GBK" w:cs="Times New Roman"/>
      <w:szCs w:val="24"/>
    </w:rPr>
  </w:style>
  <w:style w:type="character" w:customStyle="1" w:styleId="9">
    <w:name w:val="标题 5 Char"/>
    <w:link w:val="2"/>
    <w:semiHidden/>
    <w:qFormat/>
    <w:locked/>
    <w:uiPriority w:val="99"/>
    <w:rPr>
      <w:rFonts w:eastAsia="方正仿宋_GBK" w:cs="Times New Roman"/>
      <w:b/>
      <w:sz w:val="28"/>
    </w:rPr>
  </w:style>
  <w:style w:type="character" w:customStyle="1" w:styleId="10">
    <w:name w:val="页脚 Char"/>
    <w:link w:val="4"/>
    <w:semiHidden/>
    <w:qFormat/>
    <w:locked/>
    <w:uiPriority w:val="99"/>
    <w:rPr>
      <w:rFonts w:eastAsia="方正仿宋_GBK" w:cs="Times New Roman"/>
      <w:sz w:val="18"/>
    </w:rPr>
  </w:style>
  <w:style w:type="character" w:customStyle="1" w:styleId="11">
    <w:name w:val="页眉 Char"/>
    <w:link w:val="5"/>
    <w:semiHidden/>
    <w:qFormat/>
    <w:locked/>
    <w:uiPriority w:val="99"/>
    <w:rPr>
      <w:rFonts w:eastAsia="方正仿宋_GBK" w:cs="Times New Roman"/>
      <w:sz w:val="18"/>
    </w:rPr>
  </w:style>
  <w:style w:type="paragraph" w:styleId="12">
    <w:name w:val="List Paragraph"/>
    <w:basedOn w:val="1"/>
    <w:uiPriority w:val="99"/>
    <w:pPr>
      <w:ind w:firstLine="420" w:firstLineChars="200"/>
    </w:pPr>
  </w:style>
  <w:style w:type="character" w:customStyle="1" w:styleId="13">
    <w:name w:val="正文文本 Char"/>
    <w:basedOn w:val="8"/>
    <w:link w:val="3"/>
    <w:qFormat/>
    <w:uiPriority w:val="99"/>
    <w:rPr>
      <w:rFonts w:ascii="宋体" w:hAnsi="宋体" w:cs="宋体"/>
      <w:kern w:val="2"/>
      <w:sz w:val="32"/>
      <w:szCs w:val="32"/>
    </w:rPr>
  </w:style>
  <w:style w:type="character" w:customStyle="1" w:styleId="14">
    <w:name w:val="正文首行缩进 Char"/>
    <w:basedOn w:val="13"/>
    <w:link w:val="6"/>
    <w:semiHidden/>
    <w:uiPriority w:val="99"/>
    <w:rPr>
      <w:rFonts w:ascii="宋体" w:hAnsi="宋体" w:eastAsia="方正仿宋_GBK" w:cs="宋体"/>
      <w:kern w:val="2"/>
      <w:sz w:val="32"/>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175F401-7C4D-49F0-8468-C36FEF6ACDC0}">
  <ds:schemaRefs/>
</ds:datastoreItem>
</file>

<file path=docProps/app.xml><?xml version="1.0" encoding="utf-8"?>
<Properties xmlns="http://schemas.openxmlformats.org/officeDocument/2006/extended-properties" xmlns:vt="http://schemas.openxmlformats.org/officeDocument/2006/docPropsVTypes">
  <Template>Normal</Template>
  <Pages>9</Pages>
  <Words>3666</Words>
  <Characters>3704</Characters>
  <Lines>32</Lines>
  <Paragraphs>9</Paragraphs>
  <TotalTime>147</TotalTime>
  <ScaleCrop>false</ScaleCrop>
  <LinksUpToDate>false</LinksUpToDate>
  <CharactersWithSpaces>4094</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2022-05-06T04:43:00Z</dcterms:created>
  <dc:creator>Administrator</dc:creator>
  <cp:lastModifiedBy>刘国锋</cp:lastModifiedBy>
  <cp:lastPrinted>2021-11-17T08:54:00Z</cp:lastPrinted>
  <dcterms:modified xsi:type="dcterms:W3CDTF">2022-05-13T09:02:00Z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80304A67DB5E48D7B17A6F9DBC487582</vt:lpwstr>
  </property>
</Properties>
</file>