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方正黑体_GBK" w:eastAsia="方正黑体_GBK"/>
          <w:szCs w:val="32"/>
        </w:rPr>
      </w:pPr>
      <w:bookmarkStart w:id="0" w:name="_GoBack"/>
      <w:bookmarkEnd w:id="0"/>
      <w:r>
        <w:rPr>
          <w:rFonts w:hint="eastAsia" w:ascii="方正黑体_GBK" w:eastAsia="方正黑体_GBK"/>
          <w:szCs w:val="32"/>
        </w:rPr>
        <w:t>附件2</w:t>
      </w:r>
    </w:p>
    <w:p>
      <w:pPr>
        <w:widowControl/>
        <w:spacing w:line="570" w:lineRule="exact"/>
        <w:jc w:val="center"/>
        <w:rPr>
          <w:rFonts w:ascii="方正小标宋_GBK" w:eastAsia="方正小标宋_GBK"/>
          <w:sz w:val="44"/>
          <w:szCs w:val="44"/>
        </w:rPr>
      </w:pPr>
      <w:r>
        <w:rPr>
          <w:rFonts w:hint="eastAsia" w:ascii="方正小标宋_GBK" w:eastAsia="方正小标宋_GBK"/>
          <w:sz w:val="44"/>
          <w:szCs w:val="44"/>
        </w:rPr>
        <w:t>常州市水利工程质量检测单位“双随机、一公开”抽查记录表</w:t>
      </w:r>
    </w:p>
    <w:p>
      <w:pPr>
        <w:rPr>
          <w:rFonts w:eastAsia="宋体"/>
          <w:sz w:val="21"/>
        </w:rPr>
      </w:pPr>
      <w:r>
        <w:rPr>
          <w:rFonts w:hint="eastAsia" w:ascii="仿宋_GB2312" w:hAnsi="仿宋_GB2312" w:eastAsia="仿宋_GB2312" w:cs="仿宋_GB2312"/>
          <w:sz w:val="28"/>
          <w:szCs w:val="28"/>
        </w:rPr>
        <w:t>检查对象：</w:t>
      </w:r>
      <w:r>
        <w:rPr>
          <w:rFonts w:hint="eastAsia" w:eastAsia="宋体"/>
          <w:sz w:val="21"/>
        </w:rPr>
        <w:t xml:space="preserve"> </w:t>
      </w:r>
    </w:p>
    <w:tbl>
      <w:tblPr>
        <w:tblStyle w:val="7"/>
        <w:tblW w:w="99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067"/>
        <w:gridCol w:w="1350"/>
        <w:gridCol w:w="4271"/>
        <w:gridCol w:w="2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662" w:type="dxa"/>
            <w:vAlign w:val="center"/>
          </w:tcPr>
          <w:p>
            <w:pPr>
              <w:jc w:val="center"/>
              <w:rPr>
                <w:rFonts w:ascii="黑体" w:hAnsi="黑体" w:eastAsia="黑体" w:cs="黑体"/>
                <w:sz w:val="21"/>
                <w:szCs w:val="21"/>
              </w:rPr>
            </w:pPr>
            <w:r>
              <w:rPr>
                <w:rFonts w:hint="eastAsia" w:ascii="黑体" w:hAnsi="黑体" w:eastAsia="黑体" w:cs="黑体"/>
                <w:sz w:val="21"/>
                <w:szCs w:val="21"/>
              </w:rPr>
              <w:t>序号</w:t>
            </w:r>
          </w:p>
        </w:tc>
        <w:tc>
          <w:tcPr>
            <w:tcW w:w="1067" w:type="dxa"/>
            <w:vAlign w:val="center"/>
          </w:tcPr>
          <w:p>
            <w:pPr>
              <w:jc w:val="center"/>
              <w:rPr>
                <w:rFonts w:ascii="黑体" w:hAnsi="黑体" w:eastAsia="黑体" w:cs="黑体"/>
                <w:sz w:val="21"/>
                <w:szCs w:val="21"/>
              </w:rPr>
            </w:pPr>
            <w:r>
              <w:rPr>
                <w:rFonts w:hint="eastAsia" w:ascii="黑体" w:hAnsi="黑体" w:eastAsia="黑体" w:cs="黑体"/>
                <w:sz w:val="21"/>
                <w:szCs w:val="21"/>
              </w:rPr>
              <w:t>检查项目</w:t>
            </w:r>
          </w:p>
        </w:tc>
        <w:tc>
          <w:tcPr>
            <w:tcW w:w="1350" w:type="dxa"/>
            <w:vAlign w:val="center"/>
          </w:tcPr>
          <w:p>
            <w:pPr>
              <w:jc w:val="center"/>
              <w:rPr>
                <w:rFonts w:ascii="黑体" w:hAnsi="黑体" w:eastAsia="黑体" w:cs="黑体"/>
                <w:sz w:val="21"/>
                <w:szCs w:val="21"/>
              </w:rPr>
            </w:pPr>
            <w:r>
              <w:rPr>
                <w:rFonts w:hint="eastAsia" w:ascii="黑体" w:hAnsi="黑体" w:eastAsia="黑体" w:cs="黑体"/>
                <w:sz w:val="21"/>
                <w:szCs w:val="21"/>
              </w:rPr>
              <w:t>检查子项</w:t>
            </w:r>
          </w:p>
        </w:tc>
        <w:tc>
          <w:tcPr>
            <w:tcW w:w="4271" w:type="dxa"/>
            <w:vAlign w:val="center"/>
          </w:tcPr>
          <w:p>
            <w:pPr>
              <w:jc w:val="center"/>
              <w:rPr>
                <w:rFonts w:ascii="黑体" w:hAnsi="黑体" w:eastAsia="黑体" w:cs="黑体"/>
                <w:sz w:val="21"/>
                <w:szCs w:val="21"/>
              </w:rPr>
            </w:pPr>
            <w:r>
              <w:rPr>
                <w:rFonts w:hint="eastAsia" w:ascii="黑体" w:hAnsi="黑体" w:eastAsia="黑体" w:cs="黑体"/>
                <w:sz w:val="21"/>
                <w:szCs w:val="21"/>
              </w:rPr>
              <w:t>检查内容</w:t>
            </w:r>
          </w:p>
        </w:tc>
        <w:tc>
          <w:tcPr>
            <w:tcW w:w="2637" w:type="dxa"/>
            <w:vAlign w:val="center"/>
          </w:tcPr>
          <w:p>
            <w:pPr>
              <w:jc w:val="center"/>
              <w:rPr>
                <w:rFonts w:ascii="黑体" w:hAnsi="黑体" w:eastAsia="黑体" w:cs="黑体"/>
                <w:sz w:val="21"/>
                <w:szCs w:val="21"/>
              </w:rPr>
            </w:pPr>
            <w:r>
              <w:rPr>
                <w:rFonts w:hint="eastAsia" w:ascii="黑体" w:hAnsi="黑体" w:eastAsia="黑体" w:cs="黑体"/>
                <w:sz w:val="21"/>
                <w:szCs w:val="21"/>
              </w:rPr>
              <w:t>发现问题情况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2" w:type="dxa"/>
            <w:vMerge w:val="restart"/>
            <w:vAlign w:val="center"/>
          </w:tcPr>
          <w:p>
            <w:pPr>
              <w:spacing w:line="2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1067" w:type="dxa"/>
            <w:vMerge w:val="restart"/>
            <w:vAlign w:val="center"/>
          </w:tcPr>
          <w:p>
            <w:pPr>
              <w:spacing w:line="2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资质复核</w:t>
            </w:r>
          </w:p>
        </w:tc>
        <w:tc>
          <w:tcPr>
            <w:tcW w:w="1350" w:type="dxa"/>
            <w:vMerge w:val="restart"/>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资质等级证书</w:t>
            </w: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（1）计量认证证书是否在有效期内</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21"/>
                <w:szCs w:val="21"/>
              </w:rPr>
            </w:pPr>
          </w:p>
        </w:tc>
        <w:tc>
          <w:tcPr>
            <w:tcW w:w="1067" w:type="dxa"/>
            <w:vMerge w:val="continue"/>
            <w:vAlign w:val="center"/>
          </w:tcPr>
          <w:p>
            <w:pPr>
              <w:spacing w:line="240" w:lineRule="exact"/>
              <w:jc w:val="center"/>
              <w:rPr>
                <w:rFonts w:ascii="仿宋_GB2312" w:hAnsi="仿宋_GB2312" w:eastAsia="仿宋_GB2312" w:cs="仿宋_GB2312"/>
                <w:sz w:val="21"/>
                <w:szCs w:val="21"/>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（2）检测单位名称、地址、法定代表人、技术负责人等信息在资质等级证书、营业执照等一致性</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21"/>
                <w:szCs w:val="21"/>
              </w:rPr>
            </w:pPr>
          </w:p>
        </w:tc>
        <w:tc>
          <w:tcPr>
            <w:tcW w:w="1067" w:type="dxa"/>
            <w:vMerge w:val="continue"/>
            <w:vAlign w:val="center"/>
          </w:tcPr>
          <w:p>
            <w:pPr>
              <w:rPr>
                <w:rFonts w:ascii="仿宋_GB2312" w:hAnsi="仿宋_GB2312" w:eastAsia="仿宋_GB2312" w:cs="仿宋_GB2312"/>
                <w:sz w:val="21"/>
                <w:szCs w:val="21"/>
              </w:rPr>
            </w:pPr>
          </w:p>
        </w:tc>
        <w:tc>
          <w:tcPr>
            <w:tcW w:w="1350" w:type="dxa"/>
            <w:vMerge w:val="restart"/>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人员资格</w:t>
            </w:r>
          </w:p>
        </w:tc>
        <w:tc>
          <w:tcPr>
            <w:tcW w:w="4271" w:type="dxa"/>
            <w:vAlign w:val="center"/>
          </w:tcPr>
          <w:p>
            <w:pPr>
              <w:rPr>
                <w:rFonts w:ascii="仿宋_GB2312" w:hAnsi="仿宋_GB2312" w:eastAsia="仿宋_GB2312" w:cs="仿宋_GB2312"/>
                <w:sz w:val="18"/>
                <w:szCs w:val="18"/>
              </w:rPr>
            </w:pPr>
            <w:r>
              <w:rPr>
                <w:rFonts w:hint="eastAsia" w:ascii="仿宋_GB2312" w:hAnsi="仿宋_GB2312" w:eastAsia="仿宋_GB2312" w:cs="仿宋_GB2312"/>
                <w:sz w:val="18"/>
                <w:szCs w:val="18"/>
              </w:rPr>
              <w:t>（1）技术负责人是否具有10年以上从事水利水电工程建设相关工作经历，并具有水利水电专业高级以上技术职称</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21"/>
                <w:szCs w:val="21"/>
              </w:rPr>
            </w:pPr>
          </w:p>
        </w:tc>
        <w:tc>
          <w:tcPr>
            <w:tcW w:w="1067" w:type="dxa"/>
            <w:vMerge w:val="continue"/>
            <w:vAlign w:val="center"/>
          </w:tcPr>
          <w:p>
            <w:pPr>
              <w:rPr>
                <w:rFonts w:ascii="仿宋_GB2312" w:hAnsi="仿宋_GB2312" w:eastAsia="仿宋_GB2312" w:cs="仿宋_GB2312"/>
                <w:sz w:val="21"/>
                <w:szCs w:val="21"/>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rPr>
                <w:rFonts w:ascii="仿宋_GB2312" w:hAnsi="仿宋_GB2312" w:eastAsia="仿宋_GB2312" w:cs="仿宋_GB2312"/>
                <w:sz w:val="18"/>
                <w:szCs w:val="18"/>
              </w:rPr>
            </w:pPr>
            <w:r>
              <w:rPr>
                <w:rFonts w:hint="eastAsia" w:ascii="仿宋_GB2312" w:hAnsi="仿宋_GB2312" w:eastAsia="仿宋_GB2312" w:cs="仿宋_GB2312"/>
                <w:sz w:val="18"/>
                <w:szCs w:val="18"/>
              </w:rPr>
              <w:t>（2）检测人员是否具有水利工程质量检测员职业资格或者具备水利水电工程及相关专业中级以上技术职称，不少于规定人数</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21"/>
                <w:szCs w:val="21"/>
              </w:rPr>
            </w:pPr>
          </w:p>
        </w:tc>
        <w:tc>
          <w:tcPr>
            <w:tcW w:w="1067" w:type="dxa"/>
            <w:vMerge w:val="continue"/>
          </w:tcPr>
          <w:p>
            <w:pPr>
              <w:rPr>
                <w:rFonts w:ascii="仿宋_GB2312" w:hAnsi="仿宋_GB2312" w:eastAsia="仿宋_GB2312" w:cs="仿宋_GB2312"/>
                <w:sz w:val="21"/>
                <w:szCs w:val="21"/>
              </w:rPr>
            </w:pPr>
          </w:p>
        </w:tc>
        <w:tc>
          <w:tcPr>
            <w:tcW w:w="1350" w:type="dxa"/>
            <w:vMerge w:val="restart"/>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技术管理和质量保证体系</w:t>
            </w: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（1）仪器设备运行、检定和校准情况是否符合相关规定和要求</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21"/>
                <w:szCs w:val="21"/>
              </w:rPr>
            </w:pPr>
          </w:p>
        </w:tc>
        <w:tc>
          <w:tcPr>
            <w:tcW w:w="1067" w:type="dxa"/>
            <w:vMerge w:val="continue"/>
          </w:tcPr>
          <w:p>
            <w:pPr>
              <w:rPr>
                <w:rFonts w:ascii="仿宋_GB2312" w:hAnsi="仿宋_GB2312" w:eastAsia="仿宋_GB2312" w:cs="仿宋_GB2312"/>
                <w:sz w:val="21"/>
                <w:szCs w:val="21"/>
              </w:rPr>
            </w:pPr>
          </w:p>
        </w:tc>
        <w:tc>
          <w:tcPr>
            <w:tcW w:w="1350" w:type="dxa"/>
            <w:vMerge w:val="continue"/>
            <w:vAlign w:val="center"/>
          </w:tcPr>
          <w:p>
            <w:pPr>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（2）检测单位是否建立档案管理制度，单独建立检测结果不合格项目台账</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restart"/>
            <w:vAlign w:val="center"/>
          </w:tcPr>
          <w:p>
            <w:pPr>
              <w:spacing w:line="240" w:lineRule="exact"/>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1067" w:type="dxa"/>
            <w:vMerge w:val="restart"/>
            <w:vAlign w:val="center"/>
          </w:tcPr>
          <w:p>
            <w:pPr>
              <w:rPr>
                <w:rFonts w:ascii="仿宋_GB2312" w:hAnsi="仿宋_GB2312" w:eastAsia="仿宋_GB2312" w:cs="仿宋_GB2312"/>
                <w:sz w:val="21"/>
                <w:szCs w:val="21"/>
              </w:rPr>
            </w:pPr>
            <w:r>
              <w:rPr>
                <w:rFonts w:hint="eastAsia" w:ascii="仿宋_GB2312" w:hAnsi="仿宋_GB2312" w:eastAsia="仿宋_GB2312" w:cs="仿宋_GB2312"/>
                <w:sz w:val="21"/>
                <w:szCs w:val="21"/>
              </w:rPr>
              <w:t>检测行为</w:t>
            </w:r>
          </w:p>
        </w:tc>
        <w:tc>
          <w:tcPr>
            <w:tcW w:w="1350" w:type="dxa"/>
            <w:vMerge w:val="restart"/>
            <w:vAlign w:val="center"/>
          </w:tcPr>
          <w:p>
            <w:pPr>
              <w:spacing w:line="240" w:lineRule="exact"/>
              <w:jc w:val="center"/>
              <w:rPr>
                <w:rFonts w:ascii="仿宋_GB2312" w:hAnsi="仿宋_GB2312" w:eastAsia="仿宋_GB2312" w:cs="仿宋_GB2312"/>
                <w:color w:val="FF0000"/>
                <w:sz w:val="18"/>
                <w:szCs w:val="18"/>
              </w:rPr>
            </w:pPr>
            <w:r>
              <w:rPr>
                <w:rFonts w:hint="eastAsia" w:ascii="仿宋_GB2312" w:hAnsi="仿宋_GB2312" w:eastAsia="仿宋_GB2312" w:cs="仿宋_GB2312"/>
                <w:sz w:val="18"/>
                <w:szCs w:val="18"/>
              </w:rPr>
              <w:t>检测资质</w:t>
            </w: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（1）是否存在涂改、倒卖、出租、出借或者其他形式非法转让《资质等级证书》的情况</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18"/>
                <w:szCs w:val="18"/>
              </w:rPr>
            </w:pPr>
          </w:p>
        </w:tc>
        <w:tc>
          <w:tcPr>
            <w:tcW w:w="1067" w:type="dxa"/>
            <w:vMerge w:val="continue"/>
            <w:vAlign w:val="center"/>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（2）是否存在未取得相应资质，擅自承担检测业务的情况</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18"/>
                <w:szCs w:val="18"/>
              </w:rPr>
            </w:pPr>
          </w:p>
        </w:tc>
        <w:tc>
          <w:tcPr>
            <w:tcW w:w="1067" w:type="dxa"/>
            <w:vMerge w:val="continue"/>
            <w:vAlign w:val="center"/>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（3）是否存在转包质量检测业务或未经委托方同意分包质量检测业务的问题</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18"/>
                <w:szCs w:val="18"/>
              </w:rPr>
            </w:pPr>
          </w:p>
        </w:tc>
        <w:tc>
          <w:tcPr>
            <w:tcW w:w="1067" w:type="dxa"/>
            <w:vMerge w:val="continue"/>
            <w:vAlign w:val="center"/>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（4）是否存在超出资质等级范围从事检测活动的情况</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18"/>
                <w:szCs w:val="18"/>
              </w:rPr>
            </w:pPr>
          </w:p>
        </w:tc>
        <w:tc>
          <w:tcPr>
            <w:tcW w:w="1067" w:type="dxa"/>
            <w:vMerge w:val="continue"/>
            <w:vAlign w:val="center"/>
          </w:tcPr>
          <w:p>
            <w:pPr>
              <w:rPr>
                <w:rFonts w:ascii="仿宋_GB2312" w:hAnsi="仿宋_GB2312" w:eastAsia="仿宋_GB2312" w:cs="仿宋_GB2312"/>
                <w:sz w:val="18"/>
                <w:szCs w:val="18"/>
              </w:rPr>
            </w:pPr>
          </w:p>
        </w:tc>
        <w:tc>
          <w:tcPr>
            <w:tcW w:w="1350" w:type="dxa"/>
            <w:vMerge w:val="restart"/>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仪器设备</w:t>
            </w: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（1）</w:t>
            </w:r>
            <w:r>
              <w:rPr>
                <w:rFonts w:ascii="仿宋_GB2312" w:hAnsi="仿宋_GB2312" w:eastAsia="仿宋_GB2312" w:cs="仿宋_GB2312"/>
                <w:sz w:val="18"/>
                <w:szCs w:val="18"/>
              </w:rPr>
              <w:t>仪器设备作业指导书是否不全</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18"/>
                <w:szCs w:val="18"/>
              </w:rPr>
            </w:pPr>
          </w:p>
        </w:tc>
        <w:tc>
          <w:tcPr>
            <w:tcW w:w="1067" w:type="dxa"/>
            <w:vMerge w:val="continue"/>
            <w:vAlign w:val="center"/>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（2）危险化学试剂运输、存储、使用、废弃处置等管理是否符合规定</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vAlign w:val="center"/>
          </w:tcPr>
          <w:p>
            <w:pPr>
              <w:spacing w:line="240" w:lineRule="exact"/>
              <w:jc w:val="center"/>
              <w:rPr>
                <w:rFonts w:ascii="仿宋_GB2312" w:hAnsi="仿宋_GB2312" w:eastAsia="仿宋_GB2312" w:cs="仿宋_GB2312"/>
                <w:sz w:val="18"/>
                <w:szCs w:val="18"/>
              </w:rPr>
            </w:pPr>
          </w:p>
        </w:tc>
        <w:tc>
          <w:tcPr>
            <w:tcW w:w="1067" w:type="dxa"/>
            <w:vMerge w:val="continue"/>
            <w:vAlign w:val="center"/>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（3）试验室的工作环境、温度、湿度是否符合要求</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restart"/>
            <w:vAlign w:val="center"/>
          </w:tcPr>
          <w:p>
            <w:pPr>
              <w:spacing w:line="240" w:lineRule="exact"/>
              <w:jc w:val="center"/>
              <w:rPr>
                <w:rFonts w:ascii="仿宋_GB2312" w:hAnsi="仿宋_GB2312" w:eastAsia="仿宋_GB2312" w:cs="仿宋_GB2312"/>
                <w:color w:val="FF0000"/>
                <w:sz w:val="18"/>
                <w:szCs w:val="18"/>
              </w:rPr>
            </w:pPr>
            <w:r>
              <w:rPr>
                <w:rFonts w:hint="eastAsia" w:ascii="仿宋_GB2312" w:hAnsi="仿宋_GB2312" w:eastAsia="仿宋_GB2312" w:cs="仿宋_GB2312"/>
                <w:sz w:val="18"/>
                <w:szCs w:val="18"/>
              </w:rPr>
              <w:t>检测报告</w:t>
            </w:r>
          </w:p>
        </w:tc>
        <w:tc>
          <w:tcPr>
            <w:tcW w:w="4271" w:type="dxa"/>
            <w:tcBorders>
              <w:bottom w:val="single" w:color="auto" w:sz="4" w:space="0"/>
            </w:tcBorders>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（1）是否按照规定在质量检测报告上签字盖章</w:t>
            </w:r>
          </w:p>
        </w:tc>
        <w:tc>
          <w:tcPr>
            <w:tcW w:w="2637" w:type="dxa"/>
            <w:tcBorders>
              <w:bottom w:val="single" w:color="auto" w:sz="4" w:space="0"/>
            </w:tcBorders>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（2）是否及时提供检测报告</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after="160"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（3）是否存在编造虚假检测报告、伪造检测数据等行为</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after="160"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（4）试验检测报告出具结果、结论不明确</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after="160"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（5）试验检测报告修订后未按规定处理</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exact"/>
          <w:jc w:val="center"/>
        </w:trPr>
        <w:tc>
          <w:tcPr>
            <w:tcW w:w="662" w:type="dxa"/>
            <w:vMerge w:val="restart"/>
            <w:vAlign w:val="center"/>
          </w:tcPr>
          <w:p>
            <w:pPr>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1067" w:type="dxa"/>
            <w:vMerge w:val="restart"/>
            <w:vAlign w:val="center"/>
          </w:tcPr>
          <w:p>
            <w:pPr>
              <w:rPr>
                <w:rFonts w:ascii="仿宋_GB2312" w:hAnsi="仿宋_GB2312" w:eastAsia="仿宋_GB2312" w:cs="仿宋_GB2312"/>
                <w:sz w:val="18"/>
                <w:szCs w:val="18"/>
              </w:rPr>
            </w:pPr>
            <w:r>
              <w:rPr>
                <w:rFonts w:hint="eastAsia" w:ascii="仿宋_GB2312" w:hAnsi="仿宋_GB2312" w:eastAsia="仿宋_GB2312" w:cs="仿宋_GB2312"/>
                <w:sz w:val="18"/>
                <w:szCs w:val="18"/>
              </w:rPr>
              <w:t>检测活动</w:t>
            </w:r>
          </w:p>
        </w:tc>
        <w:tc>
          <w:tcPr>
            <w:tcW w:w="1350" w:type="dxa"/>
            <w:vMerge w:val="restart"/>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检测行为</w:t>
            </w: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（1）是否按照国家和行业标准开展检测活动；无相关标准的，是否由检测单位提出方案，委托方确认后实施；质量检测试样的取样是否严格执行国家和行业标准</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（2）试验检测人员承担超出本人授权范围和资格的试验检测工作</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（3）试验检测使用错误或失效的标准、规程规范</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（4）是否将存在工程安全问题、可能形成质量隐患或影响工程正常运行的检测结果及时报告委托方</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662" w:type="dxa"/>
            <w:vMerge w:val="continue"/>
          </w:tcPr>
          <w:p>
            <w:pPr>
              <w:rPr>
                <w:rFonts w:ascii="仿宋_GB2312" w:hAnsi="仿宋_GB2312" w:eastAsia="仿宋_GB2312" w:cs="仿宋_GB2312"/>
                <w:sz w:val="18"/>
                <w:szCs w:val="18"/>
              </w:rPr>
            </w:pPr>
          </w:p>
        </w:tc>
        <w:tc>
          <w:tcPr>
            <w:tcW w:w="1067" w:type="dxa"/>
            <w:vMerge w:val="continue"/>
          </w:tcPr>
          <w:p>
            <w:pPr>
              <w:rPr>
                <w:rFonts w:ascii="仿宋_GB2312" w:hAnsi="仿宋_GB2312" w:eastAsia="仿宋_GB2312" w:cs="仿宋_GB2312"/>
                <w:sz w:val="18"/>
                <w:szCs w:val="18"/>
              </w:rPr>
            </w:pPr>
          </w:p>
        </w:tc>
        <w:tc>
          <w:tcPr>
            <w:tcW w:w="1350" w:type="dxa"/>
            <w:vMerge w:val="continue"/>
            <w:vAlign w:val="center"/>
          </w:tcPr>
          <w:p>
            <w:pPr>
              <w:spacing w:line="240" w:lineRule="exact"/>
              <w:jc w:val="center"/>
              <w:rPr>
                <w:rFonts w:ascii="仿宋_GB2312" w:hAnsi="仿宋_GB2312" w:eastAsia="仿宋_GB2312" w:cs="仿宋_GB2312"/>
                <w:sz w:val="18"/>
                <w:szCs w:val="18"/>
              </w:rPr>
            </w:pPr>
          </w:p>
        </w:tc>
        <w:tc>
          <w:tcPr>
            <w:tcW w:w="4271" w:type="dxa"/>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（5）是否对质量督查、巡查、检查、稽察等发现的问题整改或整改不到位</w:t>
            </w:r>
          </w:p>
        </w:tc>
        <w:tc>
          <w:tcPr>
            <w:tcW w:w="2637" w:type="dxa"/>
            <w:vAlign w:val="center"/>
          </w:tcPr>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有□ 无□ </w:t>
            </w:r>
          </w:p>
          <w:p>
            <w:pPr>
              <w:spacing w:line="240" w:lineRule="exact"/>
              <w:rPr>
                <w:rFonts w:ascii="仿宋_GB2312" w:hAnsi="仿宋_GB2312" w:eastAsia="仿宋_GB2312" w:cs="仿宋_GB2312"/>
                <w:sz w:val="21"/>
                <w:szCs w:val="21"/>
              </w:rPr>
            </w:pPr>
            <w:r>
              <w:rPr>
                <w:rFonts w:hint="eastAsia" w:ascii="仿宋_GB2312" w:hAnsi="仿宋_GB2312" w:eastAsia="仿宋_GB2312" w:cs="仿宋_GB2312"/>
                <w:sz w:val="21"/>
                <w:szCs w:val="21"/>
              </w:rPr>
              <w:t>情况说明：</w:t>
            </w:r>
            <w:r>
              <w:rPr>
                <w:rFonts w:hint="eastAsia" w:ascii="仿宋_GB2312" w:hAnsi="仿宋_GB2312" w:eastAsia="仿宋_GB2312" w:cs="仿宋_GB2312"/>
                <w:sz w:val="24"/>
                <w:u w:val="single"/>
              </w:rPr>
              <w:t xml:space="preserve">           </w:t>
            </w:r>
          </w:p>
        </w:tc>
      </w:tr>
    </w:tbl>
    <w:p>
      <w:pPr>
        <w:rPr>
          <w:rFonts w:ascii="仿宋" w:hAnsi="仿宋" w:eastAsia="仿宋" w:cs="仿宋"/>
          <w:sz w:val="24"/>
        </w:rPr>
      </w:pPr>
    </w:p>
    <w:p>
      <w:pPr>
        <w:rPr>
          <w:rFonts w:ascii="仿宋" w:hAnsi="仿宋" w:eastAsia="仿宋" w:cs="仿宋"/>
          <w:sz w:val="24"/>
        </w:rPr>
      </w:pPr>
      <w:r>
        <w:rPr>
          <w:rFonts w:hint="eastAsia" w:ascii="仿宋" w:hAnsi="仿宋" w:eastAsia="仿宋" w:cs="仿宋"/>
          <w:sz w:val="24"/>
        </w:rPr>
        <w:t>核查人员签字：</w:t>
      </w:r>
      <w:r>
        <w:rPr>
          <w:rFonts w:ascii="仿宋" w:hAnsi="仿宋" w:eastAsia="仿宋" w:cs="仿宋"/>
          <w:sz w:val="24"/>
        </w:rPr>
        <w:t xml:space="preserve">                                 </w:t>
      </w:r>
      <w:r>
        <w:rPr>
          <w:rFonts w:hint="eastAsia" w:ascii="仿宋" w:hAnsi="仿宋" w:eastAsia="仿宋" w:cs="仿宋"/>
          <w:sz w:val="24"/>
        </w:rPr>
        <w:t>核查工作负责人签字：</w:t>
      </w:r>
    </w:p>
    <w:sectPr>
      <w:footerReference r:id="rId3" w:type="default"/>
      <w:pgSz w:w="11906" w:h="16838"/>
      <w:pgMar w:top="1588" w:right="1531" w:bottom="1985" w:left="1531" w:header="851" w:footer="992" w:gutter="0"/>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320" w:leftChars="100" w:right="320" w:rightChars="100"/>
      <w:rPr>
        <w:rFonts w:asci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rFonts w:hint="eastAsia"/>
                        <w:sz w:val="28"/>
                        <w:szCs w:val="28"/>
                      </w:rPr>
                      <w:t xml:space="preserve"> — </w:t>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sz w:val="32"/>
                              <w:szCs w:val="32"/>
                            </w:rPr>
                          </w:pPr>
                          <w:r>
                            <w:rPr>
                              <w:rFonts w:hint="eastAsia" w:ascii="Times New Roman" w:hAnsi="Times New Roman"/>
                              <w:sz w:val="32"/>
                              <w:szCs w:val="32"/>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rPr>
                        <w:rFonts w:ascii="Times New Roman" w:hAnsi="Times New Roman"/>
                        <w:sz w:val="32"/>
                        <w:szCs w:val="32"/>
                      </w:rPr>
                    </w:pPr>
                    <w:r>
                      <w:rPr>
                        <w:rFonts w:hint="eastAsia" w:ascii="Times New Roman" w:hAnsi="Times New Roman"/>
                        <w:sz w:val="32"/>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5OGJiZTJiNzQ2OGIyMDY2Y2Y3ZDNlOGVhNzk0OTYifQ=="/>
  </w:docVars>
  <w:rsids>
    <w:rsidRoot w:val="006A2CCC"/>
    <w:rsid w:val="000000B2"/>
    <w:rsid w:val="00081B13"/>
    <w:rsid w:val="0008469D"/>
    <w:rsid w:val="000926D9"/>
    <w:rsid w:val="000A4CA5"/>
    <w:rsid w:val="000A74E7"/>
    <w:rsid w:val="000D300F"/>
    <w:rsid w:val="000F0B56"/>
    <w:rsid w:val="00141CB3"/>
    <w:rsid w:val="00166AF4"/>
    <w:rsid w:val="001A4D62"/>
    <w:rsid w:val="001A4FAF"/>
    <w:rsid w:val="0021135C"/>
    <w:rsid w:val="00253183"/>
    <w:rsid w:val="00275E0B"/>
    <w:rsid w:val="0029013E"/>
    <w:rsid w:val="0030791D"/>
    <w:rsid w:val="0032701B"/>
    <w:rsid w:val="00347374"/>
    <w:rsid w:val="003816F1"/>
    <w:rsid w:val="003E5EF3"/>
    <w:rsid w:val="00404B39"/>
    <w:rsid w:val="004172D2"/>
    <w:rsid w:val="00434A63"/>
    <w:rsid w:val="00456133"/>
    <w:rsid w:val="004A1CD5"/>
    <w:rsid w:val="004B339B"/>
    <w:rsid w:val="0050069A"/>
    <w:rsid w:val="005629D0"/>
    <w:rsid w:val="0056504F"/>
    <w:rsid w:val="00587340"/>
    <w:rsid w:val="005A41D1"/>
    <w:rsid w:val="005E56A6"/>
    <w:rsid w:val="0068106B"/>
    <w:rsid w:val="00683865"/>
    <w:rsid w:val="00692D19"/>
    <w:rsid w:val="006A2CCC"/>
    <w:rsid w:val="006B6657"/>
    <w:rsid w:val="006C028C"/>
    <w:rsid w:val="006F28F1"/>
    <w:rsid w:val="006F7A04"/>
    <w:rsid w:val="00722ADA"/>
    <w:rsid w:val="007266CC"/>
    <w:rsid w:val="00743AAE"/>
    <w:rsid w:val="00767752"/>
    <w:rsid w:val="00786C35"/>
    <w:rsid w:val="00804D21"/>
    <w:rsid w:val="0084308C"/>
    <w:rsid w:val="008919F4"/>
    <w:rsid w:val="008A17D8"/>
    <w:rsid w:val="008C4537"/>
    <w:rsid w:val="008D054E"/>
    <w:rsid w:val="00910D29"/>
    <w:rsid w:val="00952EC0"/>
    <w:rsid w:val="009779D3"/>
    <w:rsid w:val="00983416"/>
    <w:rsid w:val="00985ADA"/>
    <w:rsid w:val="009A544D"/>
    <w:rsid w:val="009A7CC3"/>
    <w:rsid w:val="009E2A69"/>
    <w:rsid w:val="009F460D"/>
    <w:rsid w:val="00A10D08"/>
    <w:rsid w:val="00A2774F"/>
    <w:rsid w:val="00A86684"/>
    <w:rsid w:val="00AA485C"/>
    <w:rsid w:val="00AC3F94"/>
    <w:rsid w:val="00B01A83"/>
    <w:rsid w:val="00B572D0"/>
    <w:rsid w:val="00B61FFD"/>
    <w:rsid w:val="00B91EE7"/>
    <w:rsid w:val="00BB57F1"/>
    <w:rsid w:val="00C21836"/>
    <w:rsid w:val="00C24041"/>
    <w:rsid w:val="00CE5091"/>
    <w:rsid w:val="00D009BE"/>
    <w:rsid w:val="00D50987"/>
    <w:rsid w:val="00D55FE5"/>
    <w:rsid w:val="00D6074B"/>
    <w:rsid w:val="00D74263"/>
    <w:rsid w:val="00DA0DD3"/>
    <w:rsid w:val="00DD5063"/>
    <w:rsid w:val="00E26D20"/>
    <w:rsid w:val="00E562B4"/>
    <w:rsid w:val="00E63FE0"/>
    <w:rsid w:val="00E66460"/>
    <w:rsid w:val="00EB5D20"/>
    <w:rsid w:val="00EC0DC5"/>
    <w:rsid w:val="00ED1F1C"/>
    <w:rsid w:val="00F03638"/>
    <w:rsid w:val="00F11619"/>
    <w:rsid w:val="00F176DA"/>
    <w:rsid w:val="00F46E4D"/>
    <w:rsid w:val="00F63B9B"/>
    <w:rsid w:val="00F76D15"/>
    <w:rsid w:val="00F828EC"/>
    <w:rsid w:val="00F979FB"/>
    <w:rsid w:val="00FA21F2"/>
    <w:rsid w:val="00FB0355"/>
    <w:rsid w:val="00FE096D"/>
    <w:rsid w:val="011D5841"/>
    <w:rsid w:val="0610608A"/>
    <w:rsid w:val="0EB9454B"/>
    <w:rsid w:val="106F65AA"/>
    <w:rsid w:val="12781D49"/>
    <w:rsid w:val="13B17DC3"/>
    <w:rsid w:val="1AB91730"/>
    <w:rsid w:val="1AC62B22"/>
    <w:rsid w:val="1C8C5AD1"/>
    <w:rsid w:val="1D9467EA"/>
    <w:rsid w:val="275B78C2"/>
    <w:rsid w:val="2B8F6831"/>
    <w:rsid w:val="35C15FF3"/>
    <w:rsid w:val="379D68FC"/>
    <w:rsid w:val="3E17223C"/>
    <w:rsid w:val="3F17593F"/>
    <w:rsid w:val="3FD12B1B"/>
    <w:rsid w:val="40715C9B"/>
    <w:rsid w:val="50EE6390"/>
    <w:rsid w:val="51F67A17"/>
    <w:rsid w:val="52CC479B"/>
    <w:rsid w:val="53184DB7"/>
    <w:rsid w:val="566D19D9"/>
    <w:rsid w:val="5877366D"/>
    <w:rsid w:val="589B736A"/>
    <w:rsid w:val="660858BF"/>
    <w:rsid w:val="698C63E7"/>
    <w:rsid w:val="6BE677BE"/>
    <w:rsid w:val="6FEF1343"/>
    <w:rsid w:val="70002C73"/>
    <w:rsid w:val="703D33EE"/>
    <w:rsid w:val="714C4338"/>
    <w:rsid w:val="71A22577"/>
    <w:rsid w:val="74115E7E"/>
    <w:rsid w:val="774D22DB"/>
    <w:rsid w:val="7AAD7597"/>
    <w:rsid w:val="7B9D26FE"/>
    <w:rsid w:val="7EBF102D"/>
    <w:rsid w:val="7EE67A83"/>
    <w:rsid w:val="8FEBC26D"/>
    <w:rsid w:val="9F57AABA"/>
    <w:rsid w:val="FEBA0F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nhideWhenUsed="0" w:uiPriority="99" w:semiHidden="0" w:name="heading 5"/>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Times New Roman"/>
      <w:kern w:val="2"/>
      <w:sz w:val="32"/>
      <w:szCs w:val="24"/>
      <w:lang w:val="en-US" w:eastAsia="zh-CN" w:bidi="ar-SA"/>
    </w:rPr>
  </w:style>
  <w:style w:type="paragraph" w:styleId="2">
    <w:name w:val="heading 5"/>
    <w:basedOn w:val="1"/>
    <w:next w:val="1"/>
    <w:link w:val="9"/>
    <w:qFormat/>
    <w:uiPriority w:val="99"/>
    <w:pPr>
      <w:keepNext/>
      <w:keepLines/>
      <w:spacing w:before="280" w:after="290" w:line="376" w:lineRule="auto"/>
      <w:outlineLvl w:val="4"/>
    </w:pPr>
    <w:rPr>
      <w:b/>
      <w:bCs/>
      <w:kern w:val="0"/>
      <w:sz w:val="28"/>
      <w:szCs w:val="2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Body Text"/>
    <w:basedOn w:val="1"/>
    <w:link w:val="13"/>
    <w:unhideWhenUsed/>
    <w:locked/>
    <w:uiPriority w:val="99"/>
    <w:pPr>
      <w:autoSpaceDE w:val="0"/>
      <w:autoSpaceDN w:val="0"/>
    </w:pPr>
    <w:rPr>
      <w:rFonts w:ascii="宋体" w:hAnsi="宋体" w:eastAsia="宋体" w:cs="宋体"/>
      <w:szCs w:val="32"/>
    </w:rPr>
  </w:style>
  <w:style w:type="paragraph" w:styleId="4">
    <w:name w:val="footer"/>
    <w:basedOn w:val="1"/>
    <w:link w:val="10"/>
    <w:qFormat/>
    <w:uiPriority w:val="99"/>
    <w:pPr>
      <w:tabs>
        <w:tab w:val="center" w:pos="4153"/>
        <w:tab w:val="right" w:pos="8306"/>
      </w:tabs>
      <w:snapToGrid w:val="0"/>
      <w:jc w:val="left"/>
    </w:pPr>
    <w:rPr>
      <w:kern w:val="0"/>
      <w:sz w:val="18"/>
      <w:szCs w:val="18"/>
    </w:rPr>
  </w:style>
  <w:style w:type="paragraph" w:styleId="5">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6">
    <w:name w:val="Body Text First Indent"/>
    <w:basedOn w:val="3"/>
    <w:link w:val="14"/>
    <w:semiHidden/>
    <w:unhideWhenUsed/>
    <w:locked/>
    <w:uiPriority w:val="99"/>
    <w:pPr>
      <w:autoSpaceDE/>
      <w:autoSpaceDN/>
      <w:spacing w:after="120"/>
      <w:ind w:firstLine="420" w:firstLineChars="100"/>
    </w:pPr>
    <w:rPr>
      <w:rFonts w:ascii="Calibri" w:hAnsi="Calibri" w:eastAsia="方正仿宋_GBK" w:cs="Times New Roman"/>
      <w:szCs w:val="24"/>
    </w:rPr>
  </w:style>
  <w:style w:type="character" w:customStyle="1" w:styleId="9">
    <w:name w:val="标题 5 Char"/>
    <w:link w:val="2"/>
    <w:semiHidden/>
    <w:qFormat/>
    <w:locked/>
    <w:uiPriority w:val="99"/>
    <w:rPr>
      <w:rFonts w:eastAsia="方正仿宋_GBK" w:cs="Times New Roman"/>
      <w:b/>
      <w:sz w:val="28"/>
    </w:rPr>
  </w:style>
  <w:style w:type="character" w:customStyle="1" w:styleId="10">
    <w:name w:val="页脚 Char"/>
    <w:link w:val="4"/>
    <w:semiHidden/>
    <w:qFormat/>
    <w:locked/>
    <w:uiPriority w:val="99"/>
    <w:rPr>
      <w:rFonts w:eastAsia="方正仿宋_GBK" w:cs="Times New Roman"/>
      <w:sz w:val="18"/>
    </w:rPr>
  </w:style>
  <w:style w:type="character" w:customStyle="1" w:styleId="11">
    <w:name w:val="页眉 Char"/>
    <w:link w:val="5"/>
    <w:semiHidden/>
    <w:qFormat/>
    <w:locked/>
    <w:uiPriority w:val="99"/>
    <w:rPr>
      <w:rFonts w:eastAsia="方正仿宋_GBK" w:cs="Times New Roman"/>
      <w:sz w:val="18"/>
    </w:rPr>
  </w:style>
  <w:style w:type="paragraph" w:styleId="12">
    <w:name w:val="List Paragraph"/>
    <w:basedOn w:val="1"/>
    <w:uiPriority w:val="99"/>
    <w:pPr>
      <w:ind w:firstLine="420" w:firstLineChars="200"/>
    </w:pPr>
  </w:style>
  <w:style w:type="character" w:customStyle="1" w:styleId="13">
    <w:name w:val="正文文本 Char"/>
    <w:basedOn w:val="8"/>
    <w:link w:val="3"/>
    <w:uiPriority w:val="99"/>
    <w:rPr>
      <w:rFonts w:ascii="宋体" w:hAnsi="宋体" w:cs="宋体"/>
      <w:kern w:val="2"/>
      <w:sz w:val="32"/>
      <w:szCs w:val="32"/>
    </w:rPr>
  </w:style>
  <w:style w:type="character" w:customStyle="1" w:styleId="14">
    <w:name w:val="正文首行缩进 Char"/>
    <w:basedOn w:val="13"/>
    <w:link w:val="6"/>
    <w:semiHidden/>
    <w:uiPriority w:val="99"/>
    <w:rPr>
      <w:rFonts w:ascii="宋体" w:hAnsi="宋体" w:eastAsia="方正仿宋_GBK" w:cs="宋体"/>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75F401-7C4D-49F0-8468-C36FEF6ACDC0}">
  <ds:schemaRefs/>
</ds:datastoreItem>
</file>

<file path=docProps/app.xml><?xml version="1.0" encoding="utf-8"?>
<Properties xmlns="http://schemas.openxmlformats.org/officeDocument/2006/extended-properties" xmlns:vt="http://schemas.openxmlformats.org/officeDocument/2006/docPropsVTypes">
  <Template>Normal</Template>
  <Pages>9</Pages>
  <Words>3666</Words>
  <Characters>3704</Characters>
  <Lines>32</Lines>
  <Paragraphs>9</Paragraphs>
  <TotalTime>147</TotalTime>
  <ScaleCrop>false</ScaleCrop>
  <LinksUpToDate>false</LinksUpToDate>
  <CharactersWithSpaces>4094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2022-05-06T04:43:00Z</dcterms:created>
  <dc:creator>Administrator</dc:creator>
  <cp:lastModifiedBy>刘国锋</cp:lastModifiedBy>
  <cp:lastPrinted>2021-11-17T08:54:00Z</cp:lastPrinted>
  <dcterms:modified xsi:type="dcterms:W3CDTF">2022-05-13T09:02:18Z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80304A67DB5E48D7B17A6F9DBC487582</vt:lpwstr>
  </property>
</Properties>
</file>