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uppressLineNumbers/>
        <w:adjustRightInd w:val="0"/>
        <w:snapToGrid w:val="0"/>
        <w:spacing w:before="0" w:after="0" w:line="500" w:lineRule="exact"/>
        <w:jc w:val="center"/>
        <w:rPr>
          <w:rFonts w:hint="eastAsia" w:ascii="方正小标宋简体" w:eastAsia="方正小标宋简体" w:hAnsiTheme="minorEastAsia"/>
          <w:bCs w:val="0"/>
          <w:kern w:val="2"/>
          <w:sz w:val="32"/>
          <w:szCs w:val="32"/>
        </w:rPr>
      </w:pPr>
      <w:r>
        <w:rPr>
          <w:rFonts w:hint="eastAsia" w:ascii="方正小标宋简体" w:eastAsia="方正小标宋简体" w:hAnsiTheme="minorEastAsia"/>
          <w:bCs w:val="0"/>
          <w:kern w:val="2"/>
          <w:sz w:val="32"/>
          <w:szCs w:val="32"/>
        </w:rPr>
        <w:t>常州市城市绿地建设规范</w:t>
      </w:r>
    </w:p>
    <w:p>
      <w:pPr>
        <w:jc w:val="center"/>
        <w:rPr>
          <w:rFonts w:hint="default" w:eastAsia="方正小标宋简体"/>
          <w:lang w:val="en-US" w:eastAsia="zh-CN"/>
        </w:rPr>
      </w:pPr>
      <w:r>
        <w:rPr>
          <w:rFonts w:hint="eastAsia" w:ascii="方正小标宋简体" w:eastAsia="方正小标宋简体" w:hAnsiTheme="minorEastAsia"/>
          <w:bCs w:val="0"/>
          <w:kern w:val="2"/>
          <w:sz w:val="32"/>
          <w:szCs w:val="32"/>
          <w:lang w:eastAsia="zh-CN"/>
        </w:rPr>
        <w:t>（</w:t>
      </w:r>
      <w:r>
        <w:rPr>
          <w:rFonts w:hint="eastAsia" w:ascii="方正小标宋简体" w:eastAsia="方正小标宋简体" w:hAnsiTheme="minorEastAsia"/>
          <w:bCs w:val="0"/>
          <w:kern w:val="2"/>
          <w:sz w:val="32"/>
          <w:szCs w:val="32"/>
          <w:lang w:val="en-US" w:eastAsia="zh-CN"/>
        </w:rPr>
        <w:t>征求意见稿）</w:t>
      </w:r>
      <w:bookmarkStart w:id="25" w:name="_GoBack"/>
      <w:bookmarkEnd w:id="25"/>
    </w:p>
    <w:p>
      <w:pPr>
        <w:pStyle w:val="2"/>
        <w:suppressLineNumbers/>
        <w:adjustRightInd w:val="0"/>
        <w:snapToGrid w:val="0"/>
        <w:spacing w:before="0" w:after="0" w:line="500" w:lineRule="exact"/>
        <w:jc w:val="center"/>
        <w:rPr>
          <w:rFonts w:ascii="方正小标宋简体" w:eastAsia="方正小标宋简体" w:hAnsiTheme="minorEastAsia"/>
          <w:bCs w:val="0"/>
          <w:kern w:val="2"/>
          <w:sz w:val="32"/>
          <w:szCs w:val="32"/>
        </w:rPr>
      </w:pPr>
    </w:p>
    <w:p>
      <w:pPr>
        <w:spacing w:line="400" w:lineRule="exact"/>
        <w:rPr>
          <w:rFonts w:ascii="仿宋_GB2312" w:eastAsia="仿宋_GB2312"/>
          <w:sz w:val="28"/>
          <w:szCs w:val="28"/>
        </w:rPr>
      </w:pPr>
      <w:r>
        <w:rPr>
          <w:rFonts w:hint="eastAsia" w:ascii="仿宋_GB2312" w:eastAsia="仿宋_GB2312"/>
          <w:sz w:val="28"/>
          <w:szCs w:val="28"/>
        </w:rPr>
        <w:t>目  录</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一、总体要求</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二、城市绿地设计</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三、通则</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四、竖向设计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五、安全防护措施</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六、建（构）筑物及园林小品设计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七、水资源</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八、电气</w:t>
      </w:r>
    </w:p>
    <w:p>
      <w:pPr>
        <w:suppressLineNumbers/>
        <w:adjustRightInd w:val="0"/>
        <w:snapToGrid w:val="0"/>
        <w:spacing w:line="400" w:lineRule="exact"/>
        <w:rPr>
          <w:rFonts w:ascii="仿宋_GB2312" w:eastAsia="仿宋_GB2312" w:hAnsiTheme="minorEastAsia"/>
          <w:bCs/>
          <w:sz w:val="28"/>
          <w:szCs w:val="28"/>
        </w:rPr>
      </w:pPr>
      <w:r>
        <w:rPr>
          <w:rFonts w:hint="eastAsia" w:ascii="仿宋_GB2312" w:eastAsia="仿宋_GB2312" w:hAnsiTheme="minorEastAsia"/>
          <w:bCs/>
          <w:sz w:val="28"/>
          <w:szCs w:val="28"/>
        </w:rPr>
        <w:t>九、种植设计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十、公园绿地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十一、防护绿地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十二、居住区和单位附属绿地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十三、道路附属绿地</w:t>
      </w:r>
    </w:p>
    <w:p>
      <w:pPr>
        <w:pStyle w:val="4"/>
        <w:suppressLineNumbers/>
        <w:adjustRightInd w:val="0"/>
        <w:snapToGrid w:val="0"/>
        <w:spacing w:before="0" w:after="0" w:line="400" w:lineRule="exact"/>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十四、林荫停车场</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十五、立体绿化（屋顶绿化、垂直绿化）</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十六、施工及验收规定</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十七、质保期内的管理与养护</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十八、</w:t>
      </w:r>
      <w:r>
        <w:rPr>
          <w:rFonts w:hint="eastAsia" w:ascii="仿宋_GB2312" w:eastAsia="仿宋_GB2312" w:hAnsiTheme="minorEastAsia"/>
          <w:sz w:val="28"/>
          <w:szCs w:val="28"/>
        </w:rPr>
        <w:t>本规范用词说明</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附表2.1设计各阶段所需图纸</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附表2.2绿化方案经济技术指标表</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附表2.3施工图植物种类数、大树数量及比例</w:t>
      </w:r>
    </w:p>
    <w:p>
      <w:pPr>
        <w:pStyle w:val="2"/>
        <w:suppressLineNumbers/>
        <w:adjustRightInd w:val="0"/>
        <w:snapToGrid w:val="0"/>
        <w:spacing w:before="0" w:after="0" w:line="500" w:lineRule="exact"/>
        <w:jc w:val="center"/>
        <w:rPr>
          <w:rFonts w:ascii="方正小标宋简体" w:eastAsia="方正小标宋简体" w:hAnsiTheme="minorEastAsia"/>
          <w:bCs w:val="0"/>
          <w:kern w:val="2"/>
          <w:sz w:val="32"/>
          <w:szCs w:val="32"/>
        </w:rPr>
      </w:pPr>
    </w:p>
    <w:p/>
    <w:p/>
    <w:p/>
    <w:p/>
    <w:p/>
    <w:p/>
    <w:p>
      <w:pPr>
        <w:pStyle w:val="2"/>
        <w:suppressLineNumbers/>
        <w:adjustRightInd w:val="0"/>
        <w:snapToGrid w:val="0"/>
        <w:spacing w:before="0" w:after="0" w:line="500" w:lineRule="exact"/>
        <w:jc w:val="center"/>
        <w:rPr>
          <w:rFonts w:ascii="方正小标宋简体" w:eastAsia="方正小标宋简体" w:hAnsiTheme="minorEastAsia"/>
          <w:bCs w:val="0"/>
          <w:kern w:val="2"/>
          <w:sz w:val="32"/>
          <w:szCs w:val="32"/>
        </w:rPr>
      </w:pPr>
      <w:r>
        <w:rPr>
          <w:rFonts w:hint="eastAsia" w:ascii="方正小标宋简体" w:eastAsia="方正小标宋简体" w:hAnsiTheme="minorEastAsia"/>
          <w:bCs w:val="0"/>
          <w:kern w:val="2"/>
          <w:sz w:val="32"/>
          <w:szCs w:val="32"/>
        </w:rPr>
        <w:t>常州市城市绿地建设规范</w:t>
      </w:r>
    </w:p>
    <w:p>
      <w:pPr>
        <w:suppressLineNumbers/>
        <w:adjustRightInd w:val="0"/>
        <w:snapToGrid w:val="0"/>
        <w:spacing w:line="500" w:lineRule="exact"/>
        <w:ind w:firstLine="560" w:firstLineChars="200"/>
        <w:rPr>
          <w:rFonts w:ascii="仿宋_GB2312" w:eastAsia="仿宋_GB2312" w:hAnsiTheme="minorEastAsia"/>
          <w:sz w:val="28"/>
          <w:szCs w:val="28"/>
        </w:rPr>
      </w:pP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为加强常州市城市绿地建设管理，营造宜居生态环境，提高景观水平，结合本市实际情况，制定本规范。</w:t>
      </w:r>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一、总体要求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1.1城市绿地建设应坚持“尊重自然、生态优先、以人为本、可持续发展、经济合理”，以植物造景为主，创造良好生态和景观效果，促进人民身心健康和社会和谐发展。</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1.2城市绿地建设应以批准的城市绿地系统规划等上位规划为依据，明确绿地的范围和性质，根据其定性、定量、定位做出总体设计、建设。</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1.3城市绿地总体设计应符合绿地功能要求，</w:t>
      </w:r>
      <w:r>
        <w:rPr>
          <w:rFonts w:ascii="仿宋_GB2312" w:eastAsia="仿宋_GB2312" w:hAnsiTheme="minorEastAsia"/>
          <w:sz w:val="28"/>
          <w:szCs w:val="28"/>
        </w:rPr>
        <w:t>注重</w:t>
      </w:r>
      <w:r>
        <w:rPr>
          <w:rFonts w:hint="eastAsia" w:ascii="仿宋_GB2312" w:eastAsia="仿宋_GB2312" w:hAnsiTheme="minorEastAsia"/>
          <w:sz w:val="28"/>
          <w:szCs w:val="28"/>
        </w:rPr>
        <w:t>常州</w:t>
      </w:r>
      <w:r>
        <w:rPr>
          <w:rFonts w:ascii="仿宋_GB2312" w:eastAsia="仿宋_GB2312" w:hAnsiTheme="minorEastAsia"/>
          <w:sz w:val="28"/>
          <w:szCs w:val="28"/>
        </w:rPr>
        <w:t>特有地域环境、文化特色、建筑风格等“基因”的延续与激活，将城市各种历史文化、景观环境、当代建设的特色资源“找出来、亮出来”，增强</w:t>
      </w:r>
      <w:r>
        <w:rPr>
          <w:rFonts w:hint="eastAsia" w:ascii="仿宋_GB2312" w:eastAsia="仿宋_GB2312" w:hAnsiTheme="minorEastAsia"/>
          <w:sz w:val="28"/>
          <w:szCs w:val="28"/>
        </w:rPr>
        <w:t>绿地</w:t>
      </w:r>
      <w:r>
        <w:rPr>
          <w:rFonts w:ascii="仿宋_GB2312" w:eastAsia="仿宋_GB2312" w:hAnsiTheme="minorEastAsia"/>
          <w:sz w:val="28"/>
          <w:szCs w:val="28"/>
        </w:rPr>
        <w:t>的时代功能和可体验性、可参与性，围绕百姓多元化的需求，塑造多样的生活场景</w:t>
      </w:r>
      <w:r>
        <w:rPr>
          <w:rFonts w:hint="eastAsia" w:ascii="仿宋_GB2312" w:eastAsia="仿宋_GB2312" w:hAnsiTheme="minorEastAsia"/>
          <w:sz w:val="28"/>
          <w:szCs w:val="28"/>
        </w:rPr>
        <w:t>。</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1.4城市绿地建设除应执行本规范外，尚应符合国家、省市及行业相关标准的规定。</w:t>
      </w:r>
      <w:bookmarkStart w:id="0" w:name="_Toc93995890"/>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二、城市绿地设计</w:t>
      </w:r>
      <w:bookmarkEnd w:id="0"/>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2.1城市绿地的设计、建设和管理应按照有关法律法规对资质管理及方案审查、验收备案等的相关规定执行。</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2.2设计各阶段所需图纸</w:t>
      </w:r>
      <w:r>
        <w:rPr>
          <w:rFonts w:hint="eastAsia" w:ascii="仿宋_GB2312" w:eastAsia="仿宋_GB2312" w:hAnsiTheme="minorEastAsia"/>
          <w:bCs/>
          <w:sz w:val="28"/>
          <w:szCs w:val="28"/>
        </w:rPr>
        <w:t>应符合附表2.</w:t>
      </w:r>
      <w:r>
        <w:rPr>
          <w:rFonts w:hint="eastAsia" w:ascii="仿宋_GB2312" w:eastAsia="仿宋_GB2312" w:hAnsiTheme="minorEastAsia"/>
          <w:sz w:val="28"/>
          <w:szCs w:val="28"/>
        </w:rPr>
        <w:t>1的规定。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2.3绿化方案</w:t>
      </w:r>
      <w:r>
        <w:rPr>
          <w:rFonts w:hint="eastAsia" w:ascii="仿宋_GB2312" w:eastAsia="仿宋_GB2312" w:hAnsiTheme="minorEastAsia"/>
          <w:bCs/>
          <w:sz w:val="28"/>
          <w:szCs w:val="28"/>
        </w:rPr>
        <w:t>应</w:t>
      </w:r>
      <w:r>
        <w:rPr>
          <w:rFonts w:hint="eastAsia" w:ascii="仿宋_GB2312" w:eastAsia="仿宋_GB2312" w:hAnsiTheme="minorEastAsia"/>
          <w:sz w:val="28"/>
          <w:szCs w:val="28"/>
        </w:rPr>
        <w:t>明确列出绿地面积（总面积、可种植绿地、屋顶绿化、水面、建筑铺装占地等分类面积及比例）、绿地边界长度，</w:t>
      </w:r>
      <w:r>
        <w:rPr>
          <w:rFonts w:hint="eastAsia" w:ascii="仿宋_GB2312" w:eastAsia="仿宋_GB2312" w:hAnsiTheme="minorEastAsia"/>
          <w:bCs/>
          <w:sz w:val="28"/>
          <w:szCs w:val="28"/>
        </w:rPr>
        <w:t>格式应符合</w:t>
      </w:r>
      <w:r>
        <w:rPr>
          <w:rFonts w:hint="eastAsia" w:ascii="仿宋_GB2312" w:eastAsia="仿宋_GB2312" w:hAnsiTheme="minorEastAsia"/>
          <w:sz w:val="28"/>
          <w:szCs w:val="28"/>
        </w:rPr>
        <w:t>附表2.2的规定。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2.4绿化设计应明确列出植物种类数、大树数量及比例等指标，</w:t>
      </w:r>
      <w:r>
        <w:rPr>
          <w:rFonts w:hint="eastAsia" w:ascii="仿宋_GB2312" w:eastAsia="仿宋_GB2312" w:hAnsiTheme="minorEastAsia"/>
          <w:bCs/>
          <w:sz w:val="28"/>
          <w:szCs w:val="28"/>
        </w:rPr>
        <w:t>格式应符合附表</w:t>
      </w:r>
      <w:r>
        <w:rPr>
          <w:rFonts w:hint="eastAsia" w:ascii="仿宋_GB2312" w:eastAsia="仿宋_GB2312" w:hAnsiTheme="minorEastAsia"/>
          <w:sz w:val="28"/>
          <w:szCs w:val="28"/>
        </w:rPr>
        <w:t>2.3的规定。</w:t>
      </w:r>
      <w:bookmarkStart w:id="1" w:name="_Toc93995893"/>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2.5绿化设计应明确现状土壤条件和适生植物土壤改良质量指标，应符合《绿化种植土壤》CJ/T 340-2016的规定。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2.6绿化设计应明确绿地等级和竣工质保（管养）期养护标准，应符合常州市城市绿化养护管理质量标准、常州市城市长效综合管理等相关标准要求和规定。</w:t>
      </w:r>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三、通则</w:t>
      </w:r>
      <w:bookmarkEnd w:id="1"/>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 xml:space="preserve">3.1城市绿地范围内有纪念意义、生态价值、文化价值或景观价值的风景资源、有文物价值的建筑物、构筑物、遗址绿地，应加以保护并结合利用到城市绿地内的景观之中。 </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3.2在城市绿地改造提升过程中，不大拆大建，不挖山填湖，不随意改变或侵占河湖水系。</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sz w:val="28"/>
          <w:szCs w:val="28"/>
        </w:rPr>
        <w:t>3.3不随意改建具有历史价值的、有纪念意义的公园（景点），不随意更改公园（重要景点）的名称。古树名木和古树后备资源应予以严格保护。不随意伐移承载乡土记忆的现有树木。</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3.4对城市绿地范围内的现状地形、水体、建筑物、构筑物、植物、地上或地下管线和工程设施等，应进行调查，作出评价并提出处理意见。</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3.5城市绿地内道路设计应按游览、观景、交通、集散等需求，与山水、树木、建筑、构筑物及相关设施相结合，设置主路、次路、支路、小路和广场，形成完整的道路系统。</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3.6城市绿地出入口的选址应符合城市规划，应与城市交通和人流走向、流量相适应。出入口、主园路、游憩和服务建筑的通行应满足无障碍要求。</w:t>
      </w:r>
    </w:p>
    <w:p>
      <w:pPr>
        <w:spacing w:line="500" w:lineRule="exact"/>
        <w:ind w:firstLine="560" w:firstLineChars="200"/>
        <w:rPr>
          <w:rFonts w:ascii="仿宋_GB2312" w:eastAsia="仿宋_GB2312"/>
          <w:sz w:val="28"/>
          <w:szCs w:val="28"/>
        </w:rPr>
      </w:pPr>
      <w:r>
        <w:rPr>
          <w:rFonts w:hint="eastAsia" w:ascii="仿宋_GB2312" w:eastAsia="仿宋_GB2312" w:hAnsiTheme="minorEastAsia"/>
          <w:sz w:val="28"/>
          <w:szCs w:val="28"/>
        </w:rPr>
        <w:t>3.7城市绿地内停车场的出入口应有良好的视野，且不应占用出入口内外游人集散广场并满足所停车辆类型的转弯半径要求。</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3.8应按公园绿地规模大小和管理需要配套建设适宜的管理、服务、游憩建筑，具体比例可按《公园设计规范》执行。</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3.9防灾避险功能绿地应安全可达，便于快捷疏散。</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3.10健身场地、游戏场等应与住宅建筑保持必要距离。游憩设施场地的布置应符合下列规定：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1）不同功能、不同人群使用的游憩设施场地应分别设置；</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2）游人大量集中的场地应与主园路顺畅连接，并便于集散；</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3）安静休息区与喧闹区之间应利用地形或植物进行隔离；</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4）儿童游戏场与游人密集区、主园路及城市干道之间，宜用植物或地形等构成隔离地带。</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5）在保证绿地率不低于相应规范的前提下，体育健身场地应复合使用，应充分利用城市绿地内的广场和开放区域进行健身活动。</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6）儿童游戏场地宜采用软质地坪。如设置沙坑，沙坑周边应设防沙粒散失、滤沙和冲洗的设施。</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3.11城市绿地应积极选用环保材料，采取节能措施，充分利用太阳能、雨水等绿色资源。</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3.12城市绿地内的主路和活动场地的铺装应平整、满足荷载、防滑、易清洗等使用功能和耐久性要求。主路和主要场地铺装的磨光材料宽度不超过15cm。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3.13当城市绿地中绿化面积超过2公顷时，应设置绿化植物废弃物收集转运点。</w:t>
      </w:r>
    </w:p>
    <w:p>
      <w:pPr>
        <w:suppressLineNumbers/>
        <w:adjustRightInd w:val="0"/>
        <w:snapToGrid w:val="0"/>
        <w:spacing w:line="500" w:lineRule="exact"/>
        <w:ind w:firstLine="560" w:firstLineChars="200"/>
        <w:jc w:val="left"/>
        <w:rPr>
          <w:rFonts w:ascii="仿宋_GB2312" w:eastAsia="仿宋_GB2312" w:hAnsiTheme="minorEastAsia"/>
          <w:sz w:val="28"/>
          <w:szCs w:val="28"/>
          <w:highlight w:val="yellow"/>
        </w:rPr>
      </w:pPr>
      <w:r>
        <w:rPr>
          <w:rFonts w:hint="eastAsia" w:ascii="仿宋_GB2312" w:eastAsia="仿宋_GB2312" w:hAnsiTheme="minorEastAsia"/>
          <w:sz w:val="28"/>
          <w:szCs w:val="28"/>
          <w:highlight w:val="yellow"/>
        </w:rPr>
        <w:t>3.14车站、码头、机场的集散广场中集中成片绿地不应小于广场总面积的10%。</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3.15通行游船的桥梁桥底与常水位之间净空高度应满足游船通行的高度且大于1.50m。</w:t>
      </w:r>
    </w:p>
    <w:p>
      <w:pPr>
        <w:suppressLineNumbers/>
        <w:adjustRightInd w:val="0"/>
        <w:snapToGrid w:val="0"/>
        <w:spacing w:line="500" w:lineRule="exact"/>
        <w:ind w:firstLine="562" w:firstLineChars="200"/>
        <w:rPr>
          <w:rFonts w:ascii="仿宋_GB2312" w:eastAsia="仿宋_GB2312" w:hAnsiTheme="minorEastAsia"/>
          <w:b/>
          <w:sz w:val="28"/>
          <w:szCs w:val="28"/>
        </w:rPr>
      </w:pPr>
      <w:bookmarkStart w:id="2" w:name="_Toc93995894"/>
      <w:r>
        <w:rPr>
          <w:rFonts w:hint="eastAsia" w:ascii="仿宋_GB2312" w:eastAsia="仿宋_GB2312" w:hAnsiTheme="minorEastAsia"/>
          <w:b/>
          <w:sz w:val="28"/>
          <w:szCs w:val="28"/>
        </w:rPr>
        <w:t>四、竖向设计</w:t>
      </w:r>
      <w:bookmarkEnd w:id="2"/>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4.1城市绿地内山坡、谷地等地形必须保持稳定。土山堆置应按照自然安息角设置自然坡度，当坡度超过土壤的自然安息角时，应采用护坡、挡墙、固土或防冲刷等工程措施，防止水土流失或滑坡。</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4.2城市绿地的水岸坡比不宜大于1:3，水位变化大的水岸，宜设生态护坡或驳岸。</w:t>
      </w:r>
      <w:bookmarkStart w:id="3" w:name="_Toc93995895"/>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五、安全防护措施</w:t>
      </w:r>
      <w:bookmarkEnd w:id="3"/>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5.1当保留城市绿地范围内原有自然岩壁、陡峭边坡，并在其附近设置园路、游憩场地、建筑等游人聚集的场所时，应对岩壁、边坡做地质灾害评估，并应根据评估结果采取安全防护或避让措施。</w:t>
      </w:r>
    </w:p>
    <w:p>
      <w:pPr>
        <w:suppressLineNumbers/>
        <w:adjustRightInd w:val="0"/>
        <w:snapToGrid w:val="0"/>
        <w:spacing w:line="500" w:lineRule="exact"/>
        <w:ind w:firstLine="560" w:firstLineChars="200"/>
        <w:rPr>
          <w:rFonts w:ascii="仿宋_GB2312" w:eastAsia="仿宋_GB2312" w:hAnsiTheme="minorEastAsia"/>
          <w:b/>
          <w:bCs/>
          <w:sz w:val="28"/>
          <w:szCs w:val="28"/>
        </w:rPr>
      </w:pPr>
      <w:r>
        <w:rPr>
          <w:rFonts w:hint="eastAsia" w:ascii="仿宋_GB2312" w:eastAsia="仿宋_GB2312" w:hAnsiTheme="minorEastAsia"/>
          <w:sz w:val="28"/>
          <w:szCs w:val="28"/>
        </w:rPr>
        <w:t>5.2城市绿地应设置标识、标志、安全监控和信息发布等设施，并应符合下列规定：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1）公园主要出入口应设置绿线标志、位置标志、无障碍标志、应急标志、安全监控和信息发布等设施；</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2）公园主园路、绿道道路交叉口应设置导向标识；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3）公园主要景点、服务中心、厕所和各类公共设施周边，应设置位置标志、无障碍标志和应急标志；</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4）可能对人身安全造成影响的区域应设置警示标志及安全监控等设施。</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5.3水体岸边设有活动场地的区域，应在下列条件下设置不低于1.05m的防护栏杆：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1）近岸2.00m范围内常水位水深大于（含）0.70m的人工驳岸；</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2）驳岸顶与常水位的垂直距离大于（含）0.50m的驳岸；</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3）天然淤泥底水体的驳岸。</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5.4活动场所的防护栏杆必须采用防止幼儿攀登和穿过的构造，当采用垂直杆件做栏杆时，其杆件净距离不应大于9cm。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5.5穿越地形险要区域和水域的园路、绿道应设置防护护栏或安全防护绿带及警示标识；安全防护绿带宽度应大于1.5m。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5.6动物园内游人隔离带最小宽度应大于成人与展示动物最长肢体之和的长度，最小隔离宽度应大于1.5m。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5.7居住用地内水景、亲水平台、假山、雕塑等应设置防护设施及警示标志。</w:t>
      </w:r>
    </w:p>
    <w:p>
      <w:pPr>
        <w:suppressLineNumbers/>
        <w:adjustRightInd w:val="0"/>
        <w:snapToGrid w:val="0"/>
        <w:spacing w:line="500" w:lineRule="exact"/>
        <w:ind w:firstLine="562" w:firstLineChars="200"/>
        <w:rPr>
          <w:rFonts w:ascii="仿宋_GB2312" w:eastAsia="仿宋_GB2312" w:hAnsiTheme="minorEastAsia"/>
          <w:b/>
          <w:sz w:val="28"/>
          <w:szCs w:val="28"/>
        </w:rPr>
      </w:pPr>
      <w:bookmarkStart w:id="4" w:name="_Toc93995896"/>
      <w:r>
        <w:rPr>
          <w:rFonts w:hint="eastAsia" w:ascii="仿宋_GB2312" w:eastAsia="仿宋_GB2312" w:hAnsiTheme="minorEastAsia"/>
          <w:b/>
          <w:sz w:val="28"/>
          <w:szCs w:val="28"/>
        </w:rPr>
        <w:t>六、建（构）筑物及园林小品设计</w:t>
      </w:r>
      <w:bookmarkEnd w:id="4"/>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6.1公园绿地内园林建（构）筑物设计应运用新理念、新技术、新材料、新能源，利用当地的社会和自然条件，创造富有鲜明地方特点的园林建筑、园林小品。并符合下列规定：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1）游客服务中心或主要服务用房内应设母婴室；</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2）应建设避雨设施，廊架宜有避雨功能。</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6.2承担蓄滞洪功能并与水体相邻用地的园林绿化工程项目，不应在行洪通道内设置妨碍行洪的建（构）筑物和设施。</w:t>
      </w:r>
      <w:bookmarkStart w:id="5" w:name="_Toc73966572"/>
      <w:bookmarkEnd w:id="5"/>
      <w:bookmarkStart w:id="6" w:name="_Toc73967660"/>
      <w:bookmarkEnd w:id="6"/>
      <w:bookmarkStart w:id="7" w:name="_Toc73967659"/>
      <w:bookmarkEnd w:id="7"/>
      <w:bookmarkStart w:id="8" w:name="_Toc73967019"/>
      <w:bookmarkEnd w:id="8"/>
      <w:bookmarkStart w:id="9" w:name="_Toc73966573"/>
      <w:bookmarkEnd w:id="9"/>
      <w:bookmarkStart w:id="10" w:name="_Toc73967018"/>
      <w:bookmarkEnd w:id="10"/>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6.3游人使用的厕所应符合下列规定：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1）公园应设无障碍厕所且不宜低于AA级旅游公厕标准;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2）面积大于或等于10公顷的公园，应按游人容量的2％设置厕所厕位(包括小便斗位数)，小于10公顷者按游人容量的1.5％设置；男女厕位比例宜为1：1.5；</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3）在儿童游戏场附近，应设置方便儿童使用的厕位和洗手位；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4）各厕所内的厕位数应与公园内的游人分布密度相适应；</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5）厕所周边宜预留场地，以便节假日设置临时厕所;</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6.4城市绿地内室外活动场地的面层应选择低饱和度的颜色。</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6.5儿童活动区范围内禁止设计会造成伤害的小品及构筑物。</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6.6休息座椅的设置应符合以下规定：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1）座椅应按游人流量、观景、避风向阳、庇荫、遮雨等因素合理设置，其数量可根据绿地陆地面积调整，宜为每公顷20～50个；</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2）休息座椅旁应设置轮椅停留位置，其数量不应小于休息座椅的10％;</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3）主要活动或休息场地附近可适当加密。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6.7垃圾箱设置应符合下列规定：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1）垃圾箱的设置应与游人分布密度相适应，并应设计在人流集中场地的边缘、主要人行道路边缘及公用休息座椅附近；</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2）公园陆地面积小于100公顷时，垃圾箱设置间隔距离宜在50m～100m之间；公园陆地面积大于100公顷时，垃圾箱设置间隔距离宜在100m～200m之间；</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3）垃圾箱宜采用有明确标识的分类垃圾箱;</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4）主要活动或休息场地附近可适当加密。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6.8人工堆叠假山的结构强度应满足抗风和抗震强度要求。</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11" w:name="_Toc93995897"/>
      <w:r>
        <w:rPr>
          <w:rFonts w:hint="eastAsia" w:ascii="仿宋_GB2312" w:eastAsia="仿宋_GB2312" w:hAnsiTheme="minorEastAsia"/>
          <w:b/>
          <w:bCs w:val="0"/>
          <w:kern w:val="2"/>
          <w:sz w:val="28"/>
          <w:szCs w:val="28"/>
        </w:rPr>
        <w:t>七、水资源</w:t>
      </w:r>
      <w:bookmarkEnd w:id="11"/>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7.1未经净化处理的车行道初期径流雨水不得直接排入道路绿带。未经处理或处理未达标的污水和生产废水不得排入江河湖或景观水体。在污染区及其邻近地区不得设置水体。</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7.2人体非全身性接触的娱乐性景观用水水质应达到地表水Ⅲ类标准。人体非直接接触的观赏性景观用水水质应达到地表水Ⅳ类标准。与游人接触的喷泉水不得使用再生水，且必须采用过滤、循环、净化、充氧等技术措施，保持水质洁净，不得对人身健康产生不良影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7.3用于植物灌溉的管线及设施应设置防止误饮和误接的明显标识。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7.4城市绿地应根据需要配备灌溉设施，根据绿地实际情况采用微喷、滴灌、渗灌和其他节水灌溉技术。</w:t>
      </w:r>
      <w:r>
        <w:rPr>
          <w:rFonts w:ascii="仿宋_GB2312" w:eastAsia="仿宋_GB2312" w:hAnsiTheme="minorEastAsia"/>
          <w:sz w:val="28"/>
          <w:szCs w:val="28"/>
        </w:rPr>
        <w:t xml:space="preserve"> </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7.5城市绿地应落实海绵城市建设理念。不应抽取地下水作为湿地水源，鼓励使用再生水。</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12" w:name="_Toc93995898"/>
      <w:r>
        <w:rPr>
          <w:rFonts w:hint="eastAsia" w:ascii="仿宋_GB2312" w:eastAsia="仿宋_GB2312" w:hAnsiTheme="minorEastAsia"/>
          <w:b/>
          <w:bCs w:val="0"/>
          <w:kern w:val="2"/>
          <w:sz w:val="28"/>
          <w:szCs w:val="28"/>
        </w:rPr>
        <w:t>八、电气</w:t>
      </w:r>
      <w:bookmarkEnd w:id="12"/>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8.1城市绿地照明应以功能照明为主，景观照明及灯光造景应考虑生态、环保和节能要求，应避免光污染影响。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8.2城市绿地用电应为三级负荷，绿地中游人较多的交通广场的用电应为二级负荷；低压配电宜采用放射式和树干式相结合的系统，供电半径不宜超过300m。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8.3城市绿地室外照明配电系统在进线电源处应安装具有检修隔离功能的四级开关。</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8.4城市绿地中的电气设备及照明灯具不应使用0类防触电保护产品。</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8.5安装在水池内、旱喷泉内的水下灯具必须采用防触电等级为Ⅲ类，防护等级为IPX8的加压水密型灯具，电压不得超过12V。</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8.6旱喷泉内禁止直接使用电压超过安全电压的潜水泵。</w:t>
      </w:r>
      <w:bookmarkStart w:id="13" w:name="_Toc93995899"/>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九、种植设计</w:t>
      </w:r>
      <w:bookmarkEnd w:id="13"/>
      <w:bookmarkStart w:id="14" w:name="_Toc93995900"/>
    </w:p>
    <w:bookmarkEnd w:id="14"/>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9.1植物选择应适地适树，应优先选用乡土植物和引种驯化后在当地适生的植物。不应选择国家列入外来有害的植物品种。</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9.2各类城市绿地内绿色植物种植面积占用地总面积(陆地)比例，应符合现行相关的国家标准。</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9.3乔灌木在城市绿地中的种植面积比例一般宜达到70%，非林下草坪、地被植物面积不宜超过30%。常绿乔木与落叶乔木的数量比例不宜大于1:4。</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9.4绿化种植应统筹安排</w:t>
      </w:r>
      <w:r>
        <w:rPr>
          <w:rFonts w:ascii="仿宋_GB2312" w:eastAsia="仿宋_GB2312" w:hAnsiTheme="minorEastAsia"/>
          <w:bCs/>
          <w:sz w:val="28"/>
          <w:szCs w:val="28"/>
        </w:rPr>
        <w:t>好</w:t>
      </w:r>
      <w:r>
        <w:rPr>
          <w:rFonts w:hint="eastAsia" w:ascii="仿宋_GB2312" w:eastAsia="仿宋_GB2312" w:hAnsiTheme="minorEastAsia"/>
          <w:bCs/>
          <w:sz w:val="28"/>
          <w:szCs w:val="28"/>
        </w:rPr>
        <w:t>与建构筑物、道路</w:t>
      </w:r>
      <w:r>
        <w:rPr>
          <w:rFonts w:ascii="仿宋_GB2312" w:eastAsia="仿宋_GB2312" w:hAnsiTheme="minorEastAsia"/>
          <w:bCs/>
          <w:sz w:val="28"/>
          <w:szCs w:val="28"/>
        </w:rPr>
        <w:t>照明、交通设施、地上杆线、地下管线</w:t>
      </w:r>
      <w:r>
        <w:rPr>
          <w:rFonts w:hint="eastAsia" w:ascii="仿宋_GB2312" w:eastAsia="仿宋_GB2312" w:hAnsiTheme="minorEastAsia"/>
          <w:bCs/>
          <w:sz w:val="28"/>
          <w:szCs w:val="28"/>
        </w:rPr>
        <w:t>管廊</w:t>
      </w:r>
      <w:r>
        <w:rPr>
          <w:rFonts w:ascii="仿宋_GB2312" w:eastAsia="仿宋_GB2312" w:hAnsiTheme="minorEastAsia"/>
          <w:bCs/>
          <w:sz w:val="28"/>
          <w:szCs w:val="28"/>
        </w:rPr>
        <w:t>、</w:t>
      </w:r>
      <w:r>
        <w:rPr>
          <w:rFonts w:hint="eastAsia" w:ascii="仿宋_GB2312" w:eastAsia="仿宋_GB2312" w:hAnsiTheme="minorEastAsia"/>
          <w:bCs/>
          <w:sz w:val="28"/>
          <w:szCs w:val="28"/>
        </w:rPr>
        <w:t>安防监控</w:t>
      </w:r>
      <w:r>
        <w:rPr>
          <w:rFonts w:ascii="仿宋_GB2312" w:eastAsia="仿宋_GB2312" w:hAnsiTheme="minorEastAsia"/>
          <w:bCs/>
          <w:sz w:val="28"/>
          <w:szCs w:val="28"/>
        </w:rPr>
        <w:t>等</w:t>
      </w:r>
      <w:r>
        <w:rPr>
          <w:rFonts w:hint="eastAsia" w:ascii="仿宋_GB2312" w:eastAsia="仿宋_GB2312" w:hAnsiTheme="minorEastAsia"/>
          <w:bCs/>
          <w:sz w:val="28"/>
          <w:szCs w:val="28"/>
        </w:rPr>
        <w:t>设施的关系</w:t>
      </w:r>
      <w:r>
        <w:rPr>
          <w:rFonts w:ascii="仿宋_GB2312" w:eastAsia="仿宋_GB2312" w:hAnsiTheme="minorEastAsia"/>
          <w:bCs/>
          <w:sz w:val="28"/>
          <w:szCs w:val="28"/>
        </w:rPr>
        <w:t>，</w:t>
      </w:r>
      <w:r>
        <w:rPr>
          <w:rFonts w:hint="eastAsia" w:ascii="仿宋_GB2312" w:eastAsia="仿宋_GB2312" w:hAnsiTheme="minorEastAsia"/>
          <w:bCs/>
          <w:sz w:val="28"/>
          <w:szCs w:val="28"/>
        </w:rPr>
        <w:t>保证树木必需的立地条件与生长空间。</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9.5古树名木保护范围不应低于树冠垂直投影外5m的区域。地形塑造填挖土方范围应避让古树名木的保护范围，并应保证树木根系具有良好的排水条件。除树木保护及加固设施外，不应设置建筑物、构筑物及架（埋）设各种过境管线，不应配置缠绕古树名木的藤本植物。</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9.6建设节约型园林，新建绿地宜选用城市绿地中疏减的树木，需新购苗木宜选用质优大苗。</w:t>
      </w:r>
    </w:p>
    <w:p>
      <w:pPr>
        <w:suppressLineNumbers/>
        <w:adjustRightInd w:val="0"/>
        <w:snapToGrid w:val="0"/>
        <w:spacing w:line="500" w:lineRule="exact"/>
        <w:ind w:firstLine="560" w:firstLineChars="200"/>
        <w:rPr>
          <w:rFonts w:ascii="仿宋_GB2312" w:eastAsia="仿宋_GB2312" w:hAnsiTheme="minorEastAsia"/>
          <w:bCs/>
          <w:sz w:val="28"/>
          <w:szCs w:val="28"/>
          <w:highlight w:val="yellow"/>
        </w:rPr>
      </w:pPr>
      <w:r>
        <w:rPr>
          <w:rFonts w:hint="eastAsia" w:ascii="仿宋_GB2312" w:eastAsia="仿宋_GB2312" w:hAnsiTheme="minorEastAsia"/>
          <w:bCs/>
          <w:sz w:val="28"/>
          <w:szCs w:val="28"/>
          <w:highlight w:val="yellow"/>
        </w:rPr>
        <w:t>9.7城市绿地内公共活动广场周边宜种植高大乔木。集中成片绿地不宜小于广场总面积的25％，并宜设计成开放式绿地，植物配置宜疏朗通透。</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9.8城市绿地内硬质场地上的种植池和行道树种植池净宽应不小于1.5m。</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9.9健身场地、儿童活动场地内和周边环境不应配置有毒、有刺、有刺激性气味等易对儿童造成伤害的植物。</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9.10除功能需求外，城市绿地不应大规模种植模纹、色块、球型等修剪灌木及单一草坪。</w:t>
      </w:r>
    </w:p>
    <w:p>
      <w:pPr>
        <w:suppressLineNumbers/>
        <w:adjustRightInd w:val="0"/>
        <w:snapToGrid w:val="0"/>
        <w:spacing w:line="500" w:lineRule="exact"/>
        <w:ind w:firstLine="560" w:firstLineChars="200"/>
        <w:rPr>
          <w:rFonts w:ascii="仿宋_GB2312" w:eastAsia="仿宋_GB2312" w:hAnsiTheme="minorEastAsia"/>
          <w:b/>
          <w:bCs/>
          <w:sz w:val="28"/>
          <w:szCs w:val="28"/>
        </w:rPr>
      </w:pPr>
      <w:r>
        <w:rPr>
          <w:rFonts w:hint="eastAsia" w:ascii="仿宋_GB2312" w:eastAsia="仿宋_GB2312" w:hAnsiTheme="minorEastAsia"/>
          <w:sz w:val="28"/>
          <w:szCs w:val="28"/>
        </w:rPr>
        <w:t>9.11开山筑路而形成的裸露坡面，可喷播草籽或设置攀缘绿化或拱形护坡等其他坡面绿化形式。</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9.12乔木与建（构）筑物的最小水平距离应符合表9.1的规定：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表9.1</w:t>
      </w:r>
      <w:r>
        <w:rPr>
          <w:rFonts w:hint="eastAsia" w:ascii="仿宋_GB2312" w:eastAsia="仿宋_GB2312" w:hAnsiTheme="minorEastAsia"/>
          <w:sz w:val="28"/>
          <w:szCs w:val="28"/>
        </w:rPr>
        <w:tab/>
      </w:r>
      <w:r>
        <w:rPr>
          <w:rFonts w:hint="eastAsia" w:ascii="仿宋_GB2312" w:eastAsia="仿宋_GB2312" w:hAnsiTheme="minorEastAsia"/>
          <w:sz w:val="28"/>
          <w:szCs w:val="28"/>
        </w:rPr>
        <w:t>乔木与建（构）筑物的最小水平距离</w:t>
      </w:r>
    </w:p>
    <w:tbl>
      <w:tblPr>
        <w:tblStyle w:val="23"/>
        <w:tblW w:w="8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3"/>
        <w:gridCol w:w="1417"/>
        <w:gridCol w:w="1134"/>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tcBorders>
              <w:tl2br w:val="single" w:color="auto" w:sz="4" w:space="0"/>
            </w:tcBorders>
            <w:vAlign w:val="center"/>
          </w:tcPr>
          <w:p>
            <w:pPr>
              <w:pStyle w:val="21"/>
              <w:suppressLineNumbers/>
              <w:adjustRightInd w:val="0"/>
              <w:snapToGrid w:val="0"/>
              <w:spacing w:before="0" w:beforeAutospacing="0" w:after="0" w:afterAutospacing="0" w:line="0" w:lineRule="atLeast"/>
              <w:ind w:firstLine="2760" w:firstLineChars="1150"/>
              <w:rPr>
                <w:rFonts w:ascii="仿宋_GB2312" w:eastAsia="仿宋_GB2312" w:hAnsiTheme="minorEastAsia" w:cstheme="minorBidi"/>
                <w:kern w:val="2"/>
              </w:rPr>
            </w:pPr>
            <w:r>
              <w:rPr>
                <w:rFonts w:hint="eastAsia" w:ascii="仿宋_GB2312" w:eastAsia="仿宋_GB2312" w:hAnsiTheme="minorEastAsia" w:cstheme="minorBidi"/>
                <w:kern w:val="2"/>
              </w:rPr>
              <w:t>距离</w:t>
            </w:r>
          </w:p>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设施名称</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距大中乔木中心不小于（m）</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距小乔木中心不小于（m）*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743" w:type="dxa"/>
            <w:vMerge w:val="restart"/>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多层以上普通住宅建筑南窗（正南方向）</w:t>
            </w:r>
          </w:p>
        </w:tc>
        <w:tc>
          <w:tcPr>
            <w:tcW w:w="141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常绿乔木</w:t>
            </w:r>
          </w:p>
        </w:tc>
        <w:tc>
          <w:tcPr>
            <w:tcW w:w="1134"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7</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3743" w:type="dxa"/>
            <w:vMerge w:val="continue"/>
            <w:vAlign w:val="center"/>
          </w:tcPr>
          <w:p>
            <w:pPr>
              <w:pStyle w:val="21"/>
              <w:suppressLineNumbers/>
              <w:adjustRightInd w:val="0"/>
              <w:snapToGrid w:val="0"/>
              <w:spacing w:before="0" w:beforeAutospacing="0" w:after="0" w:afterAutospacing="0" w:line="0" w:lineRule="atLeast"/>
              <w:ind w:firstLine="480" w:firstLineChars="200"/>
              <w:jc w:val="center"/>
              <w:rPr>
                <w:rFonts w:ascii="仿宋_GB2312" w:eastAsia="仿宋_GB2312" w:hAnsiTheme="minorEastAsia" w:cstheme="minorBidi"/>
                <w:kern w:val="2"/>
              </w:rPr>
            </w:pPr>
          </w:p>
        </w:tc>
        <w:tc>
          <w:tcPr>
            <w:tcW w:w="141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落叶乔木</w:t>
            </w:r>
          </w:p>
        </w:tc>
        <w:tc>
          <w:tcPr>
            <w:tcW w:w="1134"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4</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有防洪排涝功能的河道挡土墙顶内和墙角外</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5.0</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挡土墙顶内和墙角外</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高于2.0m的围墙（及挡土墙基）</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9.13新栽乔木与架空电力线路导线的最小距离，在计算最大风偏情况下，应符合表9.2的规定：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表9.2乔木与架空电力线路导线的最小距离</w:t>
      </w:r>
    </w:p>
    <w:tbl>
      <w:tblPr>
        <w:tblStyle w:val="23"/>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1070"/>
        <w:gridCol w:w="1071"/>
        <w:gridCol w:w="1071"/>
        <w:gridCol w:w="1070"/>
        <w:gridCol w:w="1071"/>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电压（kv）</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3-10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35-66</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110</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220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垂直距离（m）</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4.0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4.0</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4.5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5.5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水平距离（m）</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3.5</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4.0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5.0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7.0</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9.14新建道路或经改建后绿地，其绿化树木与地下管线外缘的最小水平距离宜符合表9.3的规定：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表9.3 绿化树木与地下管线外缘的最小距离</w:t>
      </w:r>
    </w:p>
    <w:tbl>
      <w:tblPr>
        <w:tblStyle w:val="23"/>
        <w:tblW w:w="8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5"/>
        <w:gridCol w:w="2825"/>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管线名称</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距乔木中心距离（m）</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距灌木中心距离（m）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电力电缆</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电信电缆直埋（管道）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给水、污水管道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燃气管道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1.2</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热力管道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9.15贯彻保护生物多样性原则，做到植物种类丰富多彩。植物品种的数量应符合表9.4的规定,地块覆绿等临时绿化除外：</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表9.4各类型绿地中植物品种数量</w:t>
      </w:r>
    </w:p>
    <w:tbl>
      <w:tblPr>
        <w:tblStyle w:val="24"/>
        <w:tblW w:w="0" w:type="auto"/>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82"/>
        <w:gridCol w:w="2882"/>
        <w:gridCol w:w="2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绿地面积（A、公顷）</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绿地类型</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植物品种（种）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小于0.4</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≥20</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≥15</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1＞A≥0.4</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≥35</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≥25</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2＞A≥1</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≥50</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≥40</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A≥2</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≥70</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≥55</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≥35</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9.16种植设计应考虑植物种植的合理密度，预留生长空间，树林郁闭度应符合表9.5的规定：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表9.5树林郁闭度</w:t>
      </w:r>
    </w:p>
    <w:tbl>
      <w:tblPr>
        <w:tblStyle w:val="23"/>
        <w:tblpPr w:leftFromText="180" w:rightFromText="180" w:vertAnchor="text" w:horzAnchor="margin" w:tblpX="216" w:tblpY="138"/>
        <w:tblW w:w="8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7"/>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类型</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种植当年标准</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成年期标准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密林</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0.3~0.7</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疏林</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0.1~0.4</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疏林草地</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0.07~0.2</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0.1~0.3</w:t>
            </w:r>
          </w:p>
        </w:tc>
      </w:tr>
    </w:tbl>
    <w:p>
      <w:pPr>
        <w:suppressLineNumbers/>
        <w:adjustRightInd w:val="0"/>
        <w:snapToGrid w:val="0"/>
        <w:spacing w:line="500" w:lineRule="exact"/>
        <w:ind w:firstLine="548" w:firstLineChars="196"/>
        <w:rPr>
          <w:rFonts w:ascii="仿宋_GB2312" w:eastAsia="仿宋_GB2312" w:hAnsiTheme="minorEastAsia"/>
          <w:sz w:val="28"/>
          <w:szCs w:val="28"/>
        </w:rPr>
      </w:pPr>
      <w:r>
        <w:rPr>
          <w:rFonts w:hint="eastAsia" w:ascii="仿宋_GB2312" w:eastAsia="仿宋_GB2312" w:hAnsiTheme="minorEastAsia"/>
          <w:sz w:val="28"/>
          <w:szCs w:val="28"/>
        </w:rPr>
        <w:t>9.17选择栽种能与自然界固氮微生物共生形成根瘤的植物，减少或消除使用化肥对土壤的污染。</w:t>
      </w:r>
      <w:bookmarkStart w:id="15" w:name="_Toc93995901"/>
    </w:p>
    <w:p>
      <w:pPr>
        <w:suppressLineNumbers/>
        <w:adjustRightInd w:val="0"/>
        <w:snapToGrid w:val="0"/>
        <w:spacing w:line="500" w:lineRule="exact"/>
        <w:ind w:firstLine="551" w:firstLineChars="196"/>
        <w:rPr>
          <w:rFonts w:ascii="仿宋_GB2312" w:eastAsia="仿宋_GB2312" w:hAnsiTheme="minorEastAsia"/>
          <w:b/>
          <w:bCs/>
          <w:sz w:val="28"/>
          <w:szCs w:val="28"/>
        </w:rPr>
      </w:pPr>
      <w:r>
        <w:rPr>
          <w:rFonts w:hint="eastAsia" w:ascii="仿宋_GB2312" w:eastAsia="仿宋_GB2312" w:hAnsiTheme="minorEastAsia"/>
          <w:b/>
          <w:bCs/>
          <w:sz w:val="28"/>
          <w:szCs w:val="28"/>
        </w:rPr>
        <w:t>十、公园绿地</w:t>
      </w:r>
      <w:bookmarkEnd w:id="15"/>
    </w:p>
    <w:p>
      <w:pPr>
        <w:suppressLineNumbers/>
        <w:adjustRightInd w:val="0"/>
        <w:snapToGrid w:val="0"/>
        <w:spacing w:line="500" w:lineRule="exact"/>
        <w:ind w:left="548" w:leftChars="261"/>
        <w:rPr>
          <w:rFonts w:ascii="仿宋_GB2312" w:eastAsia="仿宋_GB2312" w:hAnsiTheme="minorEastAsia"/>
          <w:sz w:val="28"/>
          <w:szCs w:val="28"/>
        </w:rPr>
      </w:pPr>
      <w:r>
        <w:rPr>
          <w:rFonts w:hint="eastAsia" w:ascii="仿宋_GB2312" w:eastAsia="仿宋_GB2312" w:hAnsiTheme="minorEastAsia"/>
          <w:bCs/>
          <w:sz w:val="28"/>
          <w:szCs w:val="28"/>
        </w:rPr>
        <w:t>10.1公园绿地内植物应品种丰富，做到四季分明、且具有植物特色。10.2植物配置应以总体设计确定的植物组群类型及效果要求为依据。</w:t>
      </w:r>
      <w:r>
        <w:rPr>
          <w:rFonts w:hint="eastAsia" w:ascii="仿宋_GB2312" w:eastAsia="仿宋_GB2312" w:hAnsiTheme="minorEastAsia"/>
          <w:sz w:val="28"/>
          <w:szCs w:val="28"/>
        </w:rPr>
        <w:t>10.3植物配置应采取乔灌草结合的方式，并应避免生态习性相克植物搭配。</w:t>
      </w:r>
    </w:p>
    <w:p>
      <w:pPr>
        <w:suppressLineNumbers/>
        <w:adjustRightInd w:val="0"/>
        <w:snapToGrid w:val="0"/>
        <w:spacing w:line="500" w:lineRule="exact"/>
        <w:ind w:left="548" w:leftChars="261"/>
        <w:rPr>
          <w:rFonts w:ascii="仿宋_GB2312" w:eastAsia="仿宋_GB2312" w:hAnsiTheme="minorEastAsia"/>
          <w:sz w:val="28"/>
          <w:szCs w:val="28"/>
        </w:rPr>
      </w:pPr>
      <w:r>
        <w:rPr>
          <w:rFonts w:hint="eastAsia" w:ascii="仿宋_GB2312" w:eastAsia="仿宋_GB2312" w:hAnsiTheme="minorEastAsia"/>
          <w:sz w:val="28"/>
          <w:szCs w:val="28"/>
        </w:rPr>
        <w:t>10.4植物配置应注重植物景观和空间的塑造。</w:t>
      </w:r>
    </w:p>
    <w:p>
      <w:pPr>
        <w:suppressLineNumbers/>
        <w:adjustRightInd w:val="0"/>
        <w:snapToGrid w:val="0"/>
        <w:spacing w:line="500" w:lineRule="exact"/>
        <w:ind w:left="548" w:leftChars="261"/>
        <w:rPr>
          <w:rFonts w:ascii="仿宋_GB2312" w:eastAsia="仿宋_GB2312" w:hAnsiTheme="minorEastAsia"/>
          <w:sz w:val="28"/>
          <w:szCs w:val="28"/>
        </w:rPr>
      </w:pPr>
      <w:r>
        <w:rPr>
          <w:rFonts w:hint="eastAsia" w:ascii="仿宋_GB2312" w:eastAsia="仿宋_GB2312" w:hAnsiTheme="minorEastAsia"/>
          <w:sz w:val="28"/>
          <w:szCs w:val="28"/>
        </w:rPr>
        <w:t>10.5植物配置应考虑管理及使用功能的需求，合理预留养护通道。10.6植物应选用不影响周边大型游览器械的品种。</w:t>
      </w:r>
      <w:bookmarkStart w:id="16" w:name="_Toc93995902"/>
    </w:p>
    <w:p>
      <w:pPr>
        <w:suppressLineNumbers/>
        <w:adjustRightInd w:val="0"/>
        <w:snapToGrid w:val="0"/>
        <w:spacing w:line="500" w:lineRule="exact"/>
        <w:ind w:left="548" w:leftChars="261"/>
        <w:rPr>
          <w:rFonts w:ascii="仿宋_GB2312" w:eastAsia="仿宋_GB2312" w:hAnsiTheme="minorEastAsia"/>
          <w:b/>
          <w:sz w:val="28"/>
          <w:szCs w:val="28"/>
        </w:rPr>
      </w:pPr>
      <w:r>
        <w:rPr>
          <w:rFonts w:hint="eastAsia" w:ascii="仿宋_GB2312" w:eastAsia="仿宋_GB2312" w:hAnsiTheme="minorEastAsia"/>
          <w:b/>
          <w:sz w:val="28"/>
          <w:szCs w:val="28"/>
        </w:rPr>
        <w:t>十一</w:t>
      </w:r>
      <w:r>
        <w:rPr>
          <w:rFonts w:hint="eastAsia" w:ascii="仿宋_GB2312" w:eastAsia="仿宋_GB2312" w:hAnsiTheme="minorEastAsia"/>
          <w:b/>
          <w:bCs/>
          <w:sz w:val="28"/>
          <w:szCs w:val="28"/>
        </w:rPr>
        <w:t>、</w:t>
      </w:r>
      <w:r>
        <w:rPr>
          <w:rFonts w:hint="eastAsia" w:ascii="仿宋_GB2312" w:eastAsia="仿宋_GB2312" w:hAnsiTheme="minorEastAsia"/>
          <w:b/>
          <w:sz w:val="28"/>
          <w:szCs w:val="28"/>
        </w:rPr>
        <w:t>防护绿地</w:t>
      </w:r>
      <w:bookmarkEnd w:id="16"/>
    </w:p>
    <w:p>
      <w:pPr>
        <w:suppressLineNumbers/>
        <w:adjustRightInd w:val="0"/>
        <w:snapToGrid w:val="0"/>
        <w:spacing w:line="500" w:lineRule="exact"/>
        <w:ind w:left="548" w:leftChars="261"/>
        <w:rPr>
          <w:rFonts w:ascii="仿宋_GB2312" w:eastAsia="仿宋_GB2312" w:hAnsiTheme="minorEastAsia"/>
          <w:b/>
          <w:bCs/>
          <w:sz w:val="28"/>
          <w:szCs w:val="28"/>
        </w:rPr>
      </w:pPr>
      <w:r>
        <w:rPr>
          <w:rFonts w:hint="eastAsia" w:ascii="仿宋_GB2312" w:eastAsia="仿宋_GB2312" w:hAnsiTheme="minorEastAsia"/>
          <w:sz w:val="28"/>
          <w:szCs w:val="28"/>
        </w:rPr>
        <w:t>11.1防护绿地应根据防护对象选择适宜树种，无特殊需求的防护绿地应优先考虑经济林。</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11.2用于噪音、污染、卫生隔离的防护林带，其乔灌草的比例宜为6:3:1。铁路、高速公路及公路隔离的防护林带宜以乔木林带为主，</w:t>
      </w:r>
      <w:r>
        <w:rPr>
          <w:rFonts w:hint="eastAsia" w:ascii="仿宋_GB2312" w:eastAsia="仿宋_GB2312" w:hAnsiTheme="minorEastAsia"/>
          <w:b w:val="0"/>
          <w:bCs w:val="0"/>
          <w:sz w:val="28"/>
          <w:szCs w:val="28"/>
          <w:highlight w:val="yellow"/>
        </w:rPr>
        <w:t>常绿和落叶乔木比不宜大于1:5</w:t>
      </w:r>
      <w:r>
        <w:rPr>
          <w:rFonts w:hint="eastAsia" w:ascii="仿宋_GB2312" w:eastAsia="仿宋_GB2312" w:hAnsiTheme="minorEastAsia"/>
          <w:b w:val="0"/>
          <w:bCs w:val="0"/>
          <w:sz w:val="28"/>
          <w:szCs w:val="28"/>
        </w:rPr>
        <w:t>。</w:t>
      </w:r>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rPr>
        <w:t>11.3防护林宜采用“初期密植，后期间移”的方式，留出植物足够的生长空间，间移的间隔时间不宜超过10年，以满足近远期防护绿带的绿化效果。</w:t>
      </w:r>
    </w:p>
    <w:p>
      <w:pPr>
        <w:suppressLineNumbers/>
        <w:adjustRightInd w:val="0"/>
        <w:snapToGrid w:val="0"/>
        <w:spacing w:line="500" w:lineRule="exact"/>
        <w:ind w:firstLine="551" w:firstLineChars="196"/>
        <w:rPr>
          <w:rFonts w:ascii="仿宋_GB2312" w:eastAsia="仿宋_GB2312" w:hAnsiTheme="minorEastAsia"/>
          <w:b/>
          <w:bCs/>
          <w:sz w:val="28"/>
          <w:szCs w:val="28"/>
        </w:rPr>
      </w:pPr>
      <w:r>
        <w:rPr>
          <w:rFonts w:hint="eastAsia" w:ascii="仿宋_GB2312" w:eastAsia="仿宋_GB2312" w:hAnsiTheme="minorEastAsia"/>
          <w:b/>
          <w:bCs/>
          <w:sz w:val="28"/>
          <w:szCs w:val="28"/>
        </w:rPr>
        <w:t>十二、居住区和单位附属绿地</w:t>
      </w:r>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rPr>
        <w:t>12.1在工厂等有特殊洁净度要求的区域，新栽植的乔木不应大量选用多飞毛、飞絮的乔木。</w:t>
      </w:r>
      <w:bookmarkStart w:id="17" w:name="_Toc93995903"/>
    </w:p>
    <w:bookmarkEnd w:id="17"/>
    <w:p>
      <w:pPr>
        <w:suppressLineNumbers/>
        <w:adjustRightInd w:val="0"/>
        <w:snapToGrid w:val="0"/>
        <w:spacing w:line="500" w:lineRule="exact"/>
        <w:ind w:firstLine="560" w:firstLineChars="200"/>
        <w:rPr>
          <w:rFonts w:ascii="仿宋_GB2312" w:eastAsia="仿宋_GB2312" w:hAnsiTheme="minorEastAsia"/>
          <w:sz w:val="28"/>
          <w:szCs w:val="28"/>
        </w:rPr>
      </w:pPr>
      <w:bookmarkStart w:id="18" w:name="_Toc93995904"/>
      <w:r>
        <w:rPr>
          <w:rFonts w:hint="eastAsia" w:ascii="仿宋_GB2312" w:eastAsia="仿宋_GB2312" w:hAnsiTheme="minorEastAsia"/>
          <w:sz w:val="28"/>
          <w:szCs w:val="28"/>
        </w:rPr>
        <w:t>12.2单位绿化内应严格控制较大规模的人工水景、水池、喷泉、假山、大型硬质铺装广场等设施建设。</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12.3居住区绿地应严格控制大型人工水景、水池、喷泉等设施及驳岸、池底硬化的水体建设。</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12.4居住区绿地应根据居住区不同的规划布局形式设置相应的中心绿地和老年人、儿童的活动场地。</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12.5居住用地内应严格控制照射植物、缠绕植物的亮化及装饰包裹植物。</w:t>
      </w:r>
    </w:p>
    <w:p>
      <w:pPr>
        <w:suppressLineNumbers/>
        <w:adjustRightInd w:val="0"/>
        <w:snapToGrid w:val="0"/>
        <w:spacing w:line="500" w:lineRule="exact"/>
        <w:ind w:firstLine="551" w:firstLineChars="196"/>
        <w:rPr>
          <w:rFonts w:ascii="仿宋_GB2312" w:eastAsia="仿宋_GB2312" w:hAnsiTheme="minorEastAsia"/>
          <w:b/>
          <w:bCs/>
          <w:sz w:val="28"/>
          <w:szCs w:val="28"/>
        </w:rPr>
      </w:pPr>
      <w:r>
        <w:rPr>
          <w:rFonts w:hint="eastAsia" w:ascii="仿宋_GB2312" w:eastAsia="仿宋_GB2312" w:hAnsiTheme="minorEastAsia"/>
          <w:b/>
          <w:bCs/>
          <w:sz w:val="28"/>
          <w:szCs w:val="28"/>
        </w:rPr>
        <w:t>十三、道路附属绿地</w:t>
      </w:r>
      <w:bookmarkEnd w:id="18"/>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rPr>
        <w:t>13.1行道树应选择树干挺拔端直、冠大荫浓、根系发达、耐寒耐瘠薄、抗逆性强、少病虫害、对人体及环境无明显不利影响的树种。宜选用落叶树。应</w:t>
      </w:r>
      <w:r>
        <w:rPr>
          <w:rFonts w:ascii="仿宋_GB2312" w:eastAsia="仿宋_GB2312" w:hAnsiTheme="minorEastAsia"/>
          <w:bCs/>
          <w:sz w:val="28"/>
          <w:szCs w:val="28"/>
        </w:rPr>
        <w:t>保障行道树绿带地下土壤的连通性</w:t>
      </w:r>
      <w:r>
        <w:rPr>
          <w:rFonts w:hint="eastAsia" w:ascii="仿宋_GB2312" w:eastAsia="仿宋_GB2312" w:hAnsiTheme="minorEastAsia"/>
          <w:bCs/>
          <w:sz w:val="28"/>
          <w:szCs w:val="28"/>
        </w:rPr>
        <w:t>。</w:t>
      </w:r>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rPr>
        <w:t>13.2行道树严禁大规模移植大树或栽植重度修剪的截干树。在使用截干树时，应选择截干生长三年以上的植株。</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1）中分带、机非隔离带的行道树枝下高应不小于3.5m。人行道的行道树枝下高应不小于2.8m，且同一条路的枝下高应一致；</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2）城市内有大型车辆通行的省道、国道，其通行范围内不应有低于5.0m高度的枝条；</w:t>
      </w:r>
    </w:p>
    <w:p>
      <w:pPr>
        <w:suppressLineNumbers/>
        <w:adjustRightInd w:val="0"/>
        <w:snapToGrid w:val="0"/>
        <w:spacing w:line="500" w:lineRule="exact"/>
        <w:ind w:firstLine="548" w:firstLineChars="196"/>
        <w:rPr>
          <w:rFonts w:ascii="仿宋_GB2312" w:eastAsia="仿宋_GB2312" w:hAnsiTheme="minorEastAsia"/>
          <w:sz w:val="28"/>
          <w:szCs w:val="28"/>
        </w:rPr>
      </w:pPr>
      <w:r>
        <w:rPr>
          <w:rFonts w:hint="eastAsia" w:ascii="仿宋_GB2312" w:eastAsia="仿宋_GB2312" w:hAnsiTheme="minorEastAsia"/>
          <w:sz w:val="28"/>
          <w:szCs w:val="28"/>
        </w:rPr>
        <w:t>13.3城市绿地内的行道树株距依据成株树冠直径确定。除特殊景观需求外，行道树株距杉类植物宜不小于3.0米、香樟宜不小于8米。行道树与相关设施的最小水平距离应符合表13.1的规定：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表13.1</w:t>
      </w:r>
      <w:r>
        <w:rPr>
          <w:rFonts w:hint="eastAsia" w:ascii="仿宋_GB2312" w:eastAsia="仿宋_GB2312" w:hAnsiTheme="minorEastAsia"/>
          <w:sz w:val="28"/>
          <w:szCs w:val="28"/>
        </w:rPr>
        <w:tab/>
      </w:r>
      <w:r>
        <w:rPr>
          <w:rFonts w:hint="eastAsia" w:ascii="仿宋_GB2312" w:eastAsia="仿宋_GB2312" w:hAnsiTheme="minorEastAsia"/>
          <w:sz w:val="28"/>
          <w:szCs w:val="28"/>
        </w:rPr>
        <w:t>行道树与相关设施的最小水平距离</w:t>
      </w:r>
    </w:p>
    <w:tbl>
      <w:tblPr>
        <w:tblStyle w:val="23"/>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9"/>
        <w:gridCol w:w="3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tcBorders>
              <w:tl2br w:val="single" w:color="auto" w:sz="4" w:space="0"/>
            </w:tcBorders>
            <w:vAlign w:val="center"/>
          </w:tcPr>
          <w:p>
            <w:pPr>
              <w:pStyle w:val="21"/>
              <w:suppressLineNumbers/>
              <w:adjustRightInd w:val="0"/>
              <w:snapToGrid w:val="0"/>
              <w:spacing w:before="0" w:beforeAutospacing="0" w:after="0" w:afterAutospacing="0" w:line="0" w:lineRule="atLeast"/>
              <w:ind w:firstLine="2760" w:firstLineChars="1150"/>
              <w:rPr>
                <w:rFonts w:ascii="仿宋_GB2312" w:eastAsia="仿宋_GB2312" w:hAnsiTheme="minorEastAsia" w:cstheme="minorBidi"/>
                <w:kern w:val="2"/>
              </w:rPr>
            </w:pPr>
            <w:r>
              <w:rPr>
                <w:rFonts w:hint="eastAsia" w:ascii="仿宋_GB2312" w:eastAsia="仿宋_GB2312" w:hAnsiTheme="minorEastAsia" w:cstheme="minorBidi"/>
                <w:kern w:val="2"/>
              </w:rPr>
              <w:t>距离</w:t>
            </w:r>
          </w:p>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设施名称</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距行道树中心不小于（m）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路灯杆中心</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路旁变压器外缘、交通灯柱</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路牌、交通指示牌、车站标志</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13.4乔木树干中心至路缘石外侧最小距离不宜低于0.75m。</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13.5人行道边绿带宽度大于2.5m时，行道树宜种植在绿带内。</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13.6道路分车绿带大于1.5m的宜种植小乔木，大于或等于3.0m的，宜种植高大乔木。小乔木株距宜不小于</w:t>
      </w:r>
      <w:r>
        <w:rPr>
          <w:rFonts w:ascii="仿宋_GB2312" w:eastAsia="仿宋_GB2312" w:hAnsiTheme="minorEastAsia"/>
          <w:b w:val="0"/>
          <w:bCs w:val="0"/>
          <w:sz w:val="28"/>
          <w:szCs w:val="28"/>
        </w:rPr>
        <w:t>4</w:t>
      </w:r>
      <w:r>
        <w:rPr>
          <w:rFonts w:hint="eastAsia" w:ascii="仿宋_GB2312" w:eastAsia="仿宋_GB2312" w:hAnsiTheme="minorEastAsia"/>
          <w:b w:val="0"/>
          <w:bCs w:val="0"/>
          <w:sz w:val="28"/>
          <w:szCs w:val="28"/>
        </w:rPr>
        <w:t>m，枝下净空满足通行要求。</w:t>
      </w:r>
    </w:p>
    <w:p>
      <w:pPr>
        <w:suppressLineNumbers/>
        <w:adjustRightInd w:val="0"/>
        <w:snapToGrid w:val="0"/>
        <w:spacing w:line="500" w:lineRule="exact"/>
        <w:ind w:firstLine="551" w:firstLineChars="196"/>
        <w:rPr>
          <w:rFonts w:ascii="仿宋_GB2312" w:eastAsia="仿宋_GB2312" w:hAnsiTheme="minorEastAsia"/>
          <w:b/>
          <w:bCs/>
          <w:sz w:val="28"/>
          <w:szCs w:val="28"/>
        </w:rPr>
      </w:pP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13.7新建道路的交叉路口和分车带开口的停车视距三角范围内植物应进行通透式配置，保证行车视线通透。机动车道的弯道内侧及交叉口停车视距（见表13.1）三角形范围宜种植草坪、地被等低矮植物，地被高度不宜超过0.3m。</w:t>
      </w:r>
      <w:bookmarkStart w:id="19" w:name="_Toc93995905"/>
    </w:p>
    <w:p>
      <w:pPr>
        <w:suppressLineNumbers/>
        <w:adjustRightInd w:val="0"/>
        <w:snapToGrid w:val="0"/>
        <w:spacing w:line="500" w:lineRule="exact"/>
        <w:jc w:val="center"/>
        <w:rPr>
          <w:rFonts w:ascii="仿宋_GB2312" w:eastAsia="仿宋_GB2312" w:hAnsiTheme="minorEastAsia"/>
          <w:sz w:val="28"/>
          <w:szCs w:val="28"/>
        </w:rPr>
      </w:pPr>
      <w:r>
        <w:rPr>
          <w:rFonts w:ascii="仿宋_GB2312" w:eastAsia="仿宋_GB2312" w:hAnsiTheme="minorEastAsia"/>
          <w:sz w:val="28"/>
          <w:szCs w:val="28"/>
        </w:rPr>
        <w:t>表</w:t>
      </w:r>
      <w:r>
        <w:rPr>
          <w:rFonts w:hint="eastAsia" w:ascii="仿宋_GB2312" w:eastAsia="仿宋_GB2312" w:hAnsiTheme="minorEastAsia"/>
          <w:sz w:val="28"/>
          <w:szCs w:val="28"/>
        </w:rPr>
        <w:t>13.1</w:t>
      </w:r>
      <w:r>
        <w:rPr>
          <w:rFonts w:ascii="仿宋_GB2312" w:eastAsia="仿宋_GB2312" w:hAnsiTheme="minorEastAsia"/>
          <w:sz w:val="28"/>
          <w:szCs w:val="28"/>
        </w:rPr>
        <w:tab/>
      </w:r>
      <w:r>
        <w:rPr>
          <w:rFonts w:ascii="仿宋_GB2312" w:eastAsia="仿宋_GB2312" w:hAnsiTheme="minorEastAsia"/>
          <w:sz w:val="28"/>
          <w:szCs w:val="28"/>
        </w:rPr>
        <w:t>停车视距</w:t>
      </w:r>
    </w:p>
    <w:tbl>
      <w:tblPr>
        <w:tblStyle w:val="24"/>
        <w:tblW w:w="8777" w:type="dxa"/>
        <w:tblInd w:w="1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56"/>
        <w:gridCol w:w="931"/>
        <w:gridCol w:w="932"/>
        <w:gridCol w:w="931"/>
        <w:gridCol w:w="932"/>
        <w:gridCol w:w="931"/>
        <w:gridCol w:w="932"/>
        <w:gridCol w:w="93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56"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设计速度(Km/h)</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100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80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60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50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40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56"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停车视距（m）</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160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110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7</w:t>
            </w:r>
            <w:r>
              <w:rPr>
                <w:rFonts w:hint="eastAsia" w:ascii="仿宋_GB2312" w:eastAsia="仿宋_GB2312" w:hAnsiTheme="minorEastAsia" w:cstheme="minorBidi"/>
                <w:kern w:val="2"/>
              </w:rPr>
              <w:t>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60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40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r>
    </w:tbl>
    <w:p>
      <w:pPr>
        <w:suppressLineNumbers/>
        <w:adjustRightInd w:val="0"/>
        <w:snapToGrid w:val="0"/>
        <w:spacing w:line="500" w:lineRule="exact"/>
        <w:ind w:firstLine="560" w:firstLineChars="200"/>
        <w:rPr>
          <w:rFonts w:ascii="仿宋_GB2312" w:eastAsia="仿宋_GB2312" w:hAnsiTheme="minorEastAsia"/>
        </w:rPr>
      </w:pPr>
      <w:r>
        <w:rPr>
          <w:rFonts w:hint="eastAsia" w:ascii="仿宋_GB2312" w:eastAsia="仿宋_GB2312" w:hAnsiTheme="minorEastAsia"/>
          <w:sz w:val="28"/>
          <w:szCs w:val="28"/>
        </w:rPr>
        <w:t>13.8城市道路绿化覆盖率应符合表13.2的规定。城市景观道路可适度增加绿化覆盖率；城市快速路主辅路并行的路段，按辅路宽度适用。</w:t>
      </w:r>
    </w:p>
    <w:p>
      <w:pPr>
        <w:suppressLineNumbers/>
        <w:adjustRightInd w:val="0"/>
        <w:snapToGrid w:val="0"/>
        <w:spacing w:line="500" w:lineRule="exact"/>
        <w:jc w:val="center"/>
        <w:rPr>
          <w:rFonts w:ascii="仿宋_GB2312" w:eastAsia="仿宋_GB2312" w:hAnsiTheme="minorEastAsia"/>
          <w:sz w:val="28"/>
          <w:szCs w:val="28"/>
        </w:rPr>
      </w:pPr>
      <w:r>
        <w:rPr>
          <w:rFonts w:ascii="仿宋_GB2312" w:eastAsia="仿宋_GB2312" w:hAnsiTheme="minorEastAsia"/>
          <w:sz w:val="28"/>
          <w:szCs w:val="28"/>
        </w:rPr>
        <w:t>表</w:t>
      </w:r>
      <w:r>
        <w:rPr>
          <w:rFonts w:hint="eastAsia" w:ascii="仿宋_GB2312" w:eastAsia="仿宋_GB2312" w:hAnsiTheme="minorEastAsia"/>
          <w:sz w:val="28"/>
          <w:szCs w:val="28"/>
        </w:rPr>
        <w:t>13.2</w:t>
      </w:r>
      <w:r>
        <w:rPr>
          <w:rFonts w:ascii="仿宋_GB2312" w:eastAsia="仿宋_GB2312" w:hAnsiTheme="minorEastAsia"/>
          <w:sz w:val="28"/>
          <w:szCs w:val="28"/>
        </w:rPr>
        <w:tab/>
      </w:r>
      <w:r>
        <w:rPr>
          <w:rFonts w:hint="eastAsia" w:ascii="仿宋_GB2312" w:eastAsia="仿宋_GB2312" w:hAnsiTheme="minorEastAsia"/>
          <w:sz w:val="28"/>
          <w:szCs w:val="28"/>
        </w:rPr>
        <w:t>城市道路绿化覆盖率要求</w:t>
      </w:r>
    </w:p>
    <w:tbl>
      <w:tblPr>
        <w:tblStyle w:val="24"/>
        <w:tblW w:w="8777" w:type="dxa"/>
        <w:tblInd w:w="1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249"/>
        <w:gridCol w:w="1382"/>
        <w:gridCol w:w="1382"/>
        <w:gridCol w:w="1382"/>
        <w:gridCol w:w="138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249"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城市</w:t>
            </w:r>
            <w:r>
              <w:rPr>
                <w:rFonts w:ascii="仿宋_GB2312" w:eastAsia="仿宋_GB2312" w:hAnsiTheme="minorEastAsia" w:cstheme="minorBidi"/>
                <w:kern w:val="2"/>
              </w:rPr>
              <w:t>道路红线宽度</w:t>
            </w:r>
            <w:r>
              <w:rPr>
                <w:rFonts w:hint="eastAsia" w:ascii="仿宋_GB2312" w:eastAsia="仿宋_GB2312" w:hAnsiTheme="minorEastAsia" w:cstheme="minorBidi"/>
                <w:kern w:val="2"/>
              </w:rPr>
              <w:t>（</w:t>
            </w:r>
            <w:r>
              <w:rPr>
                <w:rFonts w:ascii="仿宋_GB2312" w:eastAsia="仿宋_GB2312" w:hAnsiTheme="minorEastAsia" w:cstheme="minorBidi"/>
                <w:kern w:val="2"/>
              </w:rPr>
              <w:t>m</w:t>
            </w:r>
            <w:r>
              <w:rPr>
                <w:rFonts w:hint="eastAsia" w:ascii="仿宋_GB2312" w:eastAsia="仿宋_GB2312" w:hAnsiTheme="minorEastAsia" w:cstheme="minorBidi"/>
                <w:kern w:val="2"/>
              </w:rPr>
              <w:t>）</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＞45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30～45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15～30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w:t>
            </w:r>
            <w:r>
              <w:rPr>
                <w:rFonts w:hint="eastAsia" w:ascii="仿宋_GB2312" w:eastAsia="仿宋_GB2312" w:hAnsiTheme="minorEastAsia" w:cstheme="minorBidi"/>
                <w:kern w:val="2"/>
              </w:rPr>
              <w:t>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249"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绿化</w:t>
            </w:r>
            <w:r>
              <w:rPr>
                <w:rFonts w:ascii="仿宋_GB2312" w:eastAsia="仿宋_GB2312" w:hAnsiTheme="minorEastAsia" w:cstheme="minorBidi"/>
                <w:kern w:val="2"/>
              </w:rPr>
              <w:t>覆盖率（</w:t>
            </w:r>
            <w:r>
              <w:rPr>
                <w:rFonts w:hint="eastAsia" w:ascii="仿宋_GB2312" w:eastAsia="仿宋_GB2312" w:hAnsiTheme="minorEastAsia" w:cstheme="minorBidi"/>
                <w:kern w:val="2"/>
              </w:rPr>
              <w:t>%</w:t>
            </w:r>
            <w:r>
              <w:rPr>
                <w:rFonts w:ascii="仿宋_GB2312" w:eastAsia="仿宋_GB2312" w:hAnsiTheme="minorEastAsia" w:cstheme="minorBidi"/>
                <w:kern w:val="2"/>
              </w:rPr>
              <w:t>）</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酌情设置</w:t>
            </w:r>
          </w:p>
        </w:tc>
      </w:tr>
    </w:tbl>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十四、林荫停车场</w:t>
      </w:r>
      <w:bookmarkEnd w:id="19"/>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14.1室外停车场在满足停车要求的条件下，应种植庇荫乔木或采取立体绿化的方式，停车位绿化遮阴面积应不小于停车位总面积的30％。</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14.2停车场的树木间距应满足车位、通道、转弯、回车半径的要求。</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14.3停车场种植的庇荫乔木，其树木枝下高度应符合：自行车停车场大于2.2m，小汽车停车场大于2.5m，中型客货车停车场大于3.5m，载货汽车停车场大于4.5m。</w:t>
      </w:r>
      <w:bookmarkStart w:id="20" w:name="_Toc93995906"/>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十五.立体绿化</w:t>
      </w:r>
      <w:bookmarkEnd w:id="20"/>
      <w:r>
        <w:rPr>
          <w:rFonts w:hint="eastAsia" w:ascii="仿宋_GB2312" w:eastAsia="仿宋_GB2312" w:hAnsiTheme="minorEastAsia"/>
          <w:b/>
          <w:sz w:val="28"/>
          <w:szCs w:val="28"/>
        </w:rPr>
        <w:t>（屋顶绿化、垂直绿化）</w:t>
      </w:r>
    </w:p>
    <w:p>
      <w:pPr>
        <w:suppressLineNumbers/>
        <w:adjustRightInd w:val="0"/>
        <w:snapToGrid w:val="0"/>
        <w:spacing w:line="500" w:lineRule="exact"/>
        <w:ind w:firstLine="560" w:firstLineChars="200"/>
        <w:rPr>
          <w:rFonts w:ascii="仿宋_GB2312" w:eastAsia="仿宋_GB2312" w:hAnsiTheme="minorEastAsia"/>
          <w:b/>
          <w:bCs/>
          <w:sz w:val="28"/>
          <w:szCs w:val="28"/>
        </w:rPr>
      </w:pPr>
      <w:r>
        <w:rPr>
          <w:rFonts w:hint="eastAsia" w:ascii="仿宋_GB2312" w:eastAsia="仿宋_GB2312" w:hAnsiTheme="minorEastAsia"/>
          <w:sz w:val="28"/>
          <w:szCs w:val="28"/>
        </w:rPr>
        <w:t>15.1根据建(构)筑物特点因地制宜采用不同的立体绿化形式。立体绿化不得影响原有建(构)筑物的安全性、功能性和耐久性。立体绿化设计应对所依附的载体进行荷载、支撑能力验算，确保安全性。</w:t>
      </w:r>
    </w:p>
    <w:p>
      <w:pPr>
        <w:spacing w:line="500" w:lineRule="exact"/>
        <w:ind w:firstLine="548" w:firstLineChars="196"/>
        <w:rPr>
          <w:rFonts w:ascii="仿宋_GB2312" w:eastAsia="仿宋_GB2312"/>
          <w:sz w:val="28"/>
          <w:szCs w:val="28"/>
        </w:rPr>
      </w:pPr>
      <w:r>
        <w:rPr>
          <w:rFonts w:hint="eastAsia" w:ascii="仿宋_GB2312" w:eastAsia="仿宋_GB2312" w:hAnsiTheme="minorEastAsia"/>
          <w:bCs/>
          <w:sz w:val="28"/>
          <w:szCs w:val="28"/>
        </w:rPr>
        <w:t>15.2地下空间顶面、建筑屋顶和构筑物顶面的立体绿化应保证植物自然生长，应在不透水层上设置防水排灌系统，且</w:t>
      </w:r>
      <w:r>
        <w:rPr>
          <w:rFonts w:hint="eastAsia" w:ascii="仿宋_GB2312" w:eastAsia="仿宋_GB2312" w:hAnsiTheme="minorEastAsia"/>
          <w:sz w:val="28"/>
          <w:szCs w:val="28"/>
        </w:rPr>
        <w:t>栽</w:t>
      </w:r>
      <w:r>
        <w:rPr>
          <w:rFonts w:hint="eastAsia" w:ascii="仿宋_GB2312" w:eastAsia="仿宋_GB2312" w:hAnsiTheme="minorEastAsia"/>
          <w:bCs/>
          <w:sz w:val="28"/>
          <w:szCs w:val="28"/>
        </w:rPr>
        <w:t>植土壤有效土层厚度必须符合植物正常生长的要求，不小于表15.1规定：</w:t>
      </w:r>
    </w:p>
    <w:p>
      <w:pPr>
        <w:suppressLineNumbers/>
        <w:adjustRightInd w:val="0"/>
        <w:snapToGrid w:val="0"/>
        <w:spacing w:line="500" w:lineRule="exact"/>
        <w:ind w:firstLine="560" w:firstLineChars="200"/>
        <w:jc w:val="center"/>
        <w:rPr>
          <w:rFonts w:ascii="仿宋_GB2312" w:eastAsia="仿宋_GB2312" w:hAnsiTheme="minorEastAsia"/>
          <w:sz w:val="28"/>
          <w:szCs w:val="28"/>
        </w:rPr>
      </w:pPr>
      <w:r>
        <w:rPr>
          <w:rFonts w:hint="eastAsia" w:ascii="仿宋_GB2312" w:eastAsia="仿宋_GB2312" w:hAnsiTheme="minorEastAsia"/>
          <w:sz w:val="28"/>
          <w:szCs w:val="28"/>
        </w:rPr>
        <w:t>表15.1绿化栽植土壤有效土层厚度（厘米）</w:t>
      </w:r>
    </w:p>
    <w:tbl>
      <w:tblPr>
        <w:tblStyle w:val="24"/>
        <w:tblW w:w="0" w:type="auto"/>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35"/>
        <w:gridCol w:w="2835"/>
        <w:gridCol w:w="28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5" w:type="dxa"/>
            <w:vMerge w:val="restart"/>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设施空间绿化</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乔木</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≥120（深根）</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≥100（浅根）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5"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灌木</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≥45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835"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草坪、花卉、草本地被</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≥30</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15.3立体绿化灌溉应采用自动灌溉控制系统。雨水收集、太阳能利用等生态环保技术宜同步设计应用。</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15.4屋顶绿化。应按现行国家标准《建筑结构荷载规范》GB50009规定取值。对现有建筑进行屋顶绿化时，应对原结构进行鉴定。种植不应影响建筑结构安全及排水。并符合以下规定：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1）建设屋顶绿化应满足规划、消防、环保、安全和卫生等方面规定要求，不应建设建筑物；</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2）屋顶绿化内的园林小品设施应控制建设规模，总体风格与原有建筑环境协调；</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3）屋顶绿化的土壤应采用轻型介质，其底层应设置性能良好的滤水层、排水层、防水层和耐根穿刺防水层；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4）屋顶绿化应选择耐寒、耐旱、抗风、抗日灼、不易倒伏的植物。不宜选择深根、主根穿透能力强的植物。</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5）除有特殊安全稳定设计外，建筑屋顶树木种植的定植点与屋顶防护围栏的安全距离应大于树木高度。</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6）屋顶绿化的种植土距离女儿墙应有不小于0.5m的距离。</w:t>
      </w:r>
      <w:bookmarkStart w:id="21" w:name="_Toc93995909"/>
    </w:p>
    <w:bookmarkEnd w:id="21"/>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15.5垂直绿化。栽植前应对种植位置的朝向、光照、地势、土壤状况等进行勘察，因地制宜选择适宜的垂直绿化形式。</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1）墙面攀爬或墙面贴植应充分利用周边绿地进行栽植。如无适宜的立地条件，可使用种植槽或种植箱。</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2）垂直绿化以木本植物或多年生草本植物为主，选择抗性强、低养护的植物品种。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3）墙面攀爬植物宜选择2年生3分枝以上规格。</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4）墙面贴植宜选择高度150cm以上、枝条柔韧、耐修剪植物。</w:t>
      </w:r>
    </w:p>
    <w:p>
      <w:pPr>
        <w:suppressLineNumbers/>
        <w:adjustRightInd w:val="0"/>
        <w:snapToGrid w:val="0"/>
        <w:spacing w:line="500" w:lineRule="exact"/>
        <w:ind w:firstLine="560" w:firstLineChars="200"/>
        <w:rPr>
          <w:rFonts w:ascii="仿宋_GB2312" w:eastAsia="仿宋_GB2312" w:hAnsiTheme="minorEastAsia"/>
          <w:b/>
          <w:bCs/>
          <w:sz w:val="28"/>
          <w:szCs w:val="28"/>
        </w:rPr>
      </w:pPr>
      <w:r>
        <w:rPr>
          <w:rFonts w:hint="eastAsia" w:ascii="仿宋_GB2312" w:eastAsia="仿宋_GB2312" w:hAnsiTheme="minorEastAsia"/>
          <w:sz w:val="28"/>
          <w:szCs w:val="28"/>
        </w:rPr>
        <w:t>5）构件绿墙应根据立地条件选择适宜植物。</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22" w:name="_Toc93995910"/>
      <w:r>
        <w:rPr>
          <w:rFonts w:hint="eastAsia" w:ascii="仿宋_GB2312" w:eastAsia="仿宋_GB2312" w:hAnsiTheme="minorEastAsia"/>
          <w:b/>
          <w:bCs w:val="0"/>
          <w:kern w:val="2"/>
          <w:sz w:val="28"/>
          <w:szCs w:val="28"/>
        </w:rPr>
        <w:t>十六、施工及验收规定</w:t>
      </w:r>
      <w:bookmarkEnd w:id="22"/>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16.1绿化施工应符合园林绿化工程施工及验收规范、大气污染防治等国家、省和市的相关要求。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16.2施工单位应依据合同约定对园林绿化工程进行施工和管理，并应符合下列规定：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1）应配备与从事工程建设活动相匹配的专业技术管理人员和技术工人，相关人员应具备相应的职业资格、履约能力及良好的从业信用记录，绿化工程中园林绿化工持证上岗率100%，三级工以上应不少于20%。</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2）应建立并落实质量控制、安全生产、文明施工、大气污染防治等各项规章管理制度；</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3）应根据工程类别、规模、技术复杂程度，配备满足施工需要的设备、常规检测仪器和工具，在施工建设中宜采用机械化的施工技术。</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70.施工单位应熟悉图纸、掌握设计意图与要求、参加设计交底，并应符合下列规定：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1）对施工图中出现的差错、疑问，应提出书面建议，如需变更设计，应按照相应程序报审，经相关单位签证后实施。</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2）应编制施工组织设计(施工方案)，应在工程开工前完成并与开工申请报告一并报予建设单位和监理单位。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16.3施工单位进场后，应组织施工人员熟悉工程合同及与工程项目有关的技术标准。了解现场的地上地下障碍物、管网、地形地貌、土质、控制桩点设置、红线范围、周边情况及现场水源、水质、电源、交通情况。</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16.4施工测量应符合下列要求：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1）应按照园林绿化工程总平面或根据建设单位提供的现场高程控制点及坐标控制点，建立工程测量控制网；</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 xml:space="preserve">2）各个单位工程应根据建立的工程测量控制网进行测量放线，并应做好测量放线记录； </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3）施工测量时，施工单位应进行自检、互检双复核，监理单位应进行复测。</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4）对原高程控制点及坐标控制点应设保护措施。</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16.5绿化栽植前场地清理应符合下列规定：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1）有各种管线的区域、建(构)筑物周边的整理绿化用地，应在其完工并验收合格后进行。</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2）应将现场内的渣土、工程废料、宿根性杂草、树根及其有害污染物清除干净。</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3）对清理的废弃构筑物、工程渣土、不符合栽植土理化标准的原状土等应做好测量记录、签证。</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4）场地标高及清理程度应符合设计和栽植要求。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5）填垫范围内不应有坑洼、积水。</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6）对软泥和不透水层应进行处理。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16.6土壤有害重金属含量不应影响植物正常生长。土壤质量不良时，应进行土壤改良或更换种植土。对原地表层适宜栽植的土壤，应加以保护并有效利用。</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16.7城市绿地的新建、改扩建的土壤改良应优先使用经过杀虫、除菌等措施符合要求的绿化植物废弃物。</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16.8栽植穴、槽的宽度应大于土球或裸根苗根系展幅40cm～60cm，穴深应大于土球厚度或裸根苗木根系高度10cm～20cm，穴、槽应垂直下挖，上口下底应相等。</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16.9园林绿化工程施工质量验收应符合下列规定：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1）参加工程施工质量验收的各方人员应具备规定的资格。</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2）园林绿化工程的施工应符合工程设计文件的要求。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3）园林绿化工程施工质量应符合本规范及国家现行相关专业验收标准的规定。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4）工程质量的验收均应在施工单位自行检查评定的基础上进行。</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5）隐蔽工程在隐蔽前应由施工单位通知有关单位进行验收，并应形成验收文件。</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6）关系到植物成活的水、土、基质，涉及结构安全的试块、试件及有关材料，应按规定进行见证取样检测。</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23" w:name="_Toc93995911"/>
      <w:r>
        <w:rPr>
          <w:rFonts w:hint="eastAsia" w:ascii="仿宋_GB2312" w:eastAsia="仿宋_GB2312" w:hAnsiTheme="minorEastAsia"/>
          <w:b/>
          <w:bCs w:val="0"/>
          <w:kern w:val="2"/>
          <w:sz w:val="28"/>
          <w:szCs w:val="28"/>
        </w:rPr>
        <w:t>十七、质保期内的管理与养护</w:t>
      </w:r>
      <w:bookmarkEnd w:id="23"/>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17.1绿化施工的质保（管养）期应不少于一个生长季，宜为两年。</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17.2绿化栽植工程应编制养护管理计划，并按计划认真组织实施，养护计划至少应包括下列内容：</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1）及时灌溉、追肥、施肥；</w:t>
      </w:r>
      <w:r>
        <w:rPr>
          <w:rFonts w:ascii="仿宋_GB2312" w:eastAsia="仿宋_GB2312" w:hAnsiTheme="minorEastAsia"/>
          <w:sz w:val="28"/>
          <w:szCs w:val="28"/>
        </w:rPr>
        <w:t xml:space="preserve"> </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2）中耕除草，平整树台；</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3）加强病虫害观测，及时防治，控制突发性病虫害发生；</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4）草坪等应适时进行修剪；</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5）树木应及时剥芽、去蘖、疏枝整形；</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6）花坛、花境应及时清除残花败叶，做好水肥管理，确保植株生长健壮；</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7）绿地应保持整洁，及时清理枯枝、落叶、杂草、垃圾；</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8）加强支撑、绑扎及裹干措施，做好防强风、干热、洪涝、越冬防寒等工作。</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17.3对枯死、损坏、缺株的园林植物应及时更换或补栽，用于更换及补栽的植物材料应和原植株的种类、规格一致。除建设单位书面同意外，树冠缺失50%以上、生长不良等不符合设计要求的园林植物，无法人工或自然修复的，按枯死植物处置。</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rPr>
        <w:t>17.4禁用、限用剧毒（高毒、高残留）药剂。植物病虫害防治不得污染水源，水生植物病虫害防治不得使用农药。</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17.5经处理用作基质、肥料、覆盖物的产品，应经过杀虫、除菌措施，避免病虫害扩散。</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17.6绿化植物废弃物按规定进行收集运输处置。应收集至专用的园林绿化废弃物处理点，并分类堆放，并采取控制虫害迁飞扩散措施。</w:t>
      </w:r>
    </w:p>
    <w:p>
      <w:pPr>
        <w:pStyle w:val="4"/>
        <w:suppressLineNumbers/>
        <w:adjustRightInd w:val="0"/>
        <w:snapToGrid w:val="0"/>
        <w:spacing w:before="0" w:after="0" w:line="500" w:lineRule="exact"/>
        <w:ind w:firstLine="562" w:firstLineChars="200"/>
        <w:rPr>
          <w:rFonts w:ascii="仿宋_GB2312" w:eastAsia="仿宋_GB2312" w:hAnsiTheme="minorEastAsia"/>
          <w:sz w:val="28"/>
          <w:szCs w:val="28"/>
        </w:rPr>
      </w:pPr>
      <w:bookmarkStart w:id="24" w:name="_Toc93995913"/>
      <w:r>
        <w:rPr>
          <w:rFonts w:hint="eastAsia" w:ascii="仿宋_GB2312" w:eastAsia="仿宋_GB2312" w:hAnsiTheme="minorEastAsia"/>
          <w:sz w:val="28"/>
          <w:szCs w:val="28"/>
        </w:rPr>
        <w:t>十八、本规范用词说明</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18.1．为便于在执行本规范条文时区别对待，对要求严格程度不同的用词说明如下：</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1）表示很严格，非这样做不可的用词：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正面词采用“必须”，反面词采用“严禁”。</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2)表示严格，在正常情况下均应这样做的用词：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正面词采用“应”，反面词采用“不应”或“不得”。</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3)表示允许稍有选择，在条件许可时首先应这样做的用词：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正面词采用“宜”，反面词采用“不宜”，</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表示有选择，在一定条件下可以这样做的用词，采用“可”。</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18.2本规范中指明应按其他有关标准、规范执行的写法为“应符合……的规定”或“应按……执行”。</w:t>
      </w:r>
    </w:p>
    <w:p>
      <w:pPr>
        <w:spacing w:line="500" w:lineRule="exact"/>
        <w:rPr>
          <w:rFonts w:ascii="仿宋_GB2312" w:eastAsia="仿宋_GB2312"/>
          <w:sz w:val="28"/>
          <w:szCs w:val="28"/>
        </w:rPr>
      </w:pP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p>
    <w:p/>
    <w:p/>
    <w:p/>
    <w:p/>
    <w:p/>
    <w:p/>
    <w:p/>
    <w:p/>
    <w:p/>
    <w:p/>
    <w:p/>
    <w:p/>
    <w:bookmarkEnd w:id="24"/>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附表2.1</w:t>
      </w:r>
      <w:r>
        <w:rPr>
          <w:rFonts w:hint="eastAsia" w:ascii="仿宋_GB2312" w:eastAsia="仿宋_GB2312" w:hAnsiTheme="minorEastAsia"/>
          <w:sz w:val="28"/>
          <w:szCs w:val="28"/>
        </w:rPr>
        <w:tab/>
      </w:r>
      <w:r>
        <w:rPr>
          <w:rFonts w:hint="eastAsia" w:ascii="仿宋_GB2312" w:eastAsia="仿宋_GB2312" w:hAnsiTheme="minorEastAsia"/>
          <w:sz w:val="28"/>
          <w:szCs w:val="28"/>
        </w:rPr>
        <w:t>设计各阶段所需图纸</w:t>
      </w:r>
    </w:p>
    <w:tbl>
      <w:tblPr>
        <w:tblStyle w:val="24"/>
        <w:tblW w:w="827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59"/>
        <w:gridCol w:w="3517"/>
        <w:gridCol w:w="1067"/>
        <w:gridCol w:w="1067"/>
        <w:gridCol w:w="106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3" w:hRule="atLeast"/>
          <w:jc w:val="center"/>
        </w:trPr>
        <w:tc>
          <w:tcPr>
            <w:tcW w:w="5076" w:type="dxa"/>
            <w:gridSpan w:val="2"/>
            <w:tcBorders>
              <w:tl2br w:val="single" w:color="auto" w:sz="4" w:space="0"/>
            </w:tcBorders>
            <w:vAlign w:val="center"/>
          </w:tcPr>
          <w:p>
            <w:pPr>
              <w:pStyle w:val="21"/>
              <w:suppressLineNumbers/>
              <w:adjustRightInd w:val="0"/>
              <w:snapToGrid w:val="0"/>
              <w:spacing w:before="0" w:beforeAutospacing="0" w:after="0" w:afterAutospacing="0" w:line="0" w:lineRule="atLeast"/>
              <w:ind w:firstLine="480" w:firstLineChars="200"/>
              <w:jc w:val="center"/>
              <w:rPr>
                <w:rFonts w:ascii="仿宋_GB2312" w:eastAsia="仿宋_GB2312" w:hAnsiTheme="minorEastAsia" w:cstheme="minorBidi"/>
                <w:kern w:val="2"/>
              </w:rPr>
            </w:pPr>
            <w:r>
              <w:rPr>
                <w:rFonts w:hint="eastAsia" w:ascii="仿宋_GB2312" w:eastAsia="仿宋_GB2312" w:hAnsiTheme="minorEastAsia" w:cstheme="minorBidi"/>
                <w:kern w:val="2"/>
              </w:rPr>
              <w:t>阶段</w:t>
            </w:r>
          </w:p>
          <w:p>
            <w:pPr>
              <w:pStyle w:val="21"/>
              <w:suppressLineNumbers/>
              <w:adjustRightInd w:val="0"/>
              <w:snapToGrid w:val="0"/>
              <w:spacing w:before="0" w:beforeAutospacing="0" w:after="0" w:afterAutospacing="0" w:line="0" w:lineRule="atLeast"/>
              <w:ind w:firstLine="480" w:firstLineChars="200"/>
              <w:rPr>
                <w:rFonts w:ascii="仿宋_GB2312" w:eastAsia="仿宋_GB2312" w:hAnsiTheme="minorEastAsia" w:cstheme="minorBidi"/>
                <w:kern w:val="2"/>
              </w:rPr>
            </w:pPr>
            <w:r>
              <w:rPr>
                <w:rFonts w:hint="eastAsia" w:ascii="仿宋_GB2312" w:eastAsia="仿宋_GB2312" w:hAnsiTheme="minorEastAsia" w:cstheme="minorBidi"/>
                <w:kern w:val="2"/>
              </w:rPr>
              <w:t>内容</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方案</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扩初</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施工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前期调研</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现状分析</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上位规划解读</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景观方案中各类分析图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总图</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索引总平面图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定位放线总平面图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竖向平面图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铺装平面图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户外家具、标识布置平面图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管道综合总平面图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效果图</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鸟瞰图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透视图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景观</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景观给水排水设计说明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景观给水排水施工图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景观电气设计说明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景观电气施工图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种植</w:t>
            </w: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种植设计总平面</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苗木表</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建筑及小品</w:t>
            </w: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建筑方案图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建筑结构总设计说明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结构施工图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建筑给水排水设计说明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建筑给水排水施工图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建筑电气说明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建筑电气施工图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大样图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平、立、剖断面</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bl>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附表2.2</w:t>
      </w:r>
      <w:r>
        <w:rPr>
          <w:rFonts w:hint="eastAsia" w:ascii="仿宋_GB2312" w:eastAsia="仿宋_GB2312" w:hAnsiTheme="minorEastAsia"/>
          <w:sz w:val="28"/>
          <w:szCs w:val="28"/>
        </w:rPr>
        <w:tab/>
      </w:r>
      <w:r>
        <w:rPr>
          <w:rFonts w:hint="eastAsia" w:ascii="仿宋_GB2312" w:eastAsia="仿宋_GB2312" w:hAnsiTheme="minorEastAsia"/>
          <w:sz w:val="28"/>
          <w:szCs w:val="28"/>
        </w:rPr>
        <w:t>绿化方案经济技术指标表</w:t>
      </w:r>
    </w:p>
    <w:tbl>
      <w:tblPr>
        <w:tblStyle w:val="24"/>
        <w:tblW w:w="8222"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10"/>
        <w:gridCol w:w="567"/>
        <w:gridCol w:w="2551"/>
        <w:gridCol w:w="1418"/>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项目类型</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面积（</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w:t>
            </w:r>
          </w:p>
        </w:tc>
        <w:tc>
          <w:tcPr>
            <w:tcW w:w="1276"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占地比例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绿化面积</w:t>
            </w:r>
          </w:p>
        </w:tc>
        <w:tc>
          <w:tcPr>
            <w:tcW w:w="311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总绿化面积</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restart"/>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2551"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立体绿化</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551"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屋顶绿化</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建筑面积</w:t>
            </w:r>
          </w:p>
        </w:tc>
        <w:tc>
          <w:tcPr>
            <w:tcW w:w="311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总建筑面积</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2551"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管理建筑</w:t>
            </w:r>
          </w:p>
        </w:tc>
        <w:tc>
          <w:tcPr>
            <w:tcW w:w="1418"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551"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游憩建筑和服务建筑</w:t>
            </w:r>
          </w:p>
        </w:tc>
        <w:tc>
          <w:tcPr>
            <w:tcW w:w="1418"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上人平屋顶面积</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建筑占地面积</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园路及铺装场地</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水域面积</w:t>
            </w:r>
          </w:p>
        </w:tc>
        <w:tc>
          <w:tcPr>
            <w:tcW w:w="4536" w:type="dxa"/>
            <w:gridSpan w:val="3"/>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绿地边界周长</w:t>
            </w:r>
          </w:p>
        </w:tc>
        <w:tc>
          <w:tcPr>
            <w:tcW w:w="4536" w:type="dxa"/>
            <w:gridSpan w:val="3"/>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bl>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附表2.3绿化施工图植物种类数、大树数量及比例</w:t>
      </w:r>
    </w:p>
    <w:tbl>
      <w:tblPr>
        <w:tblStyle w:val="24"/>
        <w:tblW w:w="8222"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43"/>
        <w:gridCol w:w="425"/>
        <w:gridCol w:w="1843"/>
        <w:gridCol w:w="567"/>
        <w:gridCol w:w="850"/>
        <w:gridCol w:w="1418"/>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0"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植物类型</w:t>
            </w:r>
          </w:p>
        </w:tc>
        <w:tc>
          <w:tcPr>
            <w:tcW w:w="2835" w:type="dxa"/>
            <w:gridSpan w:val="3"/>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规格</w:t>
            </w:r>
          </w:p>
        </w:tc>
        <w:tc>
          <w:tcPr>
            <w:tcW w:w="850" w:type="dxa"/>
            <w:tcBorders>
              <w:right w:val="single" w:color="auto" w:sz="4" w:space="0"/>
            </w:tcBorders>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数量</w:t>
            </w:r>
          </w:p>
        </w:tc>
        <w:tc>
          <w:tcPr>
            <w:tcW w:w="1418" w:type="dxa"/>
            <w:tcBorders>
              <w:left w:val="single" w:color="auto" w:sz="4" w:space="0"/>
            </w:tcBorders>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占总数量比（%）</w:t>
            </w:r>
          </w:p>
        </w:tc>
        <w:tc>
          <w:tcPr>
            <w:tcW w:w="1276"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植物品种数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大、中乔木</w:t>
            </w:r>
          </w:p>
        </w:tc>
        <w:tc>
          <w:tcPr>
            <w:tcW w:w="226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总数</w:t>
            </w:r>
          </w:p>
        </w:tc>
        <w:tc>
          <w:tcPr>
            <w:tcW w:w="567"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1843"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胸径＞15cm的速生树种</w:t>
            </w:r>
          </w:p>
        </w:tc>
        <w:tc>
          <w:tcPr>
            <w:tcW w:w="567" w:type="dxa"/>
            <w:tcBorders>
              <w:left w:val="single" w:color="auto" w:sz="4" w:space="0"/>
            </w:tcBorders>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420"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胸径＞12cm的慢生树种</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675"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落叶树</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555"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常绿树</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450"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小乔木</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灌木</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竹类</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非草坪地被</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草坪</w:t>
            </w:r>
          </w:p>
        </w:tc>
        <w:tc>
          <w:tcPr>
            <w:tcW w:w="5103" w:type="dxa"/>
            <w:gridSpan w:val="5"/>
            <w:vAlign w:val="center"/>
          </w:tcPr>
          <w:p>
            <w:pPr>
              <w:suppressLineNumbers/>
              <w:adjustRightInd w:val="0"/>
              <w:snapToGrid w:val="0"/>
              <w:spacing w:line="0" w:lineRule="atLeast"/>
              <w:ind w:firstLine="480" w:firstLineChars="20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w:t>
            </w: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bl>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sectPr>
      <w:pgSz w:w="11907" w:h="16839"/>
      <w:pgMar w:top="1814" w:right="1531" w:bottom="1985" w:left="1531" w:header="1418" w:footer="1134" w:gutter="0"/>
      <w:pgNumType w:start="1"/>
      <w:cols w:space="84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lZGRmMWYwODBiMGYwZDljZDQ4OTIyZDM3MTJlYTEifQ=="/>
  </w:docVars>
  <w:rsids>
    <w:rsidRoot w:val="005A3F02"/>
    <w:rsid w:val="000054C7"/>
    <w:rsid w:val="00011B1D"/>
    <w:rsid w:val="00024FC9"/>
    <w:rsid w:val="000430DF"/>
    <w:rsid w:val="00044B71"/>
    <w:rsid w:val="00063213"/>
    <w:rsid w:val="00071C3E"/>
    <w:rsid w:val="00087384"/>
    <w:rsid w:val="000A07D8"/>
    <w:rsid w:val="000A1F85"/>
    <w:rsid w:val="000A452B"/>
    <w:rsid w:val="000D65EB"/>
    <w:rsid w:val="0010457E"/>
    <w:rsid w:val="00115062"/>
    <w:rsid w:val="00125B58"/>
    <w:rsid w:val="00130CD1"/>
    <w:rsid w:val="001404B3"/>
    <w:rsid w:val="001434CE"/>
    <w:rsid w:val="0015332B"/>
    <w:rsid w:val="00174332"/>
    <w:rsid w:val="00183AA9"/>
    <w:rsid w:val="00183F44"/>
    <w:rsid w:val="00185FA1"/>
    <w:rsid w:val="001A417F"/>
    <w:rsid w:val="001A6A23"/>
    <w:rsid w:val="001B36C3"/>
    <w:rsid w:val="001C4E53"/>
    <w:rsid w:val="001E491A"/>
    <w:rsid w:val="001E5D6A"/>
    <w:rsid w:val="001F0088"/>
    <w:rsid w:val="001F29FB"/>
    <w:rsid w:val="001F6DDB"/>
    <w:rsid w:val="002001F4"/>
    <w:rsid w:val="00213898"/>
    <w:rsid w:val="0021719C"/>
    <w:rsid w:val="00222506"/>
    <w:rsid w:val="00234601"/>
    <w:rsid w:val="0024678E"/>
    <w:rsid w:val="00265755"/>
    <w:rsid w:val="002B2F67"/>
    <w:rsid w:val="002C3309"/>
    <w:rsid w:val="002D2593"/>
    <w:rsid w:val="002E69B9"/>
    <w:rsid w:val="003004AF"/>
    <w:rsid w:val="0030284F"/>
    <w:rsid w:val="00304805"/>
    <w:rsid w:val="003065E6"/>
    <w:rsid w:val="00315210"/>
    <w:rsid w:val="00316569"/>
    <w:rsid w:val="00324CF1"/>
    <w:rsid w:val="00330356"/>
    <w:rsid w:val="00330A2D"/>
    <w:rsid w:val="003539D7"/>
    <w:rsid w:val="003755B3"/>
    <w:rsid w:val="003860BE"/>
    <w:rsid w:val="003A7877"/>
    <w:rsid w:val="003B1304"/>
    <w:rsid w:val="003B7657"/>
    <w:rsid w:val="003D5535"/>
    <w:rsid w:val="003F00FB"/>
    <w:rsid w:val="00414680"/>
    <w:rsid w:val="00416D34"/>
    <w:rsid w:val="00422A7D"/>
    <w:rsid w:val="00422C2B"/>
    <w:rsid w:val="00427B6E"/>
    <w:rsid w:val="00455001"/>
    <w:rsid w:val="00477733"/>
    <w:rsid w:val="0049442E"/>
    <w:rsid w:val="004978E2"/>
    <w:rsid w:val="004B3237"/>
    <w:rsid w:val="004B57BE"/>
    <w:rsid w:val="004B728F"/>
    <w:rsid w:val="004C0BFD"/>
    <w:rsid w:val="004F6ACC"/>
    <w:rsid w:val="00541256"/>
    <w:rsid w:val="005464BC"/>
    <w:rsid w:val="00563186"/>
    <w:rsid w:val="0056522E"/>
    <w:rsid w:val="0058735A"/>
    <w:rsid w:val="005A3F02"/>
    <w:rsid w:val="005A4383"/>
    <w:rsid w:val="005D2A07"/>
    <w:rsid w:val="005D31CC"/>
    <w:rsid w:val="005F7A9D"/>
    <w:rsid w:val="00625B4B"/>
    <w:rsid w:val="00626043"/>
    <w:rsid w:val="00632184"/>
    <w:rsid w:val="006509C2"/>
    <w:rsid w:val="006540FC"/>
    <w:rsid w:val="00666FF2"/>
    <w:rsid w:val="00670A53"/>
    <w:rsid w:val="00673984"/>
    <w:rsid w:val="006B41AE"/>
    <w:rsid w:val="006B672C"/>
    <w:rsid w:val="006D29DA"/>
    <w:rsid w:val="006D48E7"/>
    <w:rsid w:val="006D7B7A"/>
    <w:rsid w:val="006F0ADA"/>
    <w:rsid w:val="006F45A9"/>
    <w:rsid w:val="006F5066"/>
    <w:rsid w:val="00706C44"/>
    <w:rsid w:val="00716D9B"/>
    <w:rsid w:val="007261C6"/>
    <w:rsid w:val="007366B4"/>
    <w:rsid w:val="007570BB"/>
    <w:rsid w:val="00762F2B"/>
    <w:rsid w:val="00783506"/>
    <w:rsid w:val="00785D1B"/>
    <w:rsid w:val="00797611"/>
    <w:rsid w:val="007A54F8"/>
    <w:rsid w:val="007A695E"/>
    <w:rsid w:val="007A7B56"/>
    <w:rsid w:val="007C0481"/>
    <w:rsid w:val="007C7853"/>
    <w:rsid w:val="007D371A"/>
    <w:rsid w:val="007E54BA"/>
    <w:rsid w:val="007F3515"/>
    <w:rsid w:val="007F3F80"/>
    <w:rsid w:val="007F741D"/>
    <w:rsid w:val="007F7E3B"/>
    <w:rsid w:val="00815905"/>
    <w:rsid w:val="00816018"/>
    <w:rsid w:val="00825DB0"/>
    <w:rsid w:val="008261D0"/>
    <w:rsid w:val="008271BC"/>
    <w:rsid w:val="00832A4C"/>
    <w:rsid w:val="00842EC7"/>
    <w:rsid w:val="00854AA7"/>
    <w:rsid w:val="008716ED"/>
    <w:rsid w:val="00876D75"/>
    <w:rsid w:val="00881EF9"/>
    <w:rsid w:val="00884FE4"/>
    <w:rsid w:val="00892DF1"/>
    <w:rsid w:val="008A584D"/>
    <w:rsid w:val="008B4E48"/>
    <w:rsid w:val="008E30B3"/>
    <w:rsid w:val="008E4EA8"/>
    <w:rsid w:val="008F5C05"/>
    <w:rsid w:val="00901098"/>
    <w:rsid w:val="0090144C"/>
    <w:rsid w:val="00927CBD"/>
    <w:rsid w:val="00927E1B"/>
    <w:rsid w:val="00943E46"/>
    <w:rsid w:val="009536DC"/>
    <w:rsid w:val="00955C57"/>
    <w:rsid w:val="00965479"/>
    <w:rsid w:val="00970A74"/>
    <w:rsid w:val="009725F9"/>
    <w:rsid w:val="009A36AC"/>
    <w:rsid w:val="009C14A7"/>
    <w:rsid w:val="009C734C"/>
    <w:rsid w:val="009D18DB"/>
    <w:rsid w:val="009E1CFF"/>
    <w:rsid w:val="009E7477"/>
    <w:rsid w:val="009F0228"/>
    <w:rsid w:val="009F4279"/>
    <w:rsid w:val="00A010A6"/>
    <w:rsid w:val="00A11E59"/>
    <w:rsid w:val="00A16FE7"/>
    <w:rsid w:val="00A40D00"/>
    <w:rsid w:val="00A442B0"/>
    <w:rsid w:val="00A52A3E"/>
    <w:rsid w:val="00A64C8E"/>
    <w:rsid w:val="00A9464C"/>
    <w:rsid w:val="00A97D5A"/>
    <w:rsid w:val="00AA05B9"/>
    <w:rsid w:val="00AA4EE8"/>
    <w:rsid w:val="00AA78BE"/>
    <w:rsid w:val="00AB0044"/>
    <w:rsid w:val="00AC0C45"/>
    <w:rsid w:val="00AC4BEE"/>
    <w:rsid w:val="00AD0C74"/>
    <w:rsid w:val="00AF2445"/>
    <w:rsid w:val="00B02D95"/>
    <w:rsid w:val="00B11D2D"/>
    <w:rsid w:val="00B260A9"/>
    <w:rsid w:val="00B511DF"/>
    <w:rsid w:val="00B633DD"/>
    <w:rsid w:val="00B64E8D"/>
    <w:rsid w:val="00B823D8"/>
    <w:rsid w:val="00BA053D"/>
    <w:rsid w:val="00BB0839"/>
    <w:rsid w:val="00BB4D29"/>
    <w:rsid w:val="00BC1C09"/>
    <w:rsid w:val="00BF49B2"/>
    <w:rsid w:val="00C06145"/>
    <w:rsid w:val="00C24A58"/>
    <w:rsid w:val="00C33527"/>
    <w:rsid w:val="00C526EB"/>
    <w:rsid w:val="00C540FC"/>
    <w:rsid w:val="00C72025"/>
    <w:rsid w:val="00CB64A3"/>
    <w:rsid w:val="00CC53FD"/>
    <w:rsid w:val="00CC7962"/>
    <w:rsid w:val="00CF27FA"/>
    <w:rsid w:val="00D06FA7"/>
    <w:rsid w:val="00D13BA0"/>
    <w:rsid w:val="00D155CD"/>
    <w:rsid w:val="00D51D90"/>
    <w:rsid w:val="00D7299A"/>
    <w:rsid w:val="00D75743"/>
    <w:rsid w:val="00D81490"/>
    <w:rsid w:val="00D835E3"/>
    <w:rsid w:val="00D90ECC"/>
    <w:rsid w:val="00DA5838"/>
    <w:rsid w:val="00DD7B79"/>
    <w:rsid w:val="00DF3391"/>
    <w:rsid w:val="00E054AB"/>
    <w:rsid w:val="00E24E5E"/>
    <w:rsid w:val="00E45403"/>
    <w:rsid w:val="00E57E0B"/>
    <w:rsid w:val="00E65C18"/>
    <w:rsid w:val="00E71BA7"/>
    <w:rsid w:val="00E745F2"/>
    <w:rsid w:val="00E74C2D"/>
    <w:rsid w:val="00E764E9"/>
    <w:rsid w:val="00E8379C"/>
    <w:rsid w:val="00E874AF"/>
    <w:rsid w:val="00E92F74"/>
    <w:rsid w:val="00EB7726"/>
    <w:rsid w:val="00F11DD6"/>
    <w:rsid w:val="00F1395F"/>
    <w:rsid w:val="00F13E0E"/>
    <w:rsid w:val="00F21935"/>
    <w:rsid w:val="00F5141F"/>
    <w:rsid w:val="00F56C56"/>
    <w:rsid w:val="00F65E6E"/>
    <w:rsid w:val="00F67761"/>
    <w:rsid w:val="00F70AD8"/>
    <w:rsid w:val="00F81E52"/>
    <w:rsid w:val="00F958CA"/>
    <w:rsid w:val="00FA1C55"/>
    <w:rsid w:val="00FC35AD"/>
    <w:rsid w:val="00FD6F02"/>
    <w:rsid w:val="00FE5A3A"/>
    <w:rsid w:val="1C6572F3"/>
    <w:rsid w:val="32067BA7"/>
    <w:rsid w:val="7AB12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Cs/>
      <w:kern w:val="44"/>
      <w:sz w:val="24"/>
      <w:szCs w:val="44"/>
    </w:rPr>
  </w:style>
  <w:style w:type="paragraph" w:styleId="3">
    <w:name w:val="heading 2"/>
    <w:basedOn w:val="1"/>
    <w:next w:val="1"/>
    <w:link w:val="3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25">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style>
  <w:style w:type="paragraph" w:styleId="6">
    <w:name w:val="annotation text"/>
    <w:basedOn w:val="1"/>
    <w:link w:val="36"/>
    <w:semiHidden/>
    <w:unhideWhenUsed/>
    <w:qFormat/>
    <w:uiPriority w:val="99"/>
    <w:pPr>
      <w:jc w:val="left"/>
    </w:pPr>
  </w:style>
  <w:style w:type="paragraph" w:styleId="7">
    <w:name w:val="toc 5"/>
    <w:basedOn w:val="1"/>
    <w:next w:val="1"/>
    <w:unhideWhenUsed/>
    <w:qFormat/>
    <w:uiPriority w:val="39"/>
    <w:pPr>
      <w:ind w:left="1680" w:leftChars="800"/>
    </w:pPr>
  </w:style>
  <w:style w:type="paragraph" w:styleId="8">
    <w:name w:val="toc 3"/>
    <w:basedOn w:val="1"/>
    <w:next w:val="1"/>
    <w:unhideWhenUsed/>
    <w:qFormat/>
    <w:uiPriority w:val="39"/>
    <w:pPr>
      <w:widowControl/>
      <w:spacing w:after="100" w:line="276" w:lineRule="auto"/>
      <w:ind w:left="440"/>
      <w:jc w:val="left"/>
    </w:pPr>
    <w:rPr>
      <w:kern w:val="0"/>
      <w:sz w:val="22"/>
    </w:rPr>
  </w:style>
  <w:style w:type="paragraph" w:styleId="9">
    <w:name w:val="toc 8"/>
    <w:basedOn w:val="1"/>
    <w:next w:val="1"/>
    <w:unhideWhenUsed/>
    <w:qFormat/>
    <w:uiPriority w:val="39"/>
    <w:pPr>
      <w:ind w:left="2940" w:leftChars="1400"/>
    </w:pPr>
  </w:style>
  <w:style w:type="paragraph" w:styleId="10">
    <w:name w:val="Date"/>
    <w:basedOn w:val="1"/>
    <w:next w:val="1"/>
    <w:link w:val="37"/>
    <w:semiHidden/>
    <w:unhideWhenUsed/>
    <w:qFormat/>
    <w:uiPriority w:val="99"/>
    <w:pPr>
      <w:ind w:left="100" w:leftChars="2500"/>
    </w:pPr>
  </w:style>
  <w:style w:type="paragraph" w:styleId="11">
    <w:name w:val="endnote text"/>
    <w:basedOn w:val="1"/>
    <w:link w:val="38"/>
    <w:semiHidden/>
    <w:unhideWhenUsed/>
    <w:qFormat/>
    <w:uiPriority w:val="99"/>
    <w:pPr>
      <w:snapToGrid w:val="0"/>
      <w:jc w:val="left"/>
    </w:pPr>
  </w:style>
  <w:style w:type="paragraph" w:styleId="12">
    <w:name w:val="Balloon Text"/>
    <w:basedOn w:val="1"/>
    <w:link w:val="39"/>
    <w:semiHidden/>
    <w:unhideWhenUsed/>
    <w:qFormat/>
    <w:uiPriority w:val="99"/>
    <w:rPr>
      <w:sz w:val="18"/>
      <w:szCs w:val="18"/>
    </w:rPr>
  </w:style>
  <w:style w:type="paragraph" w:styleId="13">
    <w:name w:val="footer"/>
    <w:basedOn w:val="1"/>
    <w:link w:val="40"/>
    <w:unhideWhenUsed/>
    <w:qFormat/>
    <w:uiPriority w:val="99"/>
    <w:pPr>
      <w:tabs>
        <w:tab w:val="center" w:pos="4153"/>
        <w:tab w:val="right" w:pos="8306"/>
      </w:tabs>
      <w:snapToGrid w:val="0"/>
      <w:jc w:val="left"/>
    </w:pPr>
    <w:rPr>
      <w:sz w:val="18"/>
      <w:szCs w:val="18"/>
    </w:rPr>
  </w:style>
  <w:style w:type="paragraph" w:styleId="14">
    <w:name w:val="header"/>
    <w:basedOn w:val="1"/>
    <w:link w:val="4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1134"/>
        <w:tab w:val="right" w:leader="dot" w:pos="6379"/>
      </w:tabs>
      <w:spacing w:after="100" w:line="276" w:lineRule="auto"/>
      <w:jc w:val="left"/>
    </w:pPr>
    <w:rPr>
      <w:kern w:val="0"/>
      <w:sz w:val="22"/>
    </w:rPr>
  </w:style>
  <w:style w:type="paragraph" w:styleId="16">
    <w:name w:val="toc 4"/>
    <w:basedOn w:val="1"/>
    <w:next w:val="1"/>
    <w:unhideWhenUsed/>
    <w:qFormat/>
    <w:uiPriority w:val="39"/>
    <w:pPr>
      <w:ind w:left="1260" w:leftChars="600"/>
    </w:pPr>
  </w:style>
  <w:style w:type="paragraph" w:styleId="17">
    <w:name w:val="footnote text"/>
    <w:basedOn w:val="1"/>
    <w:link w:val="42"/>
    <w:unhideWhenUsed/>
    <w:qFormat/>
    <w:uiPriority w:val="99"/>
    <w:pPr>
      <w:snapToGrid w:val="0"/>
      <w:jc w:val="left"/>
    </w:pPr>
    <w:rPr>
      <w:sz w:val="18"/>
      <w:szCs w:val="18"/>
    </w:rPr>
  </w:style>
  <w:style w:type="paragraph" w:styleId="18">
    <w:name w:val="toc 6"/>
    <w:basedOn w:val="1"/>
    <w:next w:val="1"/>
    <w:unhideWhenUsed/>
    <w:qFormat/>
    <w:uiPriority w:val="39"/>
    <w:pPr>
      <w:ind w:left="2100" w:leftChars="1000"/>
    </w:pPr>
  </w:style>
  <w:style w:type="paragraph" w:styleId="19">
    <w:name w:val="toc 2"/>
    <w:basedOn w:val="1"/>
    <w:next w:val="1"/>
    <w:unhideWhenUsed/>
    <w:qFormat/>
    <w:uiPriority w:val="39"/>
    <w:pPr>
      <w:widowControl/>
      <w:tabs>
        <w:tab w:val="right" w:leader="dot" w:pos="6379"/>
      </w:tabs>
      <w:spacing w:after="100" w:line="276" w:lineRule="auto"/>
      <w:jc w:val="left"/>
    </w:pPr>
    <w:rPr>
      <w:kern w:val="0"/>
      <w:sz w:val="22"/>
    </w:rPr>
  </w:style>
  <w:style w:type="paragraph" w:styleId="20">
    <w:name w:val="toc 9"/>
    <w:basedOn w:val="1"/>
    <w:next w:val="1"/>
    <w:unhideWhenUsed/>
    <w:qFormat/>
    <w:uiPriority w:val="39"/>
    <w:pPr>
      <w:ind w:left="3360" w:leftChars="1600"/>
    </w:pPr>
  </w:style>
  <w:style w:type="paragraph" w:styleId="2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2">
    <w:name w:val="annotation subject"/>
    <w:basedOn w:val="6"/>
    <w:next w:val="6"/>
    <w:link w:val="43"/>
    <w:semiHidden/>
    <w:unhideWhenUsed/>
    <w:qFormat/>
    <w:uiPriority w:val="99"/>
    <w:rPr>
      <w:b/>
      <w:bCs/>
    </w:rPr>
  </w:style>
  <w:style w:type="table" w:styleId="24">
    <w:name w:val="Table Grid"/>
    <w:basedOn w:val="23"/>
    <w:qFormat/>
    <w:uiPriority w:val="0"/>
    <w:rPr>
      <w:rFonts w:ascii="Times New Roman" w:hAnsi="Times New Roman" w:eastAsia="宋体" w:cs="Times New Roman"/>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endnote reference"/>
    <w:basedOn w:val="25"/>
    <w:semiHidden/>
    <w:unhideWhenUsed/>
    <w:qFormat/>
    <w:uiPriority w:val="99"/>
    <w:rPr>
      <w:vertAlign w:val="superscript"/>
    </w:rPr>
  </w:style>
  <w:style w:type="character" w:styleId="28">
    <w:name w:val="FollowedHyperlink"/>
    <w:basedOn w:val="25"/>
    <w:semiHidden/>
    <w:unhideWhenUsed/>
    <w:qFormat/>
    <w:uiPriority w:val="99"/>
    <w:rPr>
      <w:color w:val="800080" w:themeColor="followedHyperlink"/>
      <w:u w:val="single"/>
    </w:rPr>
  </w:style>
  <w:style w:type="character" w:styleId="29">
    <w:name w:val="Emphasis"/>
    <w:basedOn w:val="25"/>
    <w:qFormat/>
    <w:uiPriority w:val="20"/>
    <w:rPr>
      <w:i/>
      <w:iCs/>
    </w:rPr>
  </w:style>
  <w:style w:type="character" w:styleId="30">
    <w:name w:val="Hyperlink"/>
    <w:basedOn w:val="25"/>
    <w:unhideWhenUsed/>
    <w:qFormat/>
    <w:uiPriority w:val="99"/>
    <w:rPr>
      <w:color w:val="333333"/>
      <w:u w:val="none"/>
    </w:rPr>
  </w:style>
  <w:style w:type="character" w:styleId="31">
    <w:name w:val="annotation reference"/>
    <w:basedOn w:val="25"/>
    <w:semiHidden/>
    <w:unhideWhenUsed/>
    <w:qFormat/>
    <w:uiPriority w:val="99"/>
    <w:rPr>
      <w:sz w:val="21"/>
      <w:szCs w:val="21"/>
    </w:rPr>
  </w:style>
  <w:style w:type="character" w:styleId="32">
    <w:name w:val="footnote reference"/>
    <w:basedOn w:val="25"/>
    <w:semiHidden/>
    <w:unhideWhenUsed/>
    <w:qFormat/>
    <w:uiPriority w:val="99"/>
    <w:rPr>
      <w:vertAlign w:val="superscript"/>
    </w:rPr>
  </w:style>
  <w:style w:type="character" w:customStyle="1" w:styleId="33">
    <w:name w:val="标题 1 Char"/>
    <w:basedOn w:val="25"/>
    <w:link w:val="2"/>
    <w:qFormat/>
    <w:uiPriority w:val="9"/>
    <w:rPr>
      <w:bCs/>
      <w:kern w:val="44"/>
      <w:sz w:val="24"/>
      <w:szCs w:val="44"/>
    </w:rPr>
  </w:style>
  <w:style w:type="character" w:customStyle="1" w:styleId="34">
    <w:name w:val="标题 2 Char"/>
    <w:basedOn w:val="25"/>
    <w:link w:val="3"/>
    <w:qFormat/>
    <w:uiPriority w:val="9"/>
    <w:rPr>
      <w:rFonts w:ascii="宋体" w:hAnsi="宋体" w:eastAsia="宋体" w:cs="宋体"/>
      <w:b/>
      <w:bCs/>
      <w:kern w:val="0"/>
      <w:sz w:val="36"/>
      <w:szCs w:val="36"/>
    </w:rPr>
  </w:style>
  <w:style w:type="character" w:customStyle="1" w:styleId="35">
    <w:name w:val="标题 3 Char"/>
    <w:basedOn w:val="25"/>
    <w:link w:val="4"/>
    <w:qFormat/>
    <w:uiPriority w:val="9"/>
    <w:rPr>
      <w:b/>
      <w:bCs/>
      <w:sz w:val="32"/>
      <w:szCs w:val="32"/>
    </w:rPr>
  </w:style>
  <w:style w:type="character" w:customStyle="1" w:styleId="36">
    <w:name w:val="批注文字 Char"/>
    <w:basedOn w:val="25"/>
    <w:link w:val="6"/>
    <w:semiHidden/>
    <w:qFormat/>
    <w:uiPriority w:val="99"/>
  </w:style>
  <w:style w:type="character" w:customStyle="1" w:styleId="37">
    <w:name w:val="日期 Char"/>
    <w:basedOn w:val="25"/>
    <w:link w:val="10"/>
    <w:semiHidden/>
    <w:qFormat/>
    <w:uiPriority w:val="99"/>
  </w:style>
  <w:style w:type="character" w:customStyle="1" w:styleId="38">
    <w:name w:val="尾注文本 Char"/>
    <w:basedOn w:val="25"/>
    <w:link w:val="11"/>
    <w:semiHidden/>
    <w:qFormat/>
    <w:uiPriority w:val="99"/>
  </w:style>
  <w:style w:type="character" w:customStyle="1" w:styleId="39">
    <w:name w:val="批注框文本 Char"/>
    <w:basedOn w:val="25"/>
    <w:link w:val="12"/>
    <w:semiHidden/>
    <w:qFormat/>
    <w:uiPriority w:val="99"/>
    <w:rPr>
      <w:sz w:val="18"/>
      <w:szCs w:val="18"/>
    </w:rPr>
  </w:style>
  <w:style w:type="character" w:customStyle="1" w:styleId="40">
    <w:name w:val="页脚 Char"/>
    <w:basedOn w:val="25"/>
    <w:link w:val="13"/>
    <w:qFormat/>
    <w:uiPriority w:val="99"/>
    <w:rPr>
      <w:sz w:val="18"/>
      <w:szCs w:val="18"/>
    </w:rPr>
  </w:style>
  <w:style w:type="character" w:customStyle="1" w:styleId="41">
    <w:name w:val="页眉 Char"/>
    <w:basedOn w:val="25"/>
    <w:link w:val="14"/>
    <w:semiHidden/>
    <w:qFormat/>
    <w:uiPriority w:val="99"/>
    <w:rPr>
      <w:sz w:val="18"/>
      <w:szCs w:val="18"/>
    </w:rPr>
  </w:style>
  <w:style w:type="character" w:customStyle="1" w:styleId="42">
    <w:name w:val="脚注文本 Char"/>
    <w:basedOn w:val="25"/>
    <w:link w:val="17"/>
    <w:qFormat/>
    <w:uiPriority w:val="99"/>
    <w:rPr>
      <w:sz w:val="18"/>
      <w:szCs w:val="18"/>
    </w:rPr>
  </w:style>
  <w:style w:type="character" w:customStyle="1" w:styleId="43">
    <w:name w:val="批注主题 Char"/>
    <w:basedOn w:val="36"/>
    <w:link w:val="22"/>
    <w:semiHidden/>
    <w:qFormat/>
    <w:uiPriority w:val="99"/>
    <w:rPr>
      <w:b/>
      <w:bCs/>
    </w:rPr>
  </w:style>
  <w:style w:type="character" w:customStyle="1" w:styleId="44">
    <w:name w:val="headline-1-index"/>
    <w:basedOn w:val="25"/>
    <w:qFormat/>
    <w:uiPriority w:val="0"/>
  </w:style>
  <w:style w:type="character" w:customStyle="1" w:styleId="45">
    <w:name w:val="headline-content"/>
    <w:basedOn w:val="25"/>
    <w:qFormat/>
    <w:uiPriority w:val="0"/>
  </w:style>
  <w:style w:type="paragraph" w:customStyle="1" w:styleId="46">
    <w:name w:val="z-catalog-i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47">
    <w:name w:val="catalog-item-index1"/>
    <w:basedOn w:val="25"/>
    <w:qFormat/>
    <w:uiPriority w:val="0"/>
  </w:style>
  <w:style w:type="paragraph" w:styleId="48">
    <w:name w:val="List Paragraph"/>
    <w:basedOn w:val="1"/>
    <w:qFormat/>
    <w:uiPriority w:val="34"/>
    <w:pPr>
      <w:ind w:firstLine="420" w:firstLineChars="200"/>
    </w:pPr>
    <w:rPr>
      <w:rFonts w:ascii="Calibri" w:hAnsi="Calibri" w:eastAsia="宋体" w:cs="Times New Roman"/>
    </w:rPr>
  </w:style>
  <w:style w:type="paragraph" w:customStyle="1" w:styleId="49">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50">
    <w:name w:val="ss2"/>
    <w:basedOn w:val="25"/>
    <w:qFormat/>
    <w:uiPriority w:val="0"/>
  </w:style>
  <w:style w:type="character" w:customStyle="1" w:styleId="51">
    <w:name w:val="doc_title"/>
    <w:basedOn w:val="25"/>
    <w:qFormat/>
    <w:uiPriority w:val="0"/>
  </w:style>
  <w:style w:type="character" w:customStyle="1" w:styleId="52">
    <w:name w:val="fw2"/>
    <w:basedOn w:val="25"/>
    <w:qFormat/>
    <w:uiPriority w:val="0"/>
  </w:style>
  <w:style w:type="character" w:customStyle="1" w:styleId="53">
    <w:name w:val="style7"/>
    <w:basedOn w:val="25"/>
    <w:qFormat/>
    <w:uiPriority w:val="0"/>
  </w:style>
  <w:style w:type="paragraph" w:customStyle="1" w:styleId="54">
    <w:name w:val="ha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5">
    <w:name w:val="style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6">
    <w:name w:val="layui-this"/>
    <w:basedOn w:val="25"/>
    <w:qFormat/>
    <w:uiPriority w:val="0"/>
    <w:rPr>
      <w:bdr w:val="single" w:color="EEEEEE" w:sz="6" w:space="0"/>
      <w:shd w:val="clear" w:color="auto" w:fill="FFFFFF"/>
    </w:rPr>
  </w:style>
  <w:style w:type="character" w:customStyle="1" w:styleId="57">
    <w:name w:val="layui-laypage-curr"/>
    <w:basedOn w:val="25"/>
    <w:qFormat/>
    <w:uiPriority w:val="0"/>
  </w:style>
  <w:style w:type="character" w:customStyle="1" w:styleId="58">
    <w:name w:val="first-child"/>
    <w:basedOn w:val="25"/>
    <w:qFormat/>
    <w:uiPriority w:val="0"/>
  </w:style>
  <w:style w:type="character" w:customStyle="1" w:styleId="59">
    <w:name w:val="layui-this2"/>
    <w:basedOn w:val="25"/>
    <w:qFormat/>
    <w:uiPriority w:val="0"/>
    <w:rPr>
      <w:bdr w:val="single" w:color="EEEEEE" w:sz="6" w:space="0"/>
      <w:shd w:val="clear" w:color="auto" w:fill="FFFFFF"/>
    </w:rPr>
  </w:style>
  <w:style w:type="paragraph" w:customStyle="1" w:styleId="60">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61">
    <w:name w:val="前言、引言标题"/>
    <w:next w:val="1"/>
    <w:qFormat/>
    <w:uiPriority w:val="0"/>
    <w:pPr>
      <w:keepNext/>
      <w:pageBreakBefore/>
      <w:shd w:val="clear" w:color="FFFFFF" w:fill="FFFFFF"/>
      <w:spacing w:before="640" w:after="560"/>
      <w:jc w:val="center"/>
      <w:outlineLvl w:val="0"/>
    </w:pPr>
    <w:rPr>
      <w:rFonts w:ascii="黑体" w:hAnsi="Calibri" w:eastAsia="黑体" w:cs="Times New Roman"/>
      <w:kern w:val="0"/>
      <w:sz w:val="32"/>
      <w:szCs w:val="20"/>
      <w:lang w:val="en-US" w:eastAsia="zh-CN" w:bidi="ar-SA"/>
    </w:rPr>
  </w:style>
  <w:style w:type="paragraph" w:customStyle="1" w:styleId="62">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b/>
      <w:color w:val="366091" w:themeColor="accent1" w:themeShade="BF"/>
      <w:kern w:val="0"/>
      <w:sz w:val="28"/>
      <w:szCs w:val="28"/>
    </w:rPr>
  </w:style>
  <w:style w:type="paragraph" w:customStyle="1" w:styleId="63">
    <w:name w:val="一级条标题"/>
    <w:next w:val="1"/>
    <w:qFormat/>
    <w:uiPriority w:val="0"/>
    <w:pPr>
      <w:spacing w:beforeLines="50" w:afterLines="50"/>
      <w:outlineLvl w:val="2"/>
    </w:pPr>
    <w:rPr>
      <w:rFonts w:ascii="黑体" w:hAnsi="Calibri" w:eastAsia="黑体" w:cs="Times New Roman"/>
      <w:kern w:val="0"/>
      <w:sz w:val="21"/>
      <w:szCs w:val="21"/>
      <w:lang w:val="en-US" w:eastAsia="zh-CN" w:bidi="ar-SA"/>
    </w:rPr>
  </w:style>
  <w:style w:type="character" w:customStyle="1" w:styleId="64">
    <w:name w:val="apple-converted-space"/>
    <w:basedOn w:val="2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20</Pages>
  <Words>10002</Words>
  <Characters>10721</Characters>
  <Lines>82</Lines>
  <Paragraphs>23</Paragraphs>
  <TotalTime>970</TotalTime>
  <ScaleCrop>false</ScaleCrop>
  <LinksUpToDate>false</LinksUpToDate>
  <CharactersWithSpaces>10834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2022-06-27T05:14:00Z</dcterms:created>
  <dc:creator>hp</dc:creator>
  <cp:lastModifiedBy>黄晶</cp:lastModifiedBy>
  <dcterms:modified xsi:type="dcterms:W3CDTF">2022-07-12T03:01:17Z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7BB08D15553E48A78DBF7FEF28DB2B51</vt:lpwstr>
  </property>
</Properties>
</file>