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2021年度</w:t>
              <w:br w:type="textWrapping"/>
              <w:t/>
            </w:r>
            <w:r>
              <w:rPr>
                <w:rFonts w:ascii="宋体" w:hAnsi="宋体" w:cs="宋体" w:eastAsia="宋体"/>
                <w:b w:val="true"/>
                <w:sz w:val="52"/>
              </w:rPr>
              <w:t>常州市文化广电和旅游局</w:t>
            </w:r>
            <w:r>
              <w:rPr>
                <w:rFonts w:ascii="宋体" w:hAnsi="宋体" w:cs="宋体" w:eastAsia="宋体"/>
                <w:b w:val="true"/>
                <w:sz w:val="52"/>
              </w:rPr>
              <w:t xml:space="preserve"></w:t>
              <w:br w:type="textWrapping"/>
              <w:t>部门决算公开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部门</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2021</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2021年度</w:t>
      </w:r>
      <w:r>
        <w:rPr>
          <w:rFonts w:ascii="黑体" w:hAnsi="黑体" w:cs="黑体" w:eastAsia="黑体"/>
        </w:rPr>
        <w:t>部门</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2021年度</w:t>
      </w:r>
      <w:r>
        <w:rPr>
          <w:rFonts w:ascii="黑体" w:hAnsi="黑体" w:cs="黑体" w:eastAsia="黑体"/>
        </w:rPr>
        <w:t>部门</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部门</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（一）研究拟订全市文化、广播电视、旅游政策措施，依法组织起草有关地方性法规、规章草案和政策文件。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（二）统筹指导全市文化事业、文化产业、广播电视和旅游业发展，拟订发展规划并组织实施，推进文化和旅游融合发展，推进文化和旅游体制机制改革。</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（三）指导、管理全市文艺事业，指导艺术创作生产，扶持体现社会主义核心价值观、具有导向性、代表性、示范性的文艺作品，推动各门类艺术、各艺术品种发展。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（四）负责全市公共文化事业发展，推进全市公共文化服务体系建设和旅游公共服务体系建设，深入实施文化和旅游惠民工程，统筹推进基本公共文化服务标准化、均等化。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（五）指导、推进全市文化和旅游科技创新发展，推进文化和旅游行业信息化、标准化建设，推进智慧旅游发展。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（六）负责全市文化和旅游资源的普查、挖掘、评估、整合、开发等工作，指导、协调全市文化和旅游产业发展，指导、监督全市文化旅游重点基础设施建设。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（七）管理全市重大文化和旅游活动，组织全市旅游整体形象推广和品牌建设，促进文化产业、旅游产业市场推广和对外合作，制定全市旅游市场开发战略并组织实施，指导、推进全域旅游。</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指导全市文化和旅游市场发展，对全市文化和旅游经营、服务质量进行监管，推进文化和旅游行业信用体系建设，指导全市文化市场综合执法，依法规范文化和旅游市场，负责文化、旅游安全的综合协调和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（九）负责全市非物质文化遗产保护，推动非物质文化遗产的保护、传承、普及、弘扬和振兴。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综合管理全市广播电视事业，加强广播电视阵地管理，指导、监督广播电视重点基础设施建设，负责对各类广播电视机构进行业务指导和行业监管，监督管理、审查广播电视节目、网络视听节目的内容和质量，负责对广播电视节目传输覆盖、监测和安全播出进行监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（十一）指导、推进全市文物事业发展，组织文物资源调查，指导、协调文物保护利用工作，组织、指导文物考古工作，负责全市博物馆纪念馆监督管理工作。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（十二）承办市委、市政府交办的其他事项。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部门</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r>
        <w:rPr>
          <w:rFonts w:hint="eastAsia" w:ascii="仿宋" w:hAnsi="仿宋" w:eastAsia="仿宋" w:cs="仿宋"/>
          <w:lang w:val="en-US" w:eastAsia="zh-CN"/>
        </w:rPr>
        <w:t>1.</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政策法规处（行政服务处）、艺术处、公共服务处、科教信息处、规划发展处、文旅产业处、资源开发处、旅游推广处、市场管理处、非物质文化遗产处、文物管理处、文物保护处、广电管理处、技术保障处、财务处、组织人事处，另按规定设置机关党委。</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刘海粟美术馆，常州市文化市场综合行政执法支队，常州市图书馆，常州市文化艺术研究所（常州市文化剧目工作室、常州市戏剧艺术传习所)，常州博物馆，常州市考古研究所，常州艺术高等职业学校，常州市文物保护管理中心，常州画院（吴青霞艺术院），常州三杰纪念馆，常州市文化馆（常州市非物质文化遗产保护中心）,常州市文化艺术管理中心，江苏常州市歌舞剧院，江苏常州市锡剧院，江苏常州市滑稽剧团，江苏常州市曲艺团，常州市文物商店，常州市演出公司，常州市大剧院（委托经营）。</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2.</w:t>
      </w:r>
      <w:r>
        <w:rPr>
          <w:rFonts w:hint="eastAsia" w:ascii="仿宋" w:hAnsi="仿宋" w:eastAsia="仿宋" w:cs="仿宋"/>
        </w:rPr>
        <w:t>从决算单位构成看，纳入本</w:t>
      </w:r>
      <w:r>
        <w:rPr>
          <w:rFonts w:hint="eastAsia" w:ascii="仿宋" w:hAnsi="仿宋" w:eastAsia="仿宋" w:cs="仿宋"/>
          <w:lang w:val="en-US" w:eastAsia="zh-CN"/>
        </w:rPr>
        <w:t>部门</w:t>
      </w:r>
      <w:r>
        <w:rPr>
          <w:rFonts w:hint="eastAsia" w:ascii="仿宋" w:hAnsi="仿宋" w:eastAsia="仿宋" w:cs="仿宋"/>
          <w:lang w:eastAsia="zh-CN"/>
        </w:rPr>
        <w:t>2021</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汇总决算编制范围的预算单位共计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12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常州市文化广电和旅游局（本级），刘海粟美术馆，常州市文化市场综合行政执法支队，常州市图书馆，常州市文化艺术研究所（常州市文化剧目工作室、常州市戏剧艺术传习所)，常州博物馆，常州市考古研究所，常州艺术高等职业学校，常州市文物保护管理中心，常州画院（吴青霞艺术院），常州三杰纪念馆，常州市文化馆（常州市非物质文化遗产保护中心）。</w:t>
      </w:r>
      <w:r>
        <w:rPr>
          <w:rFonts w:ascii="仿宋" w:hAnsi="仿宋" w:cs="仿宋" w:eastAsia="仿宋"/>
        </w:rPr>
        <w:t/>
      </w:r>
      <w:r>
        <w:rPr>
          <w:rFonts w:ascii="仿宋" w:hAnsi="仿宋" w:cs="仿宋" w:eastAsia="仿宋"/>
        </w:rPr>
        <w:t/>
      </w:r>
      <w:r>
        <w:rPr>
          <w:rFonts w:hint="eastAsia" w:ascii="仿宋" w:hAnsi="仿宋" w:eastAsia="仿宋" w:cs="仿宋"/>
          <w:lang w:val="en-US" w:eastAsia="zh-CN"/>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2021</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在市委市政府的领导下，市文化广电和旅游局坚持以习近平新时代中国特色社会主义思想为指导，全面贯彻党的十九大和十九届历次全会精神，深入落实省、市党代会精神，大力弘扬伟大建党精神，坚决扛起“争当表率、争做示范、走在前列”光荣使命，团结带领全系统上下，在新时代新征程上接续奋斗、砥砺前行。紧扣“国际化智造名城、长三角中轴枢纽”城市定位，大力实施“532”发展战略，奋力推动文化事业更加繁荣，持续提升文化业和旅游业整体实力与竞争力，文旅融合发展的势能进一步积蓄、动能不断释放，为构建近悦远来的“文化会客厅”和“旅游首选地”，跑出“十四五”开局起步加速度打下坚实基础，努力交出一份高质量发展的崭新答卷。</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加速汇聚文旅中轴发展动能。瞄准建设长三角文旅中轴、打造长三角休闲度假中心目标，强化文旅融合、资源整合、产品聚合，集中力量谋划、实施一批事关长远发展的重大事项，排定大运河－老城厢文旅提升、旅游度假区提档升级、文旅产品融合创新等五大工程47个文旅重点项目（工作），推动全市文旅系统一心一意谋发展、比学赶超争一流；编制实施《常州市“十四五”文旅融合发展规划》，完成《常州市旅游促进条例》立法工作，为建设文化强市、旅游强市提供机制体制保障。积极构建全域旅游发展格局，修编完成《常州市全域旅游规划》，推动金坛区、武进区、新北区开展国家全域旅游示范区创建，天宁区、钟楼区成为省级全域旅游示范区创建单位，溧阳市入选全国县域旅游综合实力百强县。加快完善文旅业态产品体系，茅山森林世界创成国家4A级旅游景区，创成美音茶园景区等4家国家3A级旅游景区、大明1921创意园等4家省级工业旅游区；青果巷创成全省首批旅游休闲街区，天目湖宾馆被评为金树叶级绿色旅游饭店；金坛薛埠镇入选全国首批乡村旅游重点镇，溧阳牛马塘村、塘马村、金坛柚山村、溧阳杨家村、金坛金牛村入选省级乡村旅游重点村，2条线路入选国家乡村旅游学习体验线路。全力打造文旅品牌形象体系，举办2021年“中国旅游日”江苏省分会场活动、第32届上海旅游节常州分会场、“长三角餐桌常州专场”等活动，精心打造“常享游”文旅服务总入口、文旅产品总出口，全方位展示“常州，教我如何不想她”靓丽形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深化文化和旅游产业融合发展。坚持“建成一批、引进一批、培育一批”理念，加速推进35个市级重点文旅项目建设，累计完成投资超69亿元，达年度计划的140.66%；茅山旅游综合开发、焦溪季子文旅综合开发、青果巷二期保护修缮工程等3个项目入选江苏省重大项目，曹山未来城、纺织博览园、江南环球港、文化内容进出口平台等8个项目入选江苏省重点文旅项目，溧阳市、茅山旅游度假区、春秋淹城旅游区创成省文化和旅游产业融合发展示范区建设单位，全年累计争取省级专项引导资金1238万元。大力提升文旅消费能级，在全省率先入选国家文化和旅游消费试点城市，制定实施《常州市加快推进国家文化和旅游消费示范城市创建工作实施方案》，成立市文化和旅游消费工作领导小组；环球恐龙城、青果巷分别创成首批国家级夜间文旅消费集聚区、首批省级夜间文旅消费集聚区；举办“激情之夏”常州文化旅游节、“龙城夜未央”常州夜生活节、“2021文旅惠民月”、“深融合扩消费高质量”文旅产业论坛等，统筹1000万元文旅市场复苏资金，拉动文旅消费提振回暖。深化文旅领域科技创新，中华恐龙园旅游度假区创成国家旅游科技示范园区，博人文化创新项目入选全国文旅装备技术提升优秀案例，金刚文化科技、恐龙园文化科技入选省文旅装备技术研发中心，6个项目入选江苏省智慧文旅示范培育项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提升遗产保护传承利用水平。以大运河文化带建设、老城厢复兴发展等为统领，完成常州文庙大成殿、意园、盛宣怀故居等20个重点文物保护修缮以及青果巷历史文化街区二期工程；成功举办全国“行走大运河”常州主会场活动，万缘桥修缮与环境整治工程列入大运河国家文化公园文物保护项目计划，青果巷、运河五号等“常州十景”入选江苏省“运河百景”，《常州市焦溪古镇保护条例》颁布实施。强化遗产系统性保护利用，阖闾城遗址入选国家文物局大遗址保护利用“十四五”专项规划，戚墅堰机厂入选第五批国家工业遗产名单，常州乱针绣入选第五批国家级非遗代表性项目，博济南岸里、东方盐湖城入选江苏省无限定空间非遗进景区试点单位。打造“三杰故里•红色名城”品牌，完成常州三杰纪念馆周边环境整治工程，恽代英生平事迹临展入选江苏省“弘扬优秀传统文化、培育社会主义核心价值观”主题展览推介项目，四集电视纪录片《常州三杰》在央视《国家记忆》栏目播出；中共苏皖区一大会址、塘马村入选文旅部“建党百年红色旅游百条精品线路”，27处不可移动文物列入江苏省第一批革命文物名录。构建服务城市发展考古工作新格局，86个考古调查勘探（区域评估）项目通过省文物局验收，总面积超3800万平方米，有力保障了30多个省市重大项目建设；寺墩遗址、象墩遗址、青城墩遗址列入“考古中国：长江下游区域文明模式研究”课题，2020年度江苏省六项重要考古发现全部花落常州。</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构筑艺术精品创作生产高地。坚持文艺培根铸魂，创排一批满足人民文化需求、彰显城市底蕴的精品力作，锡剧《烛光在前》作为全省唯一新创剧目参加全国“庆祝中国共产党成立100周年优秀舞台艺术作品展演”，并作为开幕大戏参加“江苏省庆祝中国共产党成立100周年优秀舞台艺术作品展演”；锡剧《烛光在前》获省“文华大奖”，民族管弦乐《昔我往矣》、歌曲《教我如何不想你》、中篇弹词《邓稼先》、锡剧《一只古董碗》、《城里城外》获“优秀节目奖”，市文广旅局被授予优秀组织单位称号；锡剧《烛光在前》、儿童剧《野蜂飞舞》获紫金文化艺术节“优秀剧目奖”，常州以全省第一的成绩获优秀组织奖；滑稽戏《陈奂生的吃饭问题》入选中国戏剧家协会《百部优秀剧作典藏》，常州市民族乐团“心韵”组合入选文旅部“全国民族器乐展演”，儿童剧《戏娃》入选江苏省舞台艺术精品工程；中国画《先锋队》等作品入选“庆祝中国共产党成立100周年美术书法精品展”“百家金陵画展”“抱石风骨·首届中国画双年展”。常州广播电视台广播新闻访谈节目获第31届中国新闻奖三等奖，电视新闻评论作品获第24届江苏新闻奖。持续深化文艺院团体制机制改革，出台实施《持续推进市属国有文艺院团深化改革专项考核办法》《市属国有文艺院团“员额制”测算管理实施办法（试行）》等，构建起市、县两级全覆盖的考核管理体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是推动公共文化服务质效提升。促进公共文化设施从全覆盖向高效能转变，健全完善全市公共图书馆、文化馆总分馆体系，在第五次全国文化馆评估定级中，市、区两级文化馆均被评为国家文化馆一级馆；推广“政府主导、社会参与、共建共享”模式，先后建成32家“秋白书苑”，被《中国文化报》誉为“新型公共文化空间‘常州模式’”；常州市图书馆获“全国百佳公共文化空间奖”，13个空间入选全省“最美公共文化空间”，17支团队入选全省“优秀群众文化团队”。创新实施文化惠民工程，溧阳市少儿书法入选“中国民间文化艺术之乡”，首次设立常州市公共文化“青果奖”；举办“常州市第六届少儿网络书画大赛”“书香飘万家阅读从绘本开始”等主题系列活动，推出“云上剧苑”“云上展厅”“常图云借”等线上服务，“东方微笑——麦积山石窟艺术展”云展示项目获全国文化遗产云传播十佳项目，“跟着文物游常州”研学游入选江苏省博物馆教育优秀案例示范项目；全年共完成送戏1035场、送书50000册。</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是强化文化和旅游市场监管力度。文化市场综合执法改革向纵深推进，2021年全国文化市场综合执法改革推进现场会在常召开，文旅部给予常州文化执法改革“党建引领、科技赋能、刚柔并济、守正创新”的高度评价，执法改革从“常州模式”走向“全国样板”；与公安部门联合侦破“5.29”盗掘古墓案，相关案例入选全国“十佳案卷”、文物行政执法指导性案例，文物行政执法“三项制度”试点受到国家文物局高度肯定。深入开展全市旅游市场整治，立案查处旅游市场各类案件22起，旅游投诉办结率100%；深化“放管服”“证照分离”改革，全面推行文旅市场“红黑榜”制度，恐龙园文旅、天目湖旅游、东方盐湖城等10家企业入选省文旅市场“红名单”，恐龙园集团被评为江苏省省级文明旅游示范单位，“常州礼遇”品牌饭店服务标准全面推行。切实保障文旅市场安全，持续开展娱乐场所、营业性演出场所危化品、道路旅客运输安全、境外卫星电视传播秩序等专项检查整治，建成常州市智慧文旅监管指挥中心，圆满完成建党百年广电安全播出任务，全年未发生文旅行业重大安全事故。</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常州市文化广电和旅游局</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2021</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部门</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784" w:type="dxa"/>
          </w:tcPr>
          <w:p>
            <w:pPr>
              <w:widowControl w:val="0"/>
              <w:ind w:left="0" w:right="0" w:firstLine="0"/>
              <w:jc w:val="left"/>
              <w:textAlignment w:val="auto"/>
              <w:rPr>
                <w:rFonts w:hint="eastAsia" w:ascii="仿宋" w:hAnsi="仿宋" w:eastAsia="仿宋" w:cs="仿宋"/>
                <w:color w:val="000000"/>
                <w:sz w:val="20"/>
              </w:rPr>
            </w:pPr>
          </w:p>
        </w:tc>
        <w:tc>
          <w:tcPr>
            <w:tcW w:w="1461"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color w:val="000000"/>
                <w:sz w:val="22"/>
                <w:szCs w:val="22"/>
                <w:lang w:eastAsia="ar-SA"/>
              </w:rPr>
              <w:t>常州市文化广电和旅游局</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36,090.68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522.61</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220.12</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3,481.40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146.72</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8.80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29,012.80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284.46</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381.56</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953.03</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5.87</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5.10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3,640.09</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374.80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234.37</w:t>
            </w:r>
          </w:p>
        </w:tc>
      </w:tr>
      <w:tr>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36,980.12</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38,384.29</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1,684.28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280.11</w:t>
            </w:r>
          </w:p>
        </w:tc>
      </w:tr>
      <w:tr>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61"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744"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5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38,664.40</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38,664.40</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tblPrEx>
          <w:tblCellMar>
            <w:top w:w="0" w:type="dxa"/>
            <w:left w:w="108" w:type="dxa"/>
            <w:bottom w:w="0" w:type="dxa"/>
            <w:right w:w="108" w:type="dxa"/>
          </w:tblCellMar>
        </w:tblPrEx>
        <w:trPr>
          <w:trHeight w:val="627" w:hRule="atLeast"/>
          <w:jc w:val="center"/>
        </w:trPr>
        <w:tc>
          <w:tcPr>
            <w:tcW w:w="15439"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314" w:hRule="atLeast"/>
          <w:jc w:val="center"/>
        </w:trPr>
        <w:tc>
          <w:tcPr>
            <w:tcW w:w="4040" w:type="dxa"/>
            <w:gridSpan w:val="2"/>
            <w:vAlign w:val="center"/>
          </w:tcPr>
          <w:p>
            <w:pPr>
              <w:pStyle w:val="22"/>
              <w:widowControl w:val="0"/>
              <w:jc w:val="center"/>
              <w:rPr>
                <w:rFonts w:hint="eastAsia" w:ascii="仿宋" w:hAnsi="仿宋" w:eastAsia="仿宋" w:cs="仿宋"/>
              </w:rPr>
            </w:pPr>
          </w:p>
        </w:tc>
        <w:tc>
          <w:tcPr>
            <w:tcW w:w="1592" w:type="dxa"/>
            <w:vAlign w:val="center"/>
          </w:tcPr>
          <w:p>
            <w:pPr>
              <w:pStyle w:val="22"/>
              <w:widowControl w:val="0"/>
              <w:jc w:val="center"/>
              <w:rPr>
                <w:rFonts w:hint="eastAsia" w:ascii="仿宋" w:hAnsi="仿宋" w:eastAsia="仿宋" w:cs="仿宋"/>
              </w:rPr>
            </w:pPr>
          </w:p>
        </w:tc>
        <w:tc>
          <w:tcPr>
            <w:tcW w:w="1604" w:type="dxa"/>
            <w:vAlign w:val="center"/>
          </w:tcPr>
          <w:p>
            <w:pPr>
              <w:pStyle w:val="22"/>
              <w:widowControl w:val="0"/>
              <w:jc w:val="center"/>
              <w:rPr>
                <w:rFonts w:hint="eastAsia" w:ascii="仿宋" w:hAnsi="仿宋" w:eastAsia="仿宋" w:cs="仿宋"/>
              </w:rPr>
            </w:pPr>
          </w:p>
        </w:tc>
        <w:tc>
          <w:tcPr>
            <w:tcW w:w="1565" w:type="dxa"/>
            <w:vAlign w:val="center"/>
          </w:tcPr>
          <w:p>
            <w:pPr>
              <w:pStyle w:val="22"/>
              <w:widowControl w:val="0"/>
              <w:jc w:val="center"/>
              <w:rPr>
                <w:rFonts w:hint="eastAsia" w:ascii="仿宋" w:hAnsi="仿宋" w:eastAsia="仿宋" w:cs="仿宋"/>
              </w:rPr>
            </w:pPr>
          </w:p>
        </w:tc>
        <w:tc>
          <w:tcPr>
            <w:tcW w:w="2974" w:type="dxa"/>
            <w:gridSpan w:val="2"/>
            <w:vAlign w:val="center"/>
          </w:tcPr>
          <w:p>
            <w:pPr>
              <w:pStyle w:val="22"/>
              <w:widowControl w:val="0"/>
              <w:jc w:val="center"/>
              <w:rPr>
                <w:rFonts w:hint="eastAsia" w:ascii="仿宋" w:hAnsi="仿宋" w:eastAsia="仿宋" w:cs="仿宋"/>
              </w:rPr>
            </w:pPr>
          </w:p>
        </w:tc>
        <w:tc>
          <w:tcPr>
            <w:tcW w:w="1174" w:type="dxa"/>
            <w:vAlign w:val="center"/>
          </w:tcPr>
          <w:p>
            <w:pPr>
              <w:pStyle w:val="22"/>
              <w:widowControl w:val="0"/>
              <w:jc w:val="center"/>
              <w:rPr>
                <w:rFonts w:hint="eastAsia" w:ascii="仿宋" w:hAnsi="仿宋" w:eastAsia="仿宋" w:cs="仿宋"/>
              </w:rPr>
            </w:pP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376" w:hRule="atLeast"/>
          <w:jc w:val="center"/>
        </w:trPr>
        <w:tc>
          <w:tcPr>
            <w:tcW w:w="12949"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常州市文化广电和旅游局</w:t>
            </w: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592"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60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56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396"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578"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277"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9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592"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0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6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96"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578"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17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77"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13"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59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36,980.12</w:t>
            </w:r>
          </w:p>
        </w:tc>
        <w:tc>
          <w:tcPr>
            <w:tcW w:w="160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36,613.29</w:t>
            </w:r>
          </w:p>
        </w:tc>
        <w:tc>
          <w:tcPr>
            <w:tcW w:w="156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39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197.17</w:t>
            </w:r>
          </w:p>
        </w:tc>
        <w:tc>
          <w:tcPr>
            <w:tcW w:w="157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22.95</w:t>
            </w:r>
          </w:p>
        </w:tc>
        <w:tc>
          <w:tcPr>
            <w:tcW w:w="117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146.72</w:t>
            </w:r>
          </w:p>
        </w:tc>
        <w:tc>
          <w:tcPr>
            <w:tcW w:w="127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13"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一般公共服务支出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组织事务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3,311.52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3,058.31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197.17</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56.04</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普通教育</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2050205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高等教育</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职业教育</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3,302.61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3,049.40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197.17</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56.04</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2050302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中等职业教育</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3,251.76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2,998.55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197.17</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56.04</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其他职业教育支出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50.85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50.85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教育费附加安排的支出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其他教育费附加安排的支出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科学技术普及</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2060702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科普活动</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文化旅游体育与传媒支出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27,778.52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27,664.89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22.95</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90.68</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文化和旅游</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20,407.43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20,298.45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22.95</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86.03</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3,043.88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3,043.88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图书馆</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2,594.92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2,594.92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文化展示及纪念机构</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2,883.15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2,864.46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18.70</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艺术表演场所</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艺术表演团体</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2,427.58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2,427.58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群众文化</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1,126.27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1,035.98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22.95</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67.34</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文化创作与保护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266.51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266.51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2070112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文化和旅游市场管理</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1,558.67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1,558.67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其他文化和旅游支出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4,806.44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4,806.44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6,245.61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6,240.97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2070204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文物保护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934.68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934.68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2070205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博物馆</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1,823.28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1,818.63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2070299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其他文物支出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3,487.66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3,487.66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其他文化旅游体育与传媒支出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1,125.48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1,125.48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2079902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宣传文化发展专项支出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2079903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文化产业发展专项支出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125.45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125.45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其他文化旅游体育与传媒支出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989.44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989.44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284.46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284.46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243.56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243.56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117.76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117.76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381.56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381.56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381.56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381.56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365.22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365.22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城乡社区支出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953.03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953.03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其他城乡社区支出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953.03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953.03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其他城乡社区支出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953.03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953.03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商业服务业等支出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21699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其他商业服务业等支出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2169999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其他商业服务业等支出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援助其他地区支出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2199900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3,640.09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3,640.09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3,640.09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3,640.09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958.02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958.02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1,698.06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1,698.06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984.01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984.01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374.80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374.80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其他政府性基金及对应专项债务收入安排的支出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288.24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288.24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2290403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其他政府性基金债务收入安排的支出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288.24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288.24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234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抗疫特别国债安排的支出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23402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抗疫相关支出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2340204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援企稳岗补贴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tblPrEx>
          <w:tblCellMar>
            <w:top w:w="55" w:type="dxa"/>
            <w:left w:w="55" w:type="dxa"/>
            <w:bottom w:w="55" w:type="dxa"/>
            <w:right w:w="55" w:type="dxa"/>
          </w:tblCellMar>
        </w:tblPrEx>
        <w:trPr>
          <w:trHeight w:val="341" w:hRule="atLeast"/>
        </w:trPr>
        <w:tc>
          <w:tcPr>
            <w:tcW w:w="15347"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321" w:hRule="atLeast"/>
        </w:trPr>
        <w:tc>
          <w:tcPr>
            <w:tcW w:w="5739" w:type="dxa"/>
            <w:gridSpan w:val="2"/>
            <w:vAlign w:val="center"/>
          </w:tcPr>
          <w:p>
            <w:pPr>
              <w:pStyle w:val="22"/>
              <w:widowControl w:val="0"/>
              <w:jc w:val="center"/>
              <w:rPr>
                <w:rFonts w:hint="eastAsia" w:ascii="仿宋" w:hAnsi="仿宋" w:eastAsia="仿宋" w:cs="仿宋"/>
              </w:rPr>
            </w:pPr>
          </w:p>
        </w:tc>
        <w:tc>
          <w:tcPr>
            <w:tcW w:w="2011" w:type="dxa"/>
            <w:vAlign w:val="center"/>
          </w:tcPr>
          <w:p>
            <w:pPr>
              <w:pStyle w:val="22"/>
              <w:widowControl w:val="0"/>
              <w:spacing w:before="0" w:after="0"/>
              <w:ind w:firstLine="0"/>
              <w:jc w:val="center"/>
              <w:rPr>
                <w:rFonts w:hint="eastAsia" w:ascii="仿宋" w:hAnsi="仿宋" w:eastAsia="仿宋" w:cs="仿宋"/>
                <w:sz w:val="20"/>
              </w:rPr>
            </w:pPr>
          </w:p>
        </w:tc>
        <w:tc>
          <w:tcPr>
            <w:tcW w:w="1486" w:type="dxa"/>
            <w:vAlign w:val="center"/>
          </w:tcPr>
          <w:p>
            <w:pPr>
              <w:pStyle w:val="22"/>
              <w:widowControl w:val="0"/>
              <w:spacing w:before="0" w:after="0"/>
              <w:ind w:firstLine="0"/>
              <w:jc w:val="center"/>
              <w:rPr>
                <w:rFonts w:hint="eastAsia" w:ascii="仿宋" w:hAnsi="仿宋" w:eastAsia="仿宋" w:cs="仿宋"/>
                <w:sz w:val="20"/>
              </w:rPr>
            </w:pPr>
          </w:p>
        </w:tc>
        <w:tc>
          <w:tcPr>
            <w:tcW w:w="1564" w:type="dxa"/>
            <w:vAlign w:val="center"/>
          </w:tcPr>
          <w:p>
            <w:pPr>
              <w:pStyle w:val="22"/>
              <w:widowControl w:val="0"/>
              <w:spacing w:before="0" w:after="0"/>
              <w:ind w:firstLine="0"/>
              <w:jc w:val="center"/>
              <w:rPr>
                <w:rFonts w:hint="eastAsia" w:ascii="仿宋" w:hAnsi="仿宋" w:eastAsia="仿宋" w:cs="仿宋"/>
                <w:sz w:val="20"/>
              </w:rPr>
            </w:pPr>
          </w:p>
        </w:tc>
        <w:tc>
          <w:tcPr>
            <w:tcW w:w="1593" w:type="dxa"/>
            <w:vAlign w:val="center"/>
          </w:tcPr>
          <w:p>
            <w:pPr>
              <w:pStyle w:val="22"/>
              <w:widowControl w:val="0"/>
              <w:spacing w:before="0" w:after="0"/>
              <w:ind w:firstLine="0"/>
              <w:jc w:val="center"/>
              <w:rPr>
                <w:rFonts w:hint="eastAsia" w:ascii="仿宋" w:hAnsi="仿宋" w:eastAsia="仿宋" w:cs="仿宋"/>
                <w:sz w:val="20"/>
              </w:rPr>
            </w:pP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2393"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常州市文化广电和旅游局</w:t>
            </w: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011"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486"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5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59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472"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4183"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011"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6"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9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72"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2"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011"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38,384.29</w:t>
            </w:r>
          </w:p>
        </w:tc>
        <w:tc>
          <w:tcPr>
            <w:tcW w:w="148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16,602.27</w:t>
            </w:r>
          </w:p>
        </w:tc>
        <w:tc>
          <w:tcPr>
            <w:tcW w:w="15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21,635.31</w:t>
            </w:r>
          </w:p>
        </w:tc>
        <w:tc>
          <w:tcPr>
            <w:tcW w:w="159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7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146.72</w:t>
            </w:r>
          </w:p>
        </w:tc>
        <w:tc>
          <w:tcPr>
            <w:tcW w:w="1482"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一般公共服务支出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组织事务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教育支出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3,481.40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2,351.52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1,073.84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56.04</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普通教育</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0.90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0.90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2050205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高等教育</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0.90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0.90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职业教育</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3,452.92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2,351.52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1,045.37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56.04</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2050302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中等职业教育</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3,402.07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2,315.67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1,030.37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56.04</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其他职业教育支出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50.85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35.85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教育费附加安排的支出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26.57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26.57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其他教育费附加安排的支出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26.57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26.57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其他教育支出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其他教育支出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科学技术支出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科学技术普及</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2060702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科普活动</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其他科学技术支出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其他科学技术支出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文化旅游体育与传媒支出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29,012.80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9,812.41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19,109.72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90.68</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文化和旅游</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20,634.49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8,279.34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12,269.12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86.03</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3,043.88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3,043.88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图书馆</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2,804.01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1,882.99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921.02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文化展示及纪念机构</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2,883.15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812.70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2,051.75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18.70</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艺术表演场所</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1,700.00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1,700.00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艺术表演团体</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2,427.58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2,427.58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群众文化</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1,126.27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750.53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308.40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67.34</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文化创作与保护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266.51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236.46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30.05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2070112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文化和旅游市场管理</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1,558.67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1,248.67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其他文化和旅游支出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4,824.41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304.10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4,520.31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7,252.84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1,533.07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5,715.12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4.64</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2070204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文物保护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1,149.17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52.58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1,096.59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2070205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博物馆</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2,523.66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1,230.01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1,289.01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4.64</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2070299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其他文物支出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3,580.01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250.48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3,329.53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其他文化旅游体育与传媒支出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1,125.48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1,125.48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2079902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宣传文化发展专项支出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10.59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10.59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2079903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文化产业发展专项支出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125.45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125.45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其他文化旅游体育与传媒支出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989.44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989.44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284.46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284.46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243.56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243.56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行政单位离退休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125.80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事业单位离退休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117.76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117.76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40.90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40.90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40.90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40.90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381.56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381.56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381.56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381.56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16.34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16.34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365.22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365.22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城乡社区支出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953.03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132.23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820.80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其他城乡社区支出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953.03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132.23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820.80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其他城乡社区支出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953.03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132.23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820.80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商业服务业等支出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21699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其他商业服务业等支出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2169999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其他商业服务业等支出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援助其他地区支出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2199900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3,640.09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3,640.09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3,640.09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3,640.09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958.02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958.02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1,698.06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1,698.06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984.01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984.01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374.80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374.80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其他政府性基金及对应专项债务收入安排的支出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288.24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288.24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2290403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其他政府性基金债务收入安排的支出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288.24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288.24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86.56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86.56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86.56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86.56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234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抗疫特别国债安排的支出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23402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抗疫相关支出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2340204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援企稳岗补贴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sz w:val="22"/>
                <w:szCs w:val="22"/>
              </w:rPr>
              <w:t>常州市文化广电和旅游局</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36,090.68</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522.61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3,175.06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3,175.06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28,899.18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28,899.18</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284.46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284.46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381.56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381.56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953.03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953.03</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5.87</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3,640.09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3,640.09</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374.80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288.24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36,613.29</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37,964.33</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37,441.71</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522.61</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1,631.15</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280.11</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280.11</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1,631.15</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38,244.44</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38,244.44</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37,721.82</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522.61</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常州市文化广电和旅游局</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37,964.33</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16,602.27</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21,362.06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组织事务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3,175.06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2,351.52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823.54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0.90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2050205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高等教育</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0.90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职业教育</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3,146.59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2,351.52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795.07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中等职业教育</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3,095.74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2,315.67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780.07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其他职业教育支出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科学技术普及</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2060702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科普活动</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28,899.18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9,812.41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19,086.77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文化和旅游</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20,525.51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8,279.34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12,246.17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3,043.88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3,043.88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图书馆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2,804.01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1,882.99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921.02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文化展示及纪念机构</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2,864.46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812.70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2,051.75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艺术表演场所</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艺术表演团体</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2,427.58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2,427.58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群众文化</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1,035.98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750.53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285.45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文化创作与保护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266.51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236.46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2070112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文化和旅游市场管理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1,558.67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1,248.67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其他文化和旅游支出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4,824.41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304.10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4,520.31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7,248.19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1,533.07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5,715.12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2070204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文物保护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1,149.17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52.58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1,096.59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2070205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博物馆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2,519.02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1,230.01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1,289.01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2070299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其他文物支出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3,580.01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250.48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3,329.53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1,125.48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1,125.48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2079902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宣传文化发展专项支出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2079903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文化产业发展专项支出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125.45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125.45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989.44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989.44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284.46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284.46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243.56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243.56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125.80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117.76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117.76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381.56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381.56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381.56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381.56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365.22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365.22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953.03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132.23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820.80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953.03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132.23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820.80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953.03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132.23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820.80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商业服务业等支出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21699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其他商业服务业等支出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2169999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其他商业服务业等支出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援助其他地区支出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2199900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3,640.09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3,640.09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3,640.09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3,640.09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958.02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958.02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1,698.06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1,698.06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984.01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984.01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374.80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374.80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其他政府性基金及对应专项债务收入安排的支出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288.24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288.24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2290403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其他政府性基金债务收入安排的支出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288.24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288.24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234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抗疫特别国债安排的支出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23402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抗疫相关支出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2340204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援企稳岗补贴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sz w:val="22"/>
                <w:szCs w:val="22"/>
              </w:rPr>
              <w:t>常州市文化广电和旅游局</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16,602.27</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15,474.93</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1,127.34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14,439.37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14,439.37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1,984.44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1,984.44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4,233.86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4,233.86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1,511.52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1,511.52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2,713.53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774.48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774.48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389.02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299.61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299.61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176.35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54.91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1,666.98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1,666.98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629.64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629.64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1,048.21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131.31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245.44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245.44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40.66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78.13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171.99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171.99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113.65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1,035.56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1,035.56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355.53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355.53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41.43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94.82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401.84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401.84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79.12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常州市文化广电和旅游局</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37,441.71</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16,602.27</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20,839.45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一般公共服务支出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组织事务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3,175.06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2,351.52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823.54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2050205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高等教育</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职业教育</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3,146.59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2,351.52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795.07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2050302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中等职业教育</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3,095.74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2,315.67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780.07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其他职业教育支出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50.85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35.85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科学技术普及</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2060702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科普活动</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28,899.18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9,812.41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19,086.77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文化和旅游</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20,525.51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8,279.34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12,246.17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3,043.88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3,043.88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图书馆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2,804.01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1,882.99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921.02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文化展示及纪念机构</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2,864.46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812.70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2,051.75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艺术表演场所</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艺术表演团体</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2,427.58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2,427.58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群众文化</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1,035.98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750.53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285.45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文化创作与保护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266.51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236.46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2070112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文化和旅游市场管理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1,558.67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1,248.67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其他文化和旅游支出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4,824.41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304.10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4,520.31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7,248.19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1,533.07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5,715.12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2070204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1,149.17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52.58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1,096.59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2070205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博物馆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2,519.02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1,230.01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1,289.01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2070299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其他文物支出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3,580.01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250.48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3,329.53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1,125.48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1,125.48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2079902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宣传文化发展专项支出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2079903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文化产业发展专项支出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125.45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125.45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989.44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989.44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284.46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284.46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243.56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243.56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117.76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117.76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381.56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381.56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381.56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381.56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365.22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365.22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953.03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132.23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820.80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953.03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132.23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820.80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953.03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132.23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820.80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商业服务业等支出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21699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其他商业服务业等支出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2169999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其他商业服务业等支出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援助其他地区支出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2199900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3,640.09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3,640.09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3,640.09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3,640.09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958.02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958.02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1,698.06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1,698.06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984.01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984.01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常州市文化广电和旅游局</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16,602.27</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15,474.93</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1,127.34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14,439.37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14,439.37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1,984.44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1,984.44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4,233.86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4,233.86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1,511.52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1,511.52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2,713.53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2,713.53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774.48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774.48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389.02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389.02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299.61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299.61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176.35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176.35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54.91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54.91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1,666.98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1,666.98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629.64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629.64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1,048.21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1,048.21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131.31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131.31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245.44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245.44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40.66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40.66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78.13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78.13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171.99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171.99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113.65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113.65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1,035.56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1,035.56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355.53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355.53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41.43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41.43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94.82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94.82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401.84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401.84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79.12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79.12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常州市文化广电和旅游局</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34.09</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11.74</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11.74</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22.35</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35.63</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53.71</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25.68</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11.52</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11.52</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14.17</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36.72</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40.83</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6</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144</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1,768</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158</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2,234</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118</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1,642</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一般公共预算“三公”经费、会议费和培训费支出情况。其中，预算数为全年预算数，反映按规定程序调整后的预算数；决算数是包括当年一般公共预算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常州市文化广电和旅游局</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522.61</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522.61</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288.24</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288.24</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22904</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其他政府性基金及对应专项债务收入安排的支出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288.24</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288.24</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2290403</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其他政府性基金债务收入安排的支出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288.24</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288.24</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234</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抗疫特别国债安排的支出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23402</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抗疫相关支出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2340204</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援企稳岗补贴</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常州市文化广电和旅游局</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部门</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常州市文化广电和旅游局</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332.13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332.13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54.78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6.18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0.36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8.01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4.77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97.01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1.27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3.26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4.70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3.44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0.80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22.68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1.15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102.36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21.36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常州市文化广电和旅游局</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6,963.69</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1,546.51</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1,909.77</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3,507.42</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813.50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813.50</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2021</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部门</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2021年度收入、支出决算总计38,664.4万元。与上年相比，收、支总计各增加277.14万元，增长0.72%。其中：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（一）收入决算总计38,664.4万元。包括：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1.本年收入决算合计36,980.12万元。与上年相比，减少688.31万元，减少1.83%，变动原因：政府性基金预算财政拨款收入减少。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1,684.28万元。与上年相比，增加965.45万元，增长134.31%，变动原因：本部门下属单位常州艺术高等职业学校、常州博物馆、常州市图书馆、刘海粟美术馆、常州市文物保护管理中心、常州三杰纪念馆，6家单位结转上年度预算安排的工程建设和政府采购等跨年度实施和支出的项目，以及受疫情影响延迟实施和支出的项目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（二）支出决算总计38,664.4万元。包括：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1.本年支出决算合计38,384.29万元。与上年相比，增加1,695.91万元，增长4.62%，变动原因：本部门项目支出增加。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280.11万元。结转和结余事项：共有5家单位有年末结转和结余情况，其中刘海粟美术馆108.56万元，常州市文保中心78.28万元，常州博物馆11.40万元，常州三杰纪念馆67.43万元，常州艺术高等职业学校14.44万元，为单位根据项目实施进度需在下年度支付的项目资金。与上年相比，减少1,418.77万元，减少83.51%，变动原因：跨年度实施和支出的项目资金结转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收入决算合计36,980.12万元，其中：财政拨款收入36,613.29万元，占99.01%；上级补助收入0万元，占0%；财政专户管理教育收费197.17万元，占0.53%；事业收入（不含专户管理教育收费）22.95万元，占0.06%；经营收入146.72万元，占0.4%；附属单位上缴收入0万元，占0%；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2021年度本年支出决算合计38,384.29万元，其中：基本支出16,602.27万元，占43.25%；项目支出21,635.31万元，占56.37%；上缴上级支出0万元，占0%；经营支出146.72万元，占0.38%；对附属单位补助支出0万元，占0%。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2021年度财政拨款收入、支出决算总计38,244.44万元。与上年相比，收、支总计各增加260.87万元，增长0.69%，变动原因：本部门项目支出增加。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2021年度财政拨款支出决算37,964.33万元，占本年支出合计的98.91%。与2021年度财政拨款支出年初预算20,598.63万元相比，完成年初预算的184.31%。其中：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组织事务（款）一般行政管理事务（项）。年初预算0万元，支出决算2万元，（年初预算数为0万元，无法计算完成比率）。决算数与年初预算数的差异原因：市委宣传部下拨常州对外宣传工作项目经费。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（二）教育支出（类）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1.普通教育（款）高等教育（项）。年初预算0万元，支出决算0.9万元，（年初预算数为0万元，无法计算完成比率）。决算数与年初预算数的差异原因：下属单位新增大运河文化带研究项目支出。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职业教育（款）中等职业教育（项）。年初预算2,672.09万元，支出决算3,095.74万元，完成年初预算的115.85%。决算数与年初预算数的差异原因：下属单位常州艺术高等职业学校人员经费和公用经费政策性支出增加和新增智慧校园等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职业教育（款）其他职业教育支出（项）。年初预算0万元，支出决算50.85万元，（年初预算数为0万元，无法计算完成比率）。决算数与年初预算数的差异原因：下属单位常州艺术高等职业学校追加秋季免学费和助学金支出；常州图书馆新增社区教育特色品牌全民终身学习活动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教育费附加安排的支出（款）其他教育费附加安排的支出（项）。年初预算0万元，支出决算26.57万元，（年初预算数为0万元，无法计算完成比率）。决算数与年初预算数的差异原因：下属单位常州艺术高等职业学校新增技能大赛和物业管理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5.其他教育支出（款）其他教育支出（项）。年初预算0万元，支出决算1万元，（年初预算数为0万元，无法计算完成比率）。决算数与年初预算数的差异原因：下属单位新增未成年人思想道德建设项目支出。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（三）科学技术支出（类）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1.科学技术普及（款）科普活动（项）。年初预算0万元，支出决算0.8万元，（年初预算数为0万元，无法计算完成比率）。决算数与年初预算数的差异原因：下属单位常州图书馆新增科普活动项目支出。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其他科学技术支出（款）其他科学技术支出（项）。年初预算0万元，支出决算8万元，（年初预算数为0万元，无法计算完成比率）。决算数与年初预算数的差异原因：市委组织部下拨全系统文旅融合培训专项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（四）文化旅游体育与传媒支出（类）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1.文化和旅游（款）行政运行（项）。年初预算2,673.6万元，支出决算3,043.88万元，完成年初预算的113.85%。决算数与年初预算数的差异原因：局本级人员经费和公用经费政策性支出增加。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文化和旅游（款）图书馆（项）。年初预算1,991.33万元，支出决算2,804.01万元，完成年初预算的140.81%。决算数与年初预算数的差异原因：下属单位常州市图书馆人员经费和公用经费政策性支出增加和项目经费增加；刘海粟美术馆新增展览经费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文化和旅游（款）文化展示及纪念机构（项）。年初预算1,139.16万元，支出决算2,864.46万元，完成年初预算的251.45%。决算数与年初预算数的差异原因：本部门新增瞿秋白纪念馆和恽代英纪念馆提升工程项目支出；下属单位常州画院、刘海粟美术馆、常州市文物保护管理中心、常州三杰纪念馆人员经费增加、项目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文化和旅游（款）艺术表演场所（项）。年初预算0万元，支出决算1,700万元，（年初预算数为0万元，无法计算完成比率）。决算数与年初预算数的差异原因：市级专项资金的投入，常州大剧院运行管理经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文化和旅游（款）艺术表演团体（项）。年初预算2,542.7万元，支出决算2,427.58万元，完成年初预算的95.47%。决算数与年初预算数的差异原因：按实际重新测算市属国有文艺院团事业发展补助资金，财政收回差额部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6.文化和旅游（款）群众文化（项）。年初预算918.6万元，支出决算1,035.98万元，完成年初预算的112.78%。决算数与年初预算数的差异原因：下属单位常州市文化馆项目支出增加。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7.文化和旅游（款）文化创作与保护（项）。年初预算224.42万元，支出决算266.51万元，完成年初预算的118.76%。决算数与年初预算数的差异原因：下属单位常州市文化艺术研究所项目支出增加。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文化和旅游（款）文化和旅游市场管理（项）。年初预算1,580.02万元，支出决算1,558.67万元，完成年初预算的98.65%。决算数与年初预算数的差异原因：下属单位常州市文化市场综合行政执法支队人员调动减少，相应的经费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文化和旅游（款）其他文化和旅游支出（项）。年初预算648.44万元，支出决算4,824.41万元，完成年初预算的744%。决算数与年初预算数的差异原因：本部门项目资金、市级专项资金和中央及省级专项资金的投入，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文物（款）文物保护（项）。年初预算0万元，支出决算1,149.17万元，（年初预算数为0万元，无法计算完成比率）。决算数与年初预算数的差异原因：本部门下属单位机构改革，相应调整年度预算数。另外新增省级免费开放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11.文物（款）博物馆（项）。年初预算1,277.38万元，支出决算2,519.02万元，完成年初预算的197.2%。决算数与年初预算数的差异原因：下属单位常州博物馆人员经费和公用经费政策性支出增加和项目经费增加。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12.文物（款）其他文物支出（项）。年初预算1,124.15万元，支出决算3,580.01万元，完成年初预算的318.46%。决算数与年初预算数的差异原因：本部门下属单位机构改革，相应调整年度预算数。常州市考古研究所项目追加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13.其他文化旅游体育与传媒支出（款）宣传文化发展专项支出（项）。年初预算0万元，支出决算10.59万元，（年初预算数为0万元，无法计算完成比率）。决算数与年初预算数的差异原因：下属单位常州市文化馆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14.其他文化旅游体育与传媒支出（款）文化产业发展专项支出（项）。年初预算0万元，支出决算125.45万元，（年初预算数为0万元，无法计算完成比率）。决算数与年初预算数的差异原因：本部门市级专项资金和省级专项资金的投入，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15.其他文化旅游体育与传媒支出（款）其他文化旅游体育与传媒支出（项）。年初预算0万元，支出决算989.44万元，（年初预算数为0万元，无法计算完成比率）。决算数与年初预算数的差异原因：下属单位常州市图书馆新增文体惠民-秋白书苑项目建设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1.行政事业单位养老支出（款）行政单位离退休（项）。年初预算21.37万元，支出决算125.8万元，完成年初预算的588.68%。决算数与年初预算数的差异原因：本部门行政单位离退休人员经费政策性支出增加。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养老支出（款）事业单位离退休（项）。年初预算102.92万元，支出决算117.76万元，完成年初预算的114.42%。决算数与年初预算数的差异原因：本部门退休人员增加，补发退休中人补贴，退休费用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其他社会保障和就业支出（款）其他社会保障和就业支出（项）。年初预算0万元，支出决算40.9万元，（年初预算数为0万元，无法计算完成比率）。决算数与年初预算数的差异原因：本部门追加企业离休干部补贴预算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1.行政事业单位医疗（款）行政单位医疗（项）。年初预算16.34万元，支出决算16.34万元，完成年初预算的100%。决算数与年初预算数相同。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2.行政事业单位医疗（款）事业单位医疗（项）。年初预算356.42万元，支出决算365.22万元，完成年初预算的102.47%。决算数与年初预算数的差异原因：下属事业单位人员增减变动，相应的经费支出增加。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城乡社区支出（款）其他城乡社区支出（项）。年初预算0万元，支出决算953.03万元，（年初预算数为0万元，无法计算完成比率）。决算数与年初预算数的差异原因：下属单位常州艺术高等职业学校新增基础设施提升项目支出，常州博物馆新增展厅设施系统改造项目支出，常州市考古所追加本年度人员经费和公用经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（八）商业服务业等支出（类）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商业服务业等支出（款）其他商业服务业等支出（项）。年初预算0万元，支出决算5.87万元，（年初预算数为0万元，无法计算完成比率）。决算数与年初预算数的差异原因：下属单位常州艺术高等职业学校新增校企合作平台建设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（九）援助其他地区支出（类）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其他支出（款）其他支出（项）。年初预算0万元，支出决算5.1万元，（年初预算数为0万元，无法计算完成比率）。决算数与年初预算数的差异原因：本部门追加援疆干部人才补助。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1.住房改革支出（款）住房公积金（项）。年初预算838.29万元，支出决算958.02万元，完成年初预算的114.28%。决算数与年初预算数的差异原因：本部门人员变动和住房公积金基数调整，支出增加。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2.住房改革支出（款）提租补贴（项）。年初预算1,520.3万元，支出决算1,698.06万元，完成年初预算的111.69%。决算数与年初预算数的差异原因：本部门人员变动和提租补贴基数调整，支出增加。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3.住房改革支出（款）购房补贴（项）。年初预算951.1万元，支出决算984.01万元，完成年初预算的103.46%。决算数与年初预算数的差异原因：本部门人员变动和购房补贴基数调整，支出增加。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（十一）其他支出（类）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其他政府性基金及对应专项债务收入安排的支出（款）其他政府性基金债务收入安排的支出（项）。年初预算0万元，支出决算288.24万元，（年初预算数为0万元，无法计算完成比率）。决算数与年初预算数的差异原因：下属单位常州市文物保护管理中心新增文物保护（盛宣怀故居）修缮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2.其他支出（款）其他支出（项）。年初预算0万元，支出决算86.56万元，（年初预算数为0万元，无法计算完成比率）。决算数与年初预算数的差异原因：本部门新增信创工程项目支出。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（十二）抗疫特别国债安排的支出（类）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抗疫相关支出（款）援企稳岗补贴（项）。年初预算0万元，支出决算234.37万元，（年初预算数为0万元，无法计算完成比率）。决算数与年初预算数的差异原因：受疫情影响，本部门追加对文旅企业的援企稳岗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2021年度财政拨款基本支出决算16,602.27万元，其中：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（一）人员经费15,474.93万元。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公务员医疗补助缴费、其他社会保障缴费、住房公积金、医疗费、其他工资福利支出、离休费、退休费、抚恤金、生活补助、助学金、奖励金、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（二）公用经费1,127.34万元。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水费、电费、邮电费、差旅费、维修（护）费、租赁费、会议费、培训费、公务接待费、专用材料费、劳务费、委托业务费、工会经费、福利费、公务用车运行维护费、其他交通费用、其他商品和服务支出、办公设备购置、专用设备购置、其他资本性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2021年度一般公共预算财政拨款支出决算37,441.71万元。与上年相比，增加3,669.52万元，增长10.87%，变动原因：本部门项目支出增加。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2021年度一般公共预算财政拨款基本支出决算16,602.27万元，其中：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（一）人员经费15,474.93万元。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公务员医疗补助缴费、其他社会保障缴费、住房公积金、医疗费、其他工资福利支出、离休费、退休费、抚恤金、生活补助、助学金、奖励金、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（二）公用经费1,127.34万元。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水费、电费、邮电费、差旅费、维修（护）费、租赁费、会议费、培训费、公务接待费、专用材料费、劳务费、委托业务费、工会经费、福利费、公务用车运行维护费、其他交通费用、其他商品和服务支出、办公设备购置、专用设备购置、其他资本性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（一）一般公共预算“三公”经费支出总体情况说明。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三公”经费支出决算25.68万元。与上年相比，减少6.16万元，变动原因：本部门厉行节约，公务接待费用支出减少。其中，因公出国（境）费支出0万元，占“三公”经费的0%；公务用车购置及运行维护费支出11.52万元，占“三公”经费的44.84%；公务接待费支出14.17万元，占“三公”经费的55.16%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（二）一般公共预算“三公”经费支出具体情况说明。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1．因公出国（境）费支出预算0万元，支出决算0万元，完成预算的100%，决算数与预算数相同。全年使用一般公共预算财政拨款涉及的出国（境）团组0个，累计0人次。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2．公务用车购置及运行维护费支出预算11.74万元，支出决算11.52万元，完成预算的98.13%，决算数与预算数的差异原因：本部门加强车辆管理，公务车的运行维护费支出减少。其中：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（1）公务用车购置支出决算0万元。本年度使用一般公共预算财政拨款购置公务用车0辆。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11.52万元。公务用车运行维护费主要用于按规定保留的公务用车的燃料费、维修费、过桥过路费、保险费、安全奖励费用等支出。截至2021年12月31日，使用一般公共预算财政拨款开支的公务用车保有量为6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22.35万元，支出决算14.17万元，完成预算的63.4%，决算数与预算数的差异原因：本部门厉行节约，公务接待的批次和人次均有下降，支出减少。其中：国内公务接待支出14.17万元，接待144批次，1768人次，开支内容：本部门工作调研、专家指导、市场督查、宣传推广等工作接待的公务工作餐费支出；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（三）一般公共预算会议费支出决算情况说明。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会议费支出预算35.63万元，支出决算36.72万元，完成预算的103.06%，决算数与预算数的差异原因：下属单位专项工作会议费用支出增加。2021年度全年召开会议158个，参加会议2234人次，开支内容：下属单位组织召开专项业务会议、规划编制研讨会、项目技术合作会议、考核研讨会等；承办全国文化市场综合执法改革推进现场会。</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（四）一般公共预算培训费支出决算情况说明。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培训费支出预算53.71万元，支出决算40.83万元，完成预算的76.02%，决算数与预算数的差异原因：受疫情等影响因素，本部门积极采用网络、视频等线上培训，线下培训减少，培训费用支出减少。2021年度全年组织培训118个，组织培训1642人次，开支内容：本部门人员执业水平培训、党校培训、业务培训；对口交流专项培训；全市业务技能竞赛。</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2021年度政府性基金预算财政拨款支出决算522.61万元。与上年相比，减少2,043.02万元，减少79.63%，变动原因：本部门抗疫支出援企稳岗补贴减少。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2021年度机关运行经费支出决算332.13万元。与上年相比，增加8.08万元，增长2.49%，变动原因：下属单位人员变动，相应的经费支出正常增加。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采购支出总额6,963.69万元，其中：政府采购货物支出1,546.51万元、政府采购工程支出1,909.77万元、政府采购服务支出3,507.42万元。政府采购授予中小企业合同金额813.5万元，占政府采购支出总额的11.68%，其中：授予小微企业合同金额813.5万元，占政府采购支出总额的11.68%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2021年12月31日，本部门共有车辆8辆，其中：副部(省)级及以上领导用车0辆、主要领导干部用车0辆、机要通信用车0辆、应急保障用车0辆、执法执勤用车0辆、特种专业技术用车0辆、离退休干部用车0辆、其他用车8辆；单价50万元（含）以上的通用设备7台（套），单价100万元（含）以上的专用设备2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2021年度，本部门共1个项目开展了财政重点绩效评价，涉及财政性资金合计450万元；本部门未开展部门整体支出财政重点绩效评价，涉及财政性资金0万元。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本部门共对上年度已实施完成的2个项目开展了绩效自评价，涉及财政性资金合计2,300万元；本部门共开展1项部门整体支出绩效自评价，涉及财政性资金合计17,691.04万元。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十九、一般公共服务支出(类)组织事务(款)一般行政管理事务(项)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二十、教育支出(类)普通教育(款)高等教育(项)</w:t>
      </w:r>
      <w:r>
        <w:rPr>
          <w:rFonts w:ascii="仿宋" w:hAnsi="仿宋" w:cs="仿宋" w:eastAsia="仿宋"/>
          <w:b w:val="true"/>
        </w:rPr>
        <w:t>：</w:t>
      </w:r>
      <w:r>
        <w:rPr>
          <w:rFonts w:hint="eastAsia" w:ascii="仿宋" w:hAnsi="仿宋" w:eastAsia="仿宋" w:cs="仿宋"/>
        </w:rPr>
        <w:t>反映经国家批准设立的中央和省、自治区、直辖市各部门所属的全日制普通高等院校（包括研究生）的支出。政府各部门对社会中介组织等举办的各类高等院校的资助，如捐赠、补贴等，也在本科目中反映。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二十一、教育支出(类)职业教育(款)中等职业教育(项)</w:t>
      </w:r>
      <w:r>
        <w:rPr>
          <w:rFonts w:ascii="仿宋" w:hAnsi="仿宋" w:cs="仿宋" w:eastAsia="仿宋"/>
          <w:b w:val="true"/>
        </w:rPr>
        <w:t>：</w:t>
      </w:r>
      <w:r>
        <w:rPr>
          <w:rFonts w:hint="eastAsia" w:ascii="仿宋" w:hAnsi="仿宋" w:eastAsia="仿宋" w:cs="仿宋"/>
        </w:rPr>
        <w:t>反映各部门（不含人力资源社会保障部门）举办的中等职业学校支出。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二十二、教育支出(类)职业教育(款)其他职业教育支出(项)</w:t>
      </w:r>
      <w:r>
        <w:rPr>
          <w:rFonts w:ascii="仿宋" w:hAnsi="仿宋" w:cs="仿宋" w:eastAsia="仿宋"/>
          <w:b w:val="true"/>
        </w:rPr>
        <w:t>：</w:t>
      </w:r>
      <w:r>
        <w:rPr>
          <w:rFonts w:hint="eastAsia" w:ascii="仿宋" w:hAnsi="仿宋" w:eastAsia="仿宋" w:cs="仿宋"/>
        </w:rPr>
        <w:t>反映除上述项目以外其他用于职业教育方面的支出。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二十三、教育支出(类)教育费附加安排的支出(款)其他教育费附加安排的支出(项)</w:t>
      </w:r>
      <w:r>
        <w:rPr>
          <w:rFonts w:ascii="仿宋" w:hAnsi="仿宋" w:cs="仿宋" w:eastAsia="仿宋"/>
          <w:b w:val="true"/>
        </w:rPr>
        <w:t>：</w:t>
      </w:r>
      <w:r>
        <w:rPr>
          <w:rFonts w:hint="eastAsia" w:ascii="仿宋" w:hAnsi="仿宋" w:eastAsia="仿宋" w:cs="仿宋"/>
        </w:rPr>
        <w:t>反映除上述项目以外的教育费附加支出。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二十四、教育支出(类)其他教育支出(款)其他教育支出(项)</w:t>
      </w:r>
      <w:r>
        <w:rPr>
          <w:rFonts w:ascii="仿宋" w:hAnsi="仿宋" w:cs="仿宋" w:eastAsia="仿宋"/>
          <w:b w:val="true"/>
        </w:rPr>
        <w:t>：</w:t>
      </w:r>
      <w:r>
        <w:rPr>
          <w:rFonts w:hint="eastAsia" w:ascii="仿宋" w:hAnsi="仿宋" w:eastAsia="仿宋" w:cs="仿宋"/>
        </w:rPr>
        <w:t>反映除上述项目以外其他用于教育方面的支出。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二十五、科学技术支出(类)科学技术普及(款)科普活动(项)</w:t>
      </w:r>
      <w:r>
        <w:rPr>
          <w:rFonts w:ascii="仿宋" w:hAnsi="仿宋" w:cs="仿宋" w:eastAsia="仿宋"/>
          <w:b w:val="true"/>
        </w:rPr>
        <w:t>：</w:t>
      </w:r>
      <w:r>
        <w:rPr>
          <w:rFonts w:hint="eastAsia" w:ascii="仿宋" w:hAnsi="仿宋" w:eastAsia="仿宋" w:cs="仿宋"/>
        </w:rPr>
        <w:t>反映用于开展科普活动的支出。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二十六、科学技术支出(类)其他科学技术支出(款)其他科学技术支出(项)</w:t>
      </w:r>
      <w:r>
        <w:rPr>
          <w:rFonts w:ascii="仿宋" w:hAnsi="仿宋" w:cs="仿宋" w:eastAsia="仿宋"/>
          <w:b w:val="true"/>
        </w:rPr>
        <w:t>：</w:t>
      </w:r>
      <w:r>
        <w:rPr>
          <w:rFonts w:hint="eastAsia" w:ascii="仿宋" w:hAnsi="仿宋" w:eastAsia="仿宋" w:cs="仿宋"/>
        </w:rPr>
        <w:t>反映其他科学技术支出中除以上各项外用于科技方面的支出。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二十七、文化旅游体育与传媒支出(类)文化和旅游(款)行政运行(项)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二十八、文化旅游体育与传媒支出(类)文化和旅游(款)图书馆(项)</w:t>
      </w:r>
      <w:r>
        <w:rPr>
          <w:rFonts w:ascii="仿宋" w:hAnsi="仿宋" w:cs="仿宋" w:eastAsia="仿宋"/>
          <w:b w:val="true"/>
        </w:rPr>
        <w:t>：</w:t>
      </w:r>
      <w:r>
        <w:rPr>
          <w:rFonts w:hint="eastAsia" w:ascii="仿宋" w:hAnsi="仿宋" w:eastAsia="仿宋" w:cs="仿宋"/>
        </w:rPr>
        <w:t>反映图书馆的支出。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二十九、文化旅游体育与传媒支出(类)文化和旅游(款)文化展示及纪念机构(项)</w:t>
      </w:r>
      <w:r>
        <w:rPr>
          <w:rFonts w:ascii="仿宋" w:hAnsi="仿宋" w:cs="仿宋" w:eastAsia="仿宋"/>
          <w:b w:val="true"/>
        </w:rPr>
        <w:t>：</w:t>
      </w:r>
      <w:r>
        <w:rPr>
          <w:rFonts w:hint="eastAsia" w:ascii="仿宋" w:hAnsi="仿宋" w:eastAsia="仿宋" w:cs="仿宋"/>
        </w:rPr>
        <w:t>反映各类艺术展览馆、文化名人纪念馆（碑）的支出。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三十、文化旅游体育与传媒支出(类)文化和旅游(款)艺术表演场所(项)</w:t>
      </w:r>
      <w:r>
        <w:rPr>
          <w:rFonts w:ascii="仿宋" w:hAnsi="仿宋" w:cs="仿宋" w:eastAsia="仿宋"/>
          <w:b w:val="true"/>
        </w:rPr>
        <w:t>：</w:t>
      </w:r>
      <w:r>
        <w:rPr>
          <w:rFonts w:hint="eastAsia" w:ascii="仿宋" w:hAnsi="仿宋" w:eastAsia="仿宋" w:cs="仿宋"/>
        </w:rPr>
        <w:t>反映文化及其他部门主管的剧场（院）的支出。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三十一、文化旅游体育与传媒支出(类)文化和旅游(款)艺术表演团体(项)</w:t>
      </w:r>
      <w:r>
        <w:rPr>
          <w:rFonts w:ascii="仿宋" w:hAnsi="仿宋" w:cs="仿宋" w:eastAsia="仿宋"/>
          <w:b w:val="true"/>
        </w:rPr>
        <w:t>：</w:t>
      </w:r>
      <w:r>
        <w:rPr>
          <w:rFonts w:hint="eastAsia" w:ascii="仿宋" w:hAnsi="仿宋" w:eastAsia="仿宋" w:cs="仿宋"/>
        </w:rPr>
        <w:t>反映文化及其他部门主管的剧院（团）等艺术表演团体的支出。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三十二、文化旅游体育与传媒支出(类)文化和旅游(款)群众文化(项)</w:t>
      </w:r>
      <w:r>
        <w:rPr>
          <w:rFonts w:ascii="仿宋" w:hAnsi="仿宋" w:cs="仿宋" w:eastAsia="仿宋"/>
          <w:b w:val="true"/>
        </w:rPr>
        <w:t>：</w:t>
      </w:r>
      <w:r>
        <w:rPr>
          <w:rFonts w:hint="eastAsia" w:ascii="仿宋" w:hAnsi="仿宋" w:eastAsia="仿宋" w:cs="仿宋"/>
        </w:rPr>
        <w:t>反映群众文化方面的支出，包括基层文化馆（站）、群众艺术馆支出等。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三十三、文化旅游体育与传媒支出(类)文化和旅游(款)文化创作与保护(项)</w:t>
      </w:r>
      <w:r>
        <w:rPr>
          <w:rFonts w:ascii="仿宋" w:hAnsi="仿宋" w:cs="仿宋" w:eastAsia="仿宋"/>
          <w:b w:val="true"/>
        </w:rPr>
        <w:t>：</w:t>
      </w:r>
      <w:r>
        <w:rPr>
          <w:rFonts w:hint="eastAsia" w:ascii="仿宋" w:hAnsi="仿宋" w:eastAsia="仿宋" w:cs="仿宋"/>
        </w:rPr>
        <w:t>反映鼓励文学、艺术创作和优秀传统文化保护方面的支出。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三十四、文化旅游体育与传媒支出(类)文化和旅游(款)文化和旅游市场管理(项)</w:t>
      </w:r>
      <w:r>
        <w:rPr>
          <w:rFonts w:ascii="仿宋" w:hAnsi="仿宋" w:cs="仿宋" w:eastAsia="仿宋"/>
          <w:b w:val="true"/>
        </w:rPr>
        <w:t>：</w:t>
      </w:r>
      <w:r>
        <w:rPr>
          <w:rFonts w:hint="eastAsia" w:ascii="仿宋" w:hAnsi="仿宋" w:eastAsia="仿宋" w:cs="仿宋"/>
        </w:rPr>
        <w:t>反映文化和旅游执法检查等文化旅游市场管理方面的支出。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三十五、文化旅游体育与传媒支出(类)文化和旅游(款)其他文化和旅游支出(项)</w:t>
      </w:r>
      <w:r>
        <w:rPr>
          <w:rFonts w:ascii="仿宋" w:hAnsi="仿宋" w:cs="仿宋" w:eastAsia="仿宋"/>
          <w:b w:val="true"/>
        </w:rPr>
        <w:t>：</w:t>
      </w:r>
      <w:r>
        <w:rPr>
          <w:rFonts w:hint="eastAsia" w:ascii="仿宋" w:hAnsi="仿宋" w:eastAsia="仿宋" w:cs="仿宋"/>
        </w:rPr>
        <w:t>反映除上述项目以外其他用于文化和旅游方面的支出。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三十六、文化旅游体育与传媒支出(类)文物(款)文物保护(项)</w:t>
      </w:r>
      <w:r>
        <w:rPr>
          <w:rFonts w:ascii="仿宋" w:hAnsi="仿宋" w:cs="仿宋" w:eastAsia="仿宋"/>
          <w:b w:val="true"/>
        </w:rPr>
        <w:t>：</w:t>
      </w:r>
      <w:r>
        <w:rPr>
          <w:rFonts w:hint="eastAsia" w:ascii="仿宋" w:hAnsi="仿宋" w:eastAsia="仿宋" w:cs="仿宋"/>
        </w:rPr>
        <w:t>反映考古发掘及文物保护方面的支出。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三十七、文化旅游体育与传媒支出(类)文物(款)博物馆(项)</w:t>
      </w:r>
      <w:r>
        <w:rPr>
          <w:rFonts w:ascii="仿宋" w:hAnsi="仿宋" w:cs="仿宋" w:eastAsia="仿宋"/>
          <w:b w:val="true"/>
        </w:rPr>
        <w:t>：</w:t>
      </w:r>
      <w:r>
        <w:rPr>
          <w:rFonts w:hint="eastAsia" w:ascii="仿宋" w:hAnsi="仿宋" w:eastAsia="仿宋" w:cs="仿宋"/>
        </w:rPr>
        <w:t>反映文物系统及其他部门所属博物馆、纪念馆（室）的支出。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三十八、文化旅游体育与传媒支出(类)文物(款)其他文物支出(项)</w:t>
      </w:r>
      <w:r>
        <w:rPr>
          <w:rFonts w:ascii="仿宋" w:hAnsi="仿宋" w:cs="仿宋" w:eastAsia="仿宋"/>
          <w:b w:val="true"/>
        </w:rPr>
        <w:t>：</w:t>
      </w:r>
      <w:r>
        <w:rPr>
          <w:rFonts w:hint="eastAsia" w:ascii="仿宋" w:hAnsi="仿宋" w:eastAsia="仿宋" w:cs="仿宋"/>
        </w:rPr>
        <w:t>反映除上述项目以外其他用于文物方面的支出。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三十九、文化旅游体育与传媒支出(类)其他文化旅游体育与传媒支出(款)宣传文化发展专项支出(项)</w:t>
      </w:r>
      <w:r>
        <w:rPr>
          <w:rFonts w:ascii="仿宋" w:hAnsi="仿宋" w:cs="仿宋" w:eastAsia="仿宋"/>
          <w:b w:val="true"/>
        </w:rPr>
        <w:t>：</w:t>
      </w:r>
      <w:r>
        <w:rPr>
          <w:rFonts w:hint="eastAsia" w:ascii="仿宋" w:hAnsi="仿宋" w:eastAsia="仿宋" w:cs="仿宋"/>
        </w:rPr>
        <w:t>反映按照国家有关政策支持宣传文化单位发展的专项支出。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四十、文化旅游体育与传媒支出(类)其他文化旅游体育与传媒支出(款)文化产业发展专项支出(项)</w:t>
      </w:r>
      <w:r>
        <w:rPr>
          <w:rFonts w:ascii="仿宋" w:hAnsi="仿宋" w:cs="仿宋" w:eastAsia="仿宋"/>
          <w:b w:val="true"/>
        </w:rPr>
        <w:t>：</w:t>
      </w:r>
      <w:r>
        <w:rPr>
          <w:rFonts w:hint="eastAsia" w:ascii="仿宋" w:hAnsi="仿宋" w:eastAsia="仿宋" w:cs="仿宋"/>
        </w:rPr>
        <w:t>反映支持文化产业发展专项支出。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四十一、文化旅游体育与传媒支出(类)其他文化旅游体育与传媒支出(款)其他文化旅游体育与传媒支出(项)</w:t>
      </w:r>
      <w:r>
        <w:rPr>
          <w:rFonts w:ascii="仿宋" w:hAnsi="仿宋" w:cs="仿宋" w:eastAsia="仿宋"/>
          <w:b w:val="true"/>
        </w:rPr>
        <w:t>：</w:t>
      </w:r>
      <w:r>
        <w:rPr>
          <w:rFonts w:hint="eastAsia" w:ascii="仿宋" w:hAnsi="仿宋" w:eastAsia="仿宋" w:cs="仿宋"/>
        </w:rPr>
        <w:t>反映除上述项目以外其他用于文化旅游体育与传媒方面的支出。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四十二、社会保障和就业支出(类)行政事业单位养老支出(款)行政单位离退休(项)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四十三、社会保障和就业支出(类)行政事业单位养老支出(款)事业单位离退休(项)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四十四、社会保障和就业支出(类)其他社会保障和就业支出(款)其他社会保障和就业支出(项)</w:t>
      </w:r>
      <w:r>
        <w:rPr>
          <w:rFonts w:ascii="仿宋" w:hAnsi="仿宋" w:cs="仿宋" w:eastAsia="仿宋"/>
          <w:b w:val="true"/>
        </w:rPr>
        <w:t>：</w:t>
      </w:r>
      <w:r>
        <w:rPr>
          <w:rFonts w:hint="eastAsia" w:ascii="仿宋" w:hAnsi="仿宋" w:eastAsia="仿宋" w:cs="仿宋"/>
        </w:rPr>
        <w:t>反映除上述项目以外其他用于社会保障和就业方面的支出。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四十五、卫生健康支出(类)行政事业单位医疗(款)行政单位医疗(项)</w:t>
      </w:r>
      <w:r>
        <w:rPr>
          <w:rFonts w:ascii="仿宋" w:hAnsi="仿宋" w:cs="仿宋" w:eastAsia="仿宋"/>
          <w:b w:val="true"/>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四十六、卫生健康支出(类)行政事业单位医疗(款)事业单位医疗(项)</w:t>
      </w:r>
      <w:r>
        <w:rPr>
          <w:rFonts w:ascii="仿宋" w:hAnsi="仿宋" w:cs="仿宋" w:eastAsia="仿宋"/>
          <w:b w:val="true"/>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四十七、城乡社区支出(类)其他城乡社区支出(款)其他城乡社区支出(项)</w:t>
      </w:r>
      <w:r>
        <w:rPr>
          <w:rFonts w:ascii="仿宋" w:hAnsi="仿宋" w:cs="仿宋" w:eastAsia="仿宋"/>
          <w:b w:val="true"/>
        </w:rPr>
        <w:t>：</w:t>
      </w:r>
      <w:r>
        <w:rPr>
          <w:rFonts w:hint="eastAsia" w:ascii="仿宋" w:hAnsi="仿宋" w:eastAsia="仿宋" w:cs="仿宋"/>
        </w:rPr>
        <w:t>反映除上述项目以外其他用于城乡社区方面的支出。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四十八、商业服务业等支出(类)其他商业服务业等支出(款)其他商业服务业等支出(项)</w:t>
      </w:r>
      <w:r>
        <w:rPr>
          <w:rFonts w:ascii="仿宋" w:hAnsi="仿宋" w:cs="仿宋" w:eastAsia="仿宋"/>
          <w:b w:val="true"/>
        </w:rPr>
        <w:t>：</w:t>
      </w:r>
      <w:r>
        <w:rPr>
          <w:rFonts w:hint="eastAsia" w:ascii="仿宋" w:hAnsi="仿宋" w:eastAsia="仿宋" w:cs="仿宋"/>
        </w:rPr>
        <w:t>反映其他商业服务业等支出中除上述项目以外的其他支出。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四十九、援助其他地区支出(类)其他支出(款)其他支出(项)</w:t>
      </w:r>
      <w:r>
        <w:rPr>
          <w:rFonts w:ascii="仿宋" w:hAnsi="仿宋" w:cs="仿宋" w:eastAsia="仿宋"/>
          <w:b w:val="true"/>
        </w:rPr>
        <w:t>：</w:t>
      </w:r>
      <w:r>
        <w:rPr>
          <w:rFonts w:hint="eastAsia" w:ascii="仿宋" w:hAnsi="仿宋" w:eastAsia="仿宋" w:cs="仿宋"/>
        </w:rPr>
        <w:t>反映援助其他地区资金中除上述项目以外的其他支出。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五十一、住房保障支出(类)住房改革支出(款)提租补贴(项)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五十二、住房保障支出(类)住房改革支出(款)购房补贴(项)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五十三、其他支出(类)其他政府性基金及对应专项债务收入安排的支出(款)其他政府性基金债务收入安排的支出(项)</w:t>
      </w:r>
      <w:r>
        <w:rPr>
          <w:rFonts w:ascii="仿宋" w:hAnsi="仿宋" w:cs="仿宋" w:eastAsia="仿宋"/>
          <w:b w:val="true"/>
        </w:rPr>
        <w:t>：</w:t>
      </w:r>
      <w:r>
        <w:rPr>
          <w:rFonts w:hint="eastAsia" w:ascii="仿宋" w:hAnsi="仿宋" w:eastAsia="仿宋" w:cs="仿宋"/>
        </w:rPr>
        <w:t>反映其他政府性基金对应专项债务收入安排的支出。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五十四、其他支出(类)其他支出(款)其他支出(项)</w:t>
      </w:r>
      <w:r>
        <w:rPr>
          <w:rFonts w:ascii="仿宋" w:hAnsi="仿宋" w:cs="仿宋" w:eastAsia="仿宋"/>
          <w:b w:val="true"/>
        </w:rPr>
        <w:t>：</w:t>
      </w:r>
      <w:r>
        <w:rPr>
          <w:rFonts w:hint="eastAsia" w:ascii="仿宋" w:hAnsi="仿宋" w:eastAsia="仿宋" w:cs="仿宋"/>
        </w:rPr>
        <w:t>反映除上述项目以外其他不能划分到具体功能科目中的支出项目。</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五十五、抗疫特别国债安排的支出(类)抗疫相关支出(款)援企稳岗补贴(项)</w:t>
      </w:r>
      <w:r>
        <w:rPr>
          <w:rFonts w:ascii="仿宋" w:hAnsi="仿宋" w:cs="仿宋" w:eastAsia="仿宋"/>
          <w:b w:val="true"/>
        </w:rPr>
        <w:t>：</w:t>
      </w:r>
      <w:r>
        <w:rPr>
          <w:rFonts w:hint="eastAsia" w:ascii="仿宋" w:hAnsi="仿宋" w:eastAsia="仿宋" w:cs="仿宋"/>
        </w:rPr>
        <w:t>反映抗疫特别国债资金安排的落实援企稳岗政策相关支出。</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常州市文化广电和旅游局</w:t>
    </w:r>
    <w:r>
      <w:t>2021年度</w:t>
    </w:r>
    <w:r>
      <w:t>部门</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789"/>
    <w:rsid w:val="000F12AB"/>
    <w:rsid w:val="001C31F9"/>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2754</Words>
  <Characters>7511</Characters>
  <Paragraphs>501</Paragraphs>
  <TotalTime>0</TotalTime>
  <ScaleCrop>false</ScaleCrop>
  <LinksUpToDate>false</LinksUpToDate>
  <CharactersWithSpaces>7532</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2022-07-29T09:20:09Z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