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pPr>
              <w:pStyle w:val="8"/>
              <w:spacing w:line="360" w:lineRule="auto"/>
              <w:rPr>
                <w:rFonts w:hint="eastAsia" w:ascii="仿宋" w:hAnsi="仿宋" w:eastAsia="仿宋" w:cs="仿宋"/>
                <w:b/>
                <w:bCs/>
                <w:color w:val="FF0000"/>
                <w:sz w:val="22"/>
                <w:szCs w:val="22"/>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top"/>
          </w:tcPr>
          <w:p>
            <w:pPr>
              <w:ind w:right="284" w:rightChars="129"/>
              <w:jc w:val="center"/>
              <w:rPr>
                <w:rFonts w:hint="eastAsia" w:ascii="宋体" w:hAnsi="宋体" w:eastAsia="宋体" w:cs="宋体"/>
                <w:b/>
                <w:sz w:val="52"/>
                <w:lang w:eastAsia="zh-CN"/>
              </w:rPr>
            </w:pPr>
            <w:r>
              <w:rPr>
                <w:rFonts w:ascii="宋体" w:hAnsi="宋体" w:eastAsia="宋体" w:cs="宋体"/>
                <w:b/>
                <w:sz w:val="52"/>
              </w:rPr>
              <w:t>2021年度</w:t>
            </w:r>
            <w:r>
              <w:rPr>
                <w:rFonts w:ascii="宋体" w:hAnsi="宋体" w:eastAsia="宋体" w:cs="宋体"/>
                <w:b/>
                <w:sz w:val="52"/>
              </w:rPr>
              <w:cr/>
            </w:r>
          </w:p>
          <w:p>
            <w:pPr>
              <w:ind w:right="284" w:rightChars="129"/>
              <w:jc w:val="center"/>
              <w:rPr>
                <w:rFonts w:hint="eastAsia" w:ascii="宋体" w:hAnsi="宋体" w:eastAsia="宋体" w:cs="宋体"/>
                <w:b/>
                <w:sz w:val="52"/>
                <w:lang w:eastAsia="zh-CN"/>
              </w:rPr>
            </w:pPr>
            <w:r>
              <w:rPr>
                <w:rFonts w:ascii="宋体" w:hAnsi="宋体" w:eastAsia="宋体" w:cs="宋体"/>
                <w:b/>
                <w:sz w:val="52"/>
              </w:rPr>
              <w:t>常州市工业和信息化局（本级）</w:t>
            </w:r>
            <w:r>
              <w:rPr>
                <w:rFonts w:ascii="宋体" w:hAnsi="宋体" w:eastAsia="宋体" w:cs="宋体"/>
                <w:b/>
                <w:sz w:val="52"/>
              </w:rPr>
              <w:cr/>
            </w:r>
          </w:p>
          <w:p>
            <w:pPr>
              <w:ind w:right="284" w:rightChars="129"/>
              <w:jc w:val="center"/>
              <w:rPr>
                <w:rFonts w:hint="eastAsia" w:ascii="仿宋" w:hAnsi="仿宋" w:eastAsia="仿宋" w:cs="仿宋"/>
                <w:b/>
                <w:bCs/>
                <w:color w:val="FF0000"/>
                <w:sz w:val="22"/>
                <w:szCs w:val="22"/>
                <w:vertAlign w:val="baseline"/>
              </w:rPr>
            </w:pPr>
            <w:r>
              <w:rPr>
                <w:rFonts w:ascii="宋体" w:hAnsi="宋体" w:eastAsia="宋体" w:cs="宋体"/>
                <w:b/>
                <w:sz w:val="52"/>
              </w:rPr>
              <w:t>单位决算公开</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tabs>
          <w:tab w:val="left" w:pos="880"/>
        </w:tabs>
        <w:spacing w:line="718" w:lineRule="exact"/>
        <w:ind w:right="313" w:firstLine="0"/>
        <w:outlineLvl w:val="0"/>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spacing w:before="7" w:after="0"/>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outlineLvl w:val="0"/>
        <w:rPr>
          <w:rFonts w:hint="eastAsia" w:ascii="黑体" w:hAnsi="黑体" w:eastAsia="黑体" w:cs="黑体"/>
          <w:b w:val="0"/>
          <w:bCs w:val="0"/>
        </w:rPr>
      </w:pPr>
      <w:r>
        <w:rPr>
          <w:rFonts w:hint="eastAsia" w:ascii="黑体" w:hAnsi="黑体" w:eastAsia="黑体" w:cs="黑体"/>
          <w:b w:val="0"/>
          <w:bCs w:val="0"/>
        </w:rPr>
        <w:t xml:space="preserve">第一部分 </w:t>
      </w:r>
      <w:r>
        <w:rPr>
          <w:rFonts w:hint="eastAsia" w:ascii="黑体" w:hAnsi="黑体" w:eastAsia="黑体" w:cs="黑体"/>
          <w:b w:val="0"/>
          <w:bCs w:val="0"/>
          <w:lang w:val="en-US" w:eastAsia="zh-CN"/>
        </w:rPr>
        <w:t>单位</w:t>
      </w:r>
      <w:r>
        <w:rPr>
          <w:rFonts w:hint="eastAsia" w:ascii="黑体" w:hAnsi="黑体" w:eastAsia="黑体" w:cs="黑体"/>
          <w:b w:val="0"/>
          <w:bCs w:val="0"/>
        </w:rPr>
        <w:t>概况</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机构设置及决算单位构成情况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2021</w:t>
      </w:r>
      <w:r>
        <w:rPr>
          <w:rFonts w:hint="eastAsia" w:ascii="仿宋" w:hAnsi="仿宋" w:eastAsia="仿宋" w:cs="仿宋"/>
        </w:rPr>
        <w:t>年度主要工作完成情况</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黑体" w:hAnsi="黑体" w:eastAsia="黑体" w:cs="黑体"/>
          <w:b w:val="0"/>
          <w:bCs w:val="0"/>
        </w:rPr>
      </w:pPr>
      <w:r>
        <w:rPr>
          <w:rFonts w:hint="eastAsia" w:ascii="黑体" w:hAnsi="黑体" w:eastAsia="黑体" w:cs="黑体"/>
          <w:b w:val="0"/>
          <w:bCs w:val="0"/>
          <w:lang w:val="en-US" w:eastAsia="zh-CN"/>
        </w:rPr>
        <w:t>第二部分 2021年度</w:t>
      </w:r>
      <w:r>
        <w:rPr>
          <w:rFonts w:ascii="黑体" w:hAnsi="黑体" w:eastAsia="黑体" w:cs="黑体"/>
        </w:rPr>
        <w:t>单位决算表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5774" w:hanging="11" w:firstLineChars="0"/>
        <w:jc w:val="both"/>
        <w:textAlignment w:val="auto"/>
        <w:rPr>
          <w:rFonts w:hint="eastAsia" w:ascii="仿宋" w:hAnsi="仿宋" w:eastAsia="仿宋" w:cs="仿宋"/>
        </w:rPr>
      </w:pPr>
      <w:r>
        <w:rPr>
          <w:rFonts w:hint="eastAsia" w:ascii="仿宋" w:hAnsi="仿宋" w:eastAsia="仿宋" w:cs="仿宋"/>
          <w:spacing w:val="-2"/>
        </w:rPr>
        <w:t>一、收入支出决算总表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5774" w:hanging="11" w:firstLineChars="0"/>
        <w:jc w:val="both"/>
        <w:textAlignment w:val="auto"/>
        <w:rPr>
          <w:rFonts w:hint="eastAsia" w:ascii="仿宋" w:hAnsi="仿宋" w:eastAsia="仿宋" w:cs="仿宋"/>
        </w:rPr>
      </w:pPr>
      <w:r>
        <w:rPr>
          <w:rFonts w:hint="eastAsia" w:ascii="仿宋" w:hAnsi="仿宋" w:eastAsia="仿宋" w:cs="仿宋"/>
        </w:rPr>
        <w:t>二、收入决算表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w w:val="95"/>
        </w:rPr>
        <w:t>三、支出决算表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四、财政拨款收入支出决算总表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五、财政拨款支出决算表（功能科目）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894" w:hanging="11" w:firstLineChars="0"/>
        <w:jc w:val="both"/>
        <w:textAlignment w:val="auto"/>
        <w:rPr>
          <w:rFonts w:hint="eastAsia" w:ascii="仿宋" w:hAnsi="仿宋" w:eastAsia="仿宋" w:cs="仿宋"/>
        </w:rPr>
      </w:pPr>
      <w:r>
        <w:rPr>
          <w:rFonts w:hint="eastAsia" w:ascii="仿宋" w:hAnsi="仿宋" w:eastAsia="仿宋" w:cs="仿宋"/>
        </w:rPr>
        <w:t>六、财政拨款基本支出决算表（经济科目） 七、一般公共预算支出决算表（功能科目）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八、一般公共预算基本支出决算表（经济科目）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default" w:ascii="仿宋" w:hAnsi="仿宋" w:eastAsia="仿宋" w:cs="仿宋"/>
          <w:lang w:val="en-US" w:eastAsia="zh-CN"/>
        </w:rPr>
      </w:pPr>
      <w:r>
        <w:rPr>
          <w:rFonts w:hint="eastAsia" w:ascii="仿宋" w:hAnsi="仿宋" w:eastAsia="仿宋" w:cs="仿宋"/>
        </w:rPr>
        <w:t>十一、</w:t>
      </w:r>
      <w:r>
        <w:rPr>
          <w:rFonts w:hint="eastAsia" w:ascii="仿宋" w:hAnsi="仿宋" w:eastAsia="仿宋" w:cs="仿宋"/>
          <w:lang w:val="en-US" w:eastAsia="zh-CN"/>
        </w:rPr>
        <w:t>国有资本经营预算支出决算表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黑体" w:hAnsi="黑体" w:eastAsia="黑体" w:cs="黑体"/>
          <w:b w:val="0"/>
          <w:bCs w:val="0"/>
          <w:lang w:val="en-US" w:eastAsia="zh-CN"/>
        </w:rPr>
      </w:pPr>
      <w:r>
        <w:rPr>
          <w:rFonts w:hint="eastAsia" w:ascii="黑体" w:hAnsi="黑体" w:eastAsia="黑体" w:cs="黑体"/>
          <w:b w:val="0"/>
          <w:bCs w:val="0"/>
          <w:lang w:val="en-US" w:eastAsia="zh-CN"/>
        </w:rPr>
        <w:t>第三部分 2021年度</w:t>
      </w:r>
      <w:r>
        <w:rPr>
          <w:rFonts w:ascii="黑体" w:hAnsi="黑体" w:eastAsia="黑体" w:cs="黑体"/>
        </w:rPr>
        <w:t>单位决算情况说明</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default" w:ascii="仿宋" w:hAnsi="仿宋" w:eastAsia="仿宋" w:cs="仿宋"/>
          <w:b/>
          <w:bCs/>
          <w:color w:val="000000"/>
          <w:sz w:val="30"/>
          <w:szCs w:val="30"/>
          <w:lang w:val="en-US" w:eastAsia="zh-CN" w:bidi="ar"/>
        </w:rPr>
      </w:pPr>
      <w:r>
        <w:rPr>
          <w:rFonts w:hint="eastAsia" w:ascii="黑体" w:hAnsi="黑体" w:eastAsia="黑体" w:cs="黑体"/>
          <w:b w:val="0"/>
          <w:bCs w:val="0"/>
          <w:lang w:val="en-US" w:eastAsia="zh-CN"/>
        </w:rPr>
        <w:t>第四部分 名词解释</w:t>
      </w:r>
    </w:p>
    <w:p>
      <w:pPr>
        <w:pStyle w:val="8"/>
        <w:spacing w:line="235" w:lineRule="auto"/>
        <w:ind w:left="669" w:leftChars="300" w:right="2414" w:hanging="9" w:firstLineChars="0"/>
        <w:jc w:val="both"/>
        <w:rPr>
          <w:rFonts w:hint="eastAsia" w:ascii="仿宋" w:hAnsi="仿宋" w:eastAsia="仿宋" w:cs="仿宋"/>
        </w:rPr>
        <w:sectPr>
          <w:footerReference r:id="rId6" w:type="default"/>
          <w:pgSz w:w="11906" w:h="16838"/>
          <w:pgMar w:top="1580" w:right="700" w:bottom="770" w:left="1020" w:header="283"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outlineLvl w:val="0"/>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eastAsia="zh-CN"/>
        </w:rPr>
        <w:t xml:space="preserve"> </w:t>
      </w:r>
      <w:r>
        <w:rPr>
          <w:rFonts w:hint="eastAsia" w:ascii="宋体" w:hAnsi="宋体" w:eastAsia="宋体" w:cs="宋体"/>
          <w:b/>
          <w:bCs/>
        </w:rPr>
        <w:t>单位概况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一）贯彻执行党和国家有关工业和信息化工作的方针政策、法律法规以及省、市决策部署，统筹协调全市工业和信息化工作，对工业和信息化发展的重大问题进行研究分析并提出意见和建议，依法组织起草有关地方性法规、规章草案和政策并督促实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二）推进全市工业和信息化高质量发展。根据全市经济社会发展总体规划，制定实施工业和信息化高质量发展的产业政策、发展规划，提出优化产业布局、调整产业结构、推动产业转型升级的政策建议，推进信息化与工业化深度融合。按分工承担供给侧结构性改革任务。</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三）推进制造强市建设。贯彻实施新型工业化发展战略，统筹推进制造强市建设，培育先进制造业集群。推动全市工业和信息化领域的战略性新兴产业发展，牵头推进重大项目建设，培育新产业、新技术、新业态、新模式。</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四）负责全市工业和信息化运行监测协调。制订并实施近期工业、信息化运行调控目标、政策措施，开展企业信息采集、行业统计分析和产业发展报告等工作，进行监测预警、预期引导，协调解决运行发展中的重大问题。</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五）负责全市工业和信息化领域的投资和技术改造相关工作。提出全市工业和信息化领域固定资产投资方向和规模，按规定权限管理工业和信息化领域固定资产投资项目。制订并实施推进企业技术改造的有关政策，按规定负责企业技术改造项目的核准备案等工作。</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六）负责全市自主可控的先进制造业体系建设。推动提升关键技术的控制力、产业集群的带动力、产业链条的整合力、信息化的引领力和标准的主导力。推动工业和信息化领域技术创新，推进产业创新体系和能力建设。组织实施重大技术装备攻关。推广应用新技术、新材料、新工艺，促进产学研用结合和技术成果转化。协同推进工业和信息化领域品牌、质量、标准、知识产权等工作。</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七）推进全市有关生产性服务业发展。制订并实施服务型制造、工业和信息化领域生产性服务业发展政策，推动先进制造业和现代服务业深度融合。推动工业设计、现代物流、会展业等发展，负责工业遗产保护、工业文化建设和工业、信息产品市场建设。</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八）负责全市工业和信息化领域的行业管理。研究提出推动行业发展、加强行业管理的政策建议，制订并实施行业发展规划、准入标准，协调解决行业发展中重大问题。负责全市盐业专营工作和全市盐业行业管理。指导相关行业安全生产工作。负责工业和信息化应急管理、产业安全和国防动员有关工作。指导工业和信息化领域的对外交流与合作。做好央企对接服务工作。</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九）统筹推进全市信息化发展。协调推进经济社会信息化发展，深化信息技术应用。协调重大信息基础设施建设，协调信息服务业领域涉及公共社会利益的重大事项，推动跨行业、跨部门的互连互通。负责全市无线电管理。</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（十）负责推进工业化和信息化融合发展。指导推进“互联网＋先进制造业”、人工智能与制造业融合创新应用、智能制造发展和产业数字化转型。指导推进工业信息安全保障工作。</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（十一）制订并实施促进工业和信息化领域数字经济和大数据产业发展的战略、规划和政策措施。推进信息产业发展和结构调整，培育推广云计算、物联网、人工智能等产业。</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二）综合协调全社会节能工作。制订并实施全社会工业节能规划和工业和信息化领域循环经济发展、清洁生产、资源综合利用规划及促进政策，实施能耗强度管理，承担节能监督管理、工业技改项目能评管理工作。组织协调节能改造和绿色制造示范工程，指导节能环保产业发展。指导全市墙体材料革新和发展散装水泥工作。</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三）培育发展全市大企业大集团和龙头骨干企业。制订并实施培育发展大企业大集团、龙头骨干企业的政策措施。推动企业管理创新和建立现代企业制度，推动企业家队伍建设和产业人才开发，组织指导企业经营管理人才教育培训。协调企业重大资产重组项目。牵头推进企业减负降本。</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四）负责全市中小企业和民营经济发展的宏观指导和服务。会同有关部门制订并组织实施促进中小企业和民营经济发展政策，协调解决发展中的有关重大问题。负责中小企业公共服务平台和社会化服务体系建设。开展中小企业梯次培育，推进中小企业专精特新发展，培育“隐形冠军”企业，促进中小企业与大企业融通发展。</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五）组织拟订全市国防科技工业规划。协助省国防科技工业办公室做好军工能力调整、资产重组、军品科研及生产、固定资产投资管理、武器装备科研生产许可、保密认证以及军工统计等工作。配合上级部门做好民用爆破器材生产和流通的行业管理。负责军工系统安全生产标准化达标建设推进工作和全市国防科技工业保密监督管理工作。负责军民两用技术双向转移等相关工作。配合上级部门做好全市船舶行业管理。</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（十六）完成市委、市政府交办的其他任务。</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七）职能转变。深化供给侧结构性改革，推动信息化和工业化、先进制造业和现代服务业深度融合发展，打造自主可控的先进制造业体系，建设制造强市、网络强市。强化战略规划、政策标准的引领和约束作用，提升工业和信息化运行监测、预测预警和预期引导能力，推动工业和信息化高质量发展。优化产行业管理，逐步减少微观管理事务，最大程度减少对工业和信息化领域市场资源的直接配置，进一步激发市场活力，创造良好营商环境。</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二、</w:t>
      </w:r>
      <w:r>
        <w:rPr>
          <w:rFonts w:ascii="黑体" w:hAnsi="黑体" w:eastAsia="黑体" w:cs="黑体"/>
        </w:rPr>
        <w:t>单位</w:t>
      </w:r>
      <w:r>
        <w:rPr>
          <w:rFonts w:hint="eastAsia" w:ascii="黑体" w:hAnsi="黑体" w:eastAsia="黑体" w:cs="黑体"/>
          <w:b w:val="0"/>
          <w:bCs w:val="0"/>
        </w:rPr>
        <w:t>机构设置及决算单位构成情况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rPr>
      </w:pPr>
      <w:r>
        <w:rPr>
          <w:rFonts w:hint="eastAsia" w:ascii="仿宋" w:hAnsi="仿宋" w:eastAsia="仿宋" w:cs="仿宋"/>
        </w:rPr>
        <w:t>根据</w:t>
      </w:r>
      <w:r>
        <w:rPr>
          <w:rFonts w:hint="eastAsia" w:ascii="仿宋" w:hAnsi="仿宋" w:eastAsia="仿宋" w:cs="仿宋"/>
          <w:lang w:val="en-US" w:eastAsia="zh-CN"/>
        </w:rPr>
        <w:t>单位</w:t>
      </w:r>
      <w:r>
        <w:rPr>
          <w:rFonts w:hint="eastAsia" w:ascii="仿宋" w:hAnsi="仿宋" w:eastAsia="仿宋" w:cs="仿宋"/>
        </w:rPr>
        <w:t>职责分工，</w:t>
      </w:r>
      <w:r>
        <w:rPr>
          <w:rFonts w:ascii="仿宋" w:hAnsi="仿宋" w:eastAsia="仿宋" w:cs="仿宋"/>
        </w:rPr>
        <w:t>本单位内设机构包括（一）办公室（财务处）。负责机关日常运转，承担文秘、机要、档案、安全、保密、信访、信息公开、督查督办、会务、后勤服务等工作；组织人大政协建议提案办理；负责全市工业和信息化领域宣传、信息工作；负责机关并指导直属单位的财务和资产管理。（二）组织人事处。负责机关和直属单位的干部人事、机构编制、队伍建设、教育培训工作；牵头组织经济系列、工艺美术系列以及相关工程系列专业技术职务评审有关工作；负责局机关和直属单位工作人员出国（境）管理工作；负责机关并指导直属单位离退休干部工作。(三）综合规划处。牵头制订本市工业和信息化领域中长期发展规划并组织实施；组织研究推动工业和信息化高质量发展的重大问题并提出意见建议；起草重要综合性文稿；负责工业和信息化领域相关信息综合，组织调研活动，牵头承担重大调研课题；负责工业和信息化系统目标管理工作；会同有关部门负责市级财政专项资金项目管理相关工作。（四）法规处（行政服务处）。依法组织有关地方性法规、规章草案的起草工作；承担机关有关规范性文件的合法性审核工作；负责工信系统法制宣传教育工作；指导推动企业法制、法律顾问、企业社会责任建设工作；负责工业和信息化领域信用体系建设；负责依法行政工作，承担机关行政复议、行政应诉等工作；按权限集中办理政务服务事项，并做好会办、联办项目的沟通协调。（五）先进制造业推进处（新兴产业处）。推进制造强市建设，指导推进先进制造业集群发展，培育新型工业化示范基地；统筹工业和信息化领域战略性新兴产业发展，推进重大项目建设，培育新产业、新技术、新业态、新模式；做好央企对接服务工作。（六）产业政策处（市汽车工业办公室）。提出贯彻执行国家和省产业政策、推进工业和信息产业结构调整和优化升级的意见建议，指导产业转移；培育大企业、大集团和龙头骨干企业，推进兼并重组工作；协调推进全市汽车产业发展；按照部门职责分工牵头有关行业淘汰落后、化解过剩产能等工作；按规定承担长三角区域一体化、长江经济带发展、太湖流域工业污染整治等相关工作。（七）运行监测协调处（市减轻企业负担工作办公室）。提出工业经济近期调控目标和促进平稳健康运行的意见建议；建立健全运行监测网络，分析工业和信息化运行态势，编制并发布信息，开展预测预警和预期引导；承担推进工业企业资源集约利用综合评价工作；综合指导工业和信息化领域加强安全生产管理，推进安全产业发展；负责工业和信息化领域应急管理，参与市国防动员委员会经济动员有关工作；承担市减轻企业负担领导小组办公室的日常工作。（八）投资与技术改造处。负责全市工业和信息化领域固定资产投资和技术改造项目管理，提出全市工业和信息化领域投资和技术改造的调控目标、政策和措施；编制并组织实施工业投资、技术改造规划及年度计划；组织申报、实施国家和省有关技术改造项目计划；跟踪服务相关重大工业项目，落实技术改造投资项目优惠政策；推动产融合作。（九）技术创新处。负责推动自主可控的先进制造业体系建设，研究制订促进工业和信息化领域技术进步、企业技术创新的政策措施并组织实施；推动以企业为主体的技术创新体系建设，负责全市企业技术中心和制造业创新中心建设；组织工业和信息化领域重大技术攻关和创新能力提升项目，开展重点新技术新产品推广应用，促进产学研用结合和技术成果转化；推动人工智能产业发展，促进人工智能与制造业融合创新应用；指导工业和信息化领域企业质量管理、标准化和知识产权工作，培育自主品牌。（十）节能与综合利用处。负责全社会节能的综合协调，实施能耗强度管理；承担节能监督管理、工业技改项目能评管理工作；制订并实施工业和信息化领域循环经济发展、清洁生产、资源综合利用规划及促进政策；组织协调节能改造和绿色制造示范工程，指导节能环保产业发展。（十一）产业人才与合作处。指导工业、信息化领域的人才队伍建设，负责全市企业经营管理人员培训；负责工业和信息化领域对外合作交流；牵头负责对口帮扶、对口支援和对口合作等工作；做好“一带一路”、长江经济带和长三角区域产业合作工作。（十二）生产服务业处。发展生产性服务业，推进先进制造业与现代服务业深度融合；负责推进工业设计、现代物流、会展业和服务型制造发展；承担工业文化和工业遗产保护等工作；推动相关行业统计体系建设。（十三）装备工业处。负责机械、航空航天、轨道交通等装备制造业行业管理，制订并实施行业发展规划；组织重大技术装备自主研发与推广应用，指导高端技术装备的引进、消化、吸收、创新，推进高端技术装备国产化；推动全市首台（套）重大技术装备创新及应用；牵头智能制造工作，负责智能制造重大项目建设管理；推动相关行业统计体系建设。(十四）材料工业处（市履行《禁止化学武器公约》工作办公室）。负责钢铁、有色、黄金、稀土、石化（不含炼油）、化工（不含煤制燃料和燃料乙醇）、建材等原材料及新材料行业管理，制订并实施行业发展规划；推动相关行业统计体系建设；承担市履行《禁止化学武器公约》工作领导小组办公室的日常工作。（十五）墙体材料和散装水泥管理处。制订全市新型墙体材料和预拌砂浆产业发展规划，组织协调实施；开展新型墙体材料技术推广、产品认定和预拌砂浆生产企业的备案和质量监管；指导全市新型墙体材料生产、使用和散装水泥推广应用的监督管理和行政执法；引导墙材行业向装配式建筑材料转型升级。（十六）消费品工业处。负责轻工、纺织、医药、食品等消费品行业管理，制定并实施行业发展规划；承担全市食盐专营工作和盐业行业管理；推动传统工艺美术行业发展，开展相关大师、名人的评审和推荐；按分工参与烟草管理有关工作；推动相关行业统计体系建设。（十七）信息化发展处（工业信息安全处）。制订并组织实施信息化发展专项规划、年度计划，参与制订相关支持政策、技术规范和标准；组织规划重大信息化建设项目，实施信息技术推广应用，扩大和升级信息消费；负责工业领域信息安全及保障能力建设；推进工业领域大数据开发、应用和管理创新；负责本市信息基础设施的规划和建设管理，协调运营企业开展配套建设；承担市国防动员委员会信息动员办公室的日常工作。（十八）电子软件与信息服务业处（互联网产业管理处）。承担电子信息产业、软件和信息服务业、互联网产业的行业管理工作，制定行业发展规划并组织实施；促进有关行业新产品、新技术、新业态推广应用和融合发展；推进网络安全技术、产品研发及产业化；跟踪推进行业重大项目建设；推进软件保护和正版化；推动相关行业统计体系建设。（十九）两化融合推进处（工业互联网办公室）。统筹推进工业领域信息化发展，研究制订信息化与工业化融合发展战略，制订并实施制造业与互联网融合发展、工业互联网创新应用、新一代信息技术与制造业融合发展的专项规划和年度计划；统筹推进工业互联网产业发展、平台建设和推广应用，实施制造业与互联网融合发展试点示范工程；参与信息化和工业化融合管理体系标准制定，促进企业贯彻融合管理体系标准；推动工业领域电子商务发展。（二十）无线电管理监督处（江苏省工业和信息化厅常州市无线电管理处）。贯彻实施无线电管理的法律、法规，负责全市除军事系统外的无线电管理工作；根据授权实施无线电频率使用许可、审查无线电台（站）的建设布局和台址、核发无线电台执照及电台识别码（含呼号）、征收频率占用费；负责本行政区域内无线电发射设备的监管和业余无线电管理；负责本行政区域内无线电安全和重大活动保障；负责本行政区域内无线电监督检查、无线电监测和干扰查处，在授权范围内实施行政执法；领导市无线电监测站开展业务；完成省级无线电管理机构交办的任务，协调处理本行政区域无线电管理其他相关事项。（二十一）中小企业促进处。组织实施促进中小企业和民营经济发展政策；负责监测分析中小企业、民营经济运行态势；协调解决中小企业发展中的有关问题；指导中小企业专精特新发展，培育“隐形冠军”企业；定期组织对中小企业促进工作情况的监督检查，委托第三方机构开展中小企业发展环境评估。（二十二）服务体系建设处。制订并实施中小企业、民营经济服务体系发展规划和政策措施；统筹中小企业公共服务体系和融资服务体系建设，推进中小企业技术推广、市场开拓、政策信息等公共服务平台建设；指导中小企业和民营经济创新创业，推进小型微型企业“双创”基地建设；指导各类服务机构为中小企业提供规范服务；联系工业和信息化领域行业协会工作。（二十三）国防科技工业办公室。组织拟订全市国防科技工业规划；协调军工能力调整、资产重组、军品科研生产、固定资产投资管理；管理国防科技工业质量、计量、标准、情报、统计、成果推广工作；负责武器装备科研生产许可证和军品科研生产承担单位保密资格监督管理；负责军民两用技术双向转移等相关推进工作；参与武器装备科研合同管理和军品免税等事项；负责军工系统安全生产标准化达标建设推进工作；配合上级部门做好民用爆破器材生产和流通的行业管理及安全生产监管，配合做好民爆行业生产、销售许可证管理和市场治理整顿工作；配合上级部门做好船舶行业管理并指导行业安全生产工作。机关党委。负责机关和直属单位的党群工作。本单位下属单位包括:工信综合执法支队、无线电管理监测站。本单位无下属单位。</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三、</w:t>
      </w:r>
      <w:r>
        <w:rPr>
          <w:rFonts w:hint="eastAsia" w:ascii="黑体" w:hAnsi="黑体" w:eastAsia="黑体" w:cs="黑体"/>
          <w:b w:val="0"/>
          <w:bCs w:val="0"/>
          <w:lang w:eastAsia="zh-CN"/>
        </w:rPr>
        <w:t>2021</w:t>
      </w:r>
      <w:r>
        <w:rPr>
          <w:rFonts w:hint="eastAsia" w:ascii="黑体" w:hAnsi="黑体" w:eastAsia="黑体" w:cs="黑体"/>
          <w:b w:val="0"/>
          <w:bCs w:val="0"/>
        </w:rPr>
        <w:t>年度主要工作完成情况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一）强化统筹引领，发展态势不断向好。一是精心编制发展规划。紧扣“十四五”城市发展定位，组织编制《常州市“十四五”工业智造发展规划》，从“十三五”发展回顾、“十四五”发展形势、“十四五”总体思路、产业发展重点、空间布局、主要任务、保障措施等七个方面确定了未来五年工业智造战略蓝图和行动纲领，明晰了建设“国际化智造名城、长三角产业中轴”的具体发展定位。二是调整优化扶持政策。充分发挥财政资金撬动作用，在“三位一体”发展战略有关政策基础上调整出台《关于推进高质量工业智造明星城建设的若干政策》，重点聚焦推动工业强基提质增效、加快智能制造创新发展、提升智能制造服务能力、加快工业互联网创新发展、提升绿色安全发展水平五大支持方向，以14条具体政策全力推动建设国际化智造名城。全年共下达市级资金2.32亿元，其中工业高质量发展专项资金1.83亿元；与此同时，帮助企业积极向上争取资金4.7亿元。三是科学指导疫情防控。履行市企业防控组牵头职责，强化疫情应急时期和常态化企业疫情防控督查，编印《当前企业防控工作重点提示单》并迅速宣传发放，指导企业落实好常态化防控措施。全力保障应急防疫物资生产，协调运输等环节难题。及时启动市级食盐储备，确保全市食盐供应。对全市608家食品工业企业开展进口冷链食品溯源管理，督促企业严格落实进口冷链食品防疫主体责任。</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二）强化产业强链，集群特色不断彰显。一是建立市领导挂钩优势产业链机制。聚焦太阳能光伏、新型碳材料、动力电池等23条优势产业链，建立市领导挂钩联系制度，围绕五项重点工作目标建立“七个一”工作机制，全力打造“链主企业＋骨干企业＋高成长企业”的产业链梯队。新型碳材料集群入选国家先进制造业集群决赛优胜者名单；新能源汽车及汽车核心零部件集群提速发展，全年产值超1500亿元；集成电路产业紧抓芯片产业新一轮发展机遇，全年产值达到168亿元。二是推动重大项目投产和企业技术改造。围绕十大先进制造业集群推进重大工业项目建设，全市43个省重大工业项目完成投资244.5亿元；100个省先进制造业集群项目完成投资335亿元。新实施技术设备投入超亿元技改项目62个，总投资规模达403.5亿元；其中5个项目列入省高端化改造升级项目，数量列全省第一。三是着力培育工业经济新增长点。全市工业经济新增长点企业完成产值5025.6亿元，同比增长40.8%，增幅高于规上工业平均16个百分点，占全市规上工业产值的37.8%；新增产值1402.0亿元，占全市规上工业新增产值的53.0%。四是加强龙头骨干企业培育。新增中国500强企业1家、民营企业500强企业1家，全年营业收入超百亿元企业达17家。</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三）强化创新驱动，内生动力不断增强。一是加快创新载体建设。积极开展制造业创新中心建设，指导江苏省新能源汽车能源与信息创新中心和江苏省石墨烯创新中心完善运行机制，争取创建国家制造业创新中心；筹备建设江苏省动力及储能电池制造业创新中心。积极开展企业技术中心建设，中天钢铁被认定为国家级企业技术中心；新增32家工业企业和1家建筑业省级企业技术中心，数量为历年新高；76家企业被认定为市级企业技术中心。二是激发企业创新活力。立足关键技术自主可控开展核心技术攻关，编制关键核心技术攻关清单87项，新增省级关键核心技术攻关项目5个、省重点技术创新导向计划项目137个。注重质量品牌培育，3家企业入选省质量标杆；2家企业入选国家质量标杆，实现我市该项工作零的突破。加快发展新产业新业态新模式，制定《支持新技术新产品及应用场景实施细则》，对使用新技术新产品的示范应用场景给予支持；全年55家企业新技术新产品列入省重点推广应用目录；推动市级创新产品认定和推广，共确定创新产品补贴项目28个。三是推动企业专精特新发展。新增3家企业入围国家制造业单项冠军示范企业、4个产品入围单项冠军产品，累计达24家，在全国地级市列第一；新增16家国家专精特新“小巨人”企业，创历年新高；新增92家省级专精特新小巨人企业，新增数量列全省第三；认定41家市级“专精特新”中小企业，逐步形成市、省、国家三级梯度培育体系。四是提升融合发展水平。引导企业发展服务型制造，格力博入选国家级服务型制造示范企业，为我市首家；18家企业入选省级服务型制造示范企业,“星星充电智慧能源管理”等4个平台被认定为省级服务型制造示范平台，省级示范企业（平台）累计达79家，新增数和累计数均列全省第二。引导企业重视工业设计创新，开展“工业设计进千企”系列活动，15家企业被认定为省级工业设计中心（示范园区），该批次认定数和总数均列全省第二，40家企业被认定为市级工业设计中心。认定第三届常州市工艺美术大师25个、第一届常州市工艺美术大师示范工作室5家。中车戚机公司入选国家工业遗产，项目总量列全省第一。</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四）强化数字赋能，智造体系不断完善。一是实施智能制造工程。构筑多层次示范体系，全年创建省级智能工厂1家、市级智能工厂11家；创建省智能制造示范车间34个，认定市级智能制造示范车间52个，发布24个智能制造场景。促进区域制造业加速数字化转型，出台《常州市智能制造示范区培育实施方案》，支持产业特色鲜明、转型需求迫切、基础条件好的地区建设智能制造示范区，11个工业园区、乡镇正积极开展示范区创建工作。大力发展智能制造装备，出台《苏锡常首台（套）重大装备认定管理办法》，开展首批次20个苏锡常首台（套）重大装备认定。规范智能制造系统解决方案供应商发展，引导提供专业化、高水平、一站式的集成服务，新增省智能制造领军服务机构4家、列全省第二；新入选市级智能制造服务商库企业36家。二是促进两化深度融合。成功举办2021世界工业与能源互联网暨国际工业装备博览会，围绕“低碳智造新高地工业启航新征程”主题举办了“1+1+N”系列活动，会议期间签约项目达120余个。持续做好工业互联网试点示范项目培育，新增上云企业超3000家，总数突破1.2万家；新增省星级上云企业273家，总数达938家；新增五星上云企业7家，总数达38家、列全省第二。着力推进两化融合管理体系贯标服务，首批通过国家两化融合升级版贯标AAA企业4家、列全省第一，省级66家。指导“中德（常州）智能制造合作示范园区”建成国家新一代信息技术与制造业融合发展试点示范，常州经开区获评江苏省“互联网+先进制造业”特色产业基地，天宁区建成全省首家工业互联网领域新型工业化示范基地。三是推进智慧城市建设。以“强基、善政、惠民、兴业、安全”为宗旨，围绕“1123”总体架构科学开展“十四五”智慧城市建设规划，致力建设长三角智慧运行标杆城市。举办信息消费江苏行（常州站）活动，揭牌成立“常州市信息消费体验中心”、“常州市5G创新体验中心”，3个项目入选工信部2021年新型信息消费示范项目名单、数量列全省第一。4个项目入选国家“5G+医疗健康”应用试点项目。1家企业入选2021年国家智慧养老示范企业名单；3个街道（乡镇）入选2021年国家智慧健康养老示范街道（乡镇）名单，数量全省并列第一。2家企业入选江苏省第二批信息消费体验中心。加大5G建设统筹推进力度，实现城区、乡镇5G网络全覆盖，入选全国首批“千兆城市”。会同市发改委等部门出台《关于住宅区和商务楼宇信息基础设施共建共享的通知》，进一步推进信息基础设施共建共享。四是抓好信息技术融合应用。共培育“5G+”融合应用项目60个，总投资6.5亿元；其中“5G+工业互联网”应用项目数占比达60%。4个工业互联网标识解析二级节点正式上线，共接入企业2661家，标识注册量22亿，解析量9亿次。常州科教城入选首批江苏软件名园培育试点。信创产业链加快发展，国光信息成为全省首家被纳入国家整机信创目录名单企业，9家企业被纳入省信创图谱。依托省卫生健康云既有建设基础和我市卫生健康与信创产业先发优势，支持钟楼开发区筹建省信创卫生健康云生态基地。全省信创先导区卫生健康领域应用场景专题对接会在我市召开。</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五）强化绿色安全，发展理念不断提升。一是推进产业转型升级。印发《常州市化工产业安全环保整治提升领导小组2021年工作要点》，对安全风险高、环境管理水平差和技术水平低的企业依法依规实施关闭退出，全年关闭退出化工生产企业46家，超额完成省下达目标任务。督促辖市区加快省化工整治攻坚平台“一企一策”问题隐患整改销号进度，已申报整改率、经部门确认整改率双双达100%。加强化工行业危险化学品使用安全专项治理，编制完成常州市化工行业危险化学品使用安全风险分析报告。开展已关闭退出化工企业和城镇人口密集区危化品生产企业搬迁改造完成情况“回头看”，审慎推进调整退出化工行业整治提升范围工作，完成第一批6家市化工重点监测点认定，指导常州滨江经济开发区新材料产业园优化调整四至范围，转型提升发展。二是完善绿色制造体系。严格“两高”项目管理，坚决遏制“两高”技改项目盲目发展，对相关项目开展备案核准、节能审查、产能置换等排查工作。全年对56家企业开展能源审计，指导52家工业企业开展自愿性清洁生产审核，对26个企业进行免费节能诊断。深化绿色制造体系创建，新增国家级绿色工厂4家、绿色供应链管理示范企业1家、绿色设计产品9个，省级绿色工厂16家，市级绿色工厂28家，国家级、省级绿色工厂累计数均列全省第二。瑞赛环保科技入围国家工业资源综合利用先进适用工业技术装备目录，为全省唯一；晨风（常州）服装获评国家工业产品绿色设计示范企业；4家企业的产品或技术分别入围《国家工业节能技术推荐目录（2021）》《“能效之星”装备产品目录（2021）》《国家通信业节能技术产品推荐目录（2021）》。加大新能源汽车推广应用力度，全市推广应用新能源汽车17522辆，同比增长95.9%，其中列入工信部推广目录12537辆，同比增长174%；共建成公共充电桩689个，其中直流充电桩498个，交流充电桩191个。三是压实行业管理职责。推进民爆、船舶制造业安全生产专项整治“一年小灶”转“三年大灶”，扎实开展三年整治行动，重点强化民爆、船舶制造业使用危险化学品、防火门安全使用等专项整治工作，指导企业加强制度建设，开展安全生产宣讲培训，形成任务明确、职责到人、齐抓共管的安全生产工作体系。开展钢铁、印染、电镀行业落后产能排查，实施钢铁、水泥等行业产能置换，组织钢铁、稀土、铝加工（深井铸造）、烧结砖瓦行业整治。制定“危污乱散低”企业排查指导性标准，重点突出“散低”类工业企业综合整治提升，加强用作工业企业的农村自建房使用安全监督。全市新型墙体材料和预拌砂浆企业实现绿色发展，获评绿色建材产品认证的新型墙体材料和预拌砂浆生产企业达30家，列全省第一。持续深化涉军企业指导服务。进一步加强食盐专营管理。</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六）强化服务提升，发展活力不断释放。一是健全服务体系。加强中小企业公共服务平台建设，大连理工江苏研究院有限公司和绿弘科技有限公司分别获评国家中小企业公共服务示范平台和小微企业双创示范基地，国家级基地数量与南京并列全省第一。大连理工江苏研究院“博士吧科技型中小企业公共服务平台”获国家专精特新小巨人平台资金支持。积极开展创业创新服务，精心承办2021年“创客中国”江苏省中小企业创新创业大赛区域赛及省高端装备专题赛，对优秀项目进行落地诊断并深化后续服务。二是提升服务效能。连续9年开展企业大走访大服务活动，2021年全系统围绕“送政策、强信心、解难题、开新局”主题，累计走访工业星级企业、工业重点项目企业、新增长点企业等超4600家，向企业赠送政策汇编近千册。线上线下强化产业人才培训，联合量子大学常州分院开展“云上培训、助企稳岗”在线学习公益活动，举办2期工业高质量发展专题培训、4期企业“创新与发展”报告会、16期“工信讲坛”，申报省“英才名匠”产业人才培训24班次。加强无线电管理，查处“黑广播”5起，保障高考等大型考试13次，民航等重点无线电业务安全、大型活动和重点时段无线电用频保障有力。三是强化要素支撑。聚焦中小微企业融资需求，提升金融助企服务水平，“苏微贷”累计入库企业1640家，本年发放贷款371笔，发放贷款金额18.1亿元；“成长贷”发放208笔合计6.48亿元贷款。推动减轻企业成本负担政策落到实处，全市新增减税降费77.21亿元，占到全市税收比重的7.4%，占全省新增减税降费总额的8.5%，我市企业降本减负工作获省减负办肯定。全面开展2020年度全市规模以上工业企业、用地3亩及以上的规模以下工业企业和重点排污工业企业综合评价工作，指导各地区探索评价结果差别化应用。</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2021年，市工信局上下齐心、真抓实干，全系统提振了精气神、焕发了新气象，工业和信息化各项工作顺利推进、成效明显，工业经济保持了稳中加固、稳中向好态势。但是全面客观分析，工业经济增幅较大是经济因素、政策因素和基数因素叠加作用结果，当前全球疫情形势和经济复苏出现分化，需求持续恢复仍受到制约，企业生产经营压力仍然较大；企业创新能力还不够强，传统产业转型升级不够快，新经济新动能后劲不足；绿色发展、安全生产形势依然严峻。</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700" w:bottom="770" w:left="1020" w:header="283"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outlineLvl w:val="0"/>
        <w:rPr>
          <w:rFonts w:hint="eastAsia" w:ascii="宋体" w:hAnsi="宋体" w:eastAsia="宋体" w:cs="宋体"/>
          <w:b/>
          <w:bCs/>
          <w:sz w:val="36"/>
          <w:szCs w:val="36"/>
          <w:lang w:val="en-US" w:eastAsia="zh-CN"/>
        </w:rPr>
      </w:pPr>
      <w:r>
        <w:rPr>
          <w:rFonts w:hint="eastAsia" w:ascii="宋体" w:hAnsi="宋体" w:eastAsia="宋体" w:cs="宋体"/>
          <w:b/>
          <w:bCs/>
          <w:sz w:val="36"/>
          <w:szCs w:val="36"/>
        </w:rPr>
        <w:t>第二部分</w:t>
      </w:r>
    </w:p>
    <w:p>
      <w:pPr>
        <w:pStyle w:val="21"/>
        <w:widowControl w:val="0"/>
        <w:tabs>
          <w:tab w:val="left" w:pos="1609"/>
        </w:tabs>
        <w:suppressAutoHyphens/>
        <w:bidi w:val="0"/>
        <w:spacing w:before="12" w:after="0"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u w:val="none"/>
        </w:rPr>
        <w:t>常州市工业和信息化局（本级）</w:t>
      </w:r>
    </w:p>
    <w:p>
      <w:pPr>
        <w:pStyle w:val="21"/>
        <w:widowControl w:val="0"/>
        <w:tabs>
          <w:tab w:val="left" w:pos="1609"/>
        </w:tabs>
        <w:suppressAutoHyphens/>
        <w:bidi w:val="0"/>
        <w:spacing w:before="12" w:after="0"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2021</w:t>
      </w:r>
      <w:r>
        <w:rPr>
          <w:rFonts w:hint="eastAsia" w:ascii="宋体" w:hAnsi="宋体" w:eastAsia="宋体" w:cs="宋体"/>
          <w:b/>
          <w:bCs/>
          <w:sz w:val="36"/>
          <w:szCs w:val="36"/>
        </w:rPr>
        <w:t>年度</w:t>
      </w:r>
      <w:r>
        <w:rPr>
          <w:rFonts w:hint="eastAsia" w:ascii="宋体" w:hAnsi="宋体" w:eastAsia="宋体" w:cs="宋体"/>
          <w:b/>
          <w:bCs/>
          <w:sz w:val="36"/>
          <w:szCs w:val="36"/>
          <w:lang w:val="en-US" w:eastAsia="zh-CN"/>
        </w:rPr>
        <w:t>单位</w:t>
      </w:r>
      <w:r>
        <w:rPr>
          <w:rFonts w:ascii="宋体" w:hAnsi="宋体" w:eastAsia="宋体" w:cs="宋体"/>
          <w:b/>
          <w:sz w:val="36"/>
        </w:rPr>
        <w:t>决算表</w:t>
      </w:r>
    </w:p>
    <w:tbl>
      <w:tblPr>
        <w:tblStyle w:val="12"/>
        <w:tblW w:w="10447" w:type="dxa"/>
        <w:jc w:val="center"/>
        <w:tblLayout w:type="fixed"/>
        <w:tblCellMar>
          <w:top w:w="0" w:type="dxa"/>
          <w:left w:w="108" w:type="dxa"/>
          <w:bottom w:w="0" w:type="dxa"/>
          <w:right w:w="108" w:type="dxa"/>
        </w:tblCellMar>
      </w:tblPr>
      <w:tblGrid>
        <w:gridCol w:w="3784"/>
        <w:gridCol w:w="1461"/>
        <w:gridCol w:w="2035"/>
        <w:gridCol w:w="1709"/>
        <w:gridCol w:w="1458"/>
      </w:tblGrid>
      <w:tr>
        <w:tblPrEx>
          <w:tblCellMar>
            <w:top w:w="0" w:type="dxa"/>
            <w:left w:w="108" w:type="dxa"/>
            <w:bottom w:w="0" w:type="dxa"/>
            <w:right w:w="108" w:type="dxa"/>
          </w:tblCellMar>
        </w:tblPrEx>
        <w:trPr>
          <w:trHeight w:val="544" w:hRule="atLeast"/>
          <w:jc w:val="center"/>
        </w:trPr>
        <w:tc>
          <w:tcPr>
            <w:tcW w:w="10447" w:type="dxa"/>
            <w:gridSpan w:val="5"/>
          </w:tcPr>
          <w:p>
            <w:pPr>
              <w:pageBreakBefore/>
              <w:widowControl w:val="0"/>
              <w:ind w:left="0" w:right="0" w:firstLine="0"/>
              <w:jc w:val="center"/>
              <w:textAlignment w:val="auto"/>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tblPrEx>
          <w:tblCellMar>
            <w:top w:w="0" w:type="dxa"/>
            <w:left w:w="108" w:type="dxa"/>
            <w:bottom w:w="0" w:type="dxa"/>
            <w:right w:w="108" w:type="dxa"/>
          </w:tblCellMar>
        </w:tblPrEx>
        <w:trPr>
          <w:trHeight w:val="348" w:hRule="atLeast"/>
          <w:jc w:val="center"/>
        </w:trPr>
        <w:tc>
          <w:tcPr>
            <w:tcW w:w="3784" w:type="dxa"/>
          </w:tcPr>
          <w:p>
            <w:pPr>
              <w:widowControl w:val="0"/>
              <w:ind w:left="0" w:right="0" w:firstLine="0"/>
              <w:jc w:val="left"/>
              <w:textAlignment w:val="auto"/>
              <w:rPr>
                <w:rFonts w:hint="eastAsia" w:ascii="仿宋" w:hAnsi="仿宋" w:eastAsia="仿宋" w:cs="仿宋"/>
                <w:color w:val="000000"/>
                <w:sz w:val="20"/>
              </w:rPr>
            </w:pPr>
          </w:p>
        </w:tc>
        <w:tc>
          <w:tcPr>
            <w:tcW w:w="1461" w:type="dxa"/>
          </w:tcPr>
          <w:p>
            <w:pPr>
              <w:widowControl w:val="0"/>
              <w:ind w:left="0" w:right="0" w:firstLine="0"/>
              <w:jc w:val="left"/>
              <w:textAlignment w:val="auto"/>
              <w:rPr>
                <w:rFonts w:hint="eastAsia" w:ascii="仿宋" w:hAnsi="仿宋" w:eastAsia="仿宋" w:cs="仿宋"/>
                <w:color w:val="000000"/>
                <w:sz w:val="20"/>
              </w:rPr>
            </w:pPr>
          </w:p>
        </w:tc>
        <w:tc>
          <w:tcPr>
            <w:tcW w:w="5202" w:type="dxa"/>
            <w:gridSpan w:val="3"/>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ar-SA"/>
              </w:rPr>
              <w:t>公开01表</w:t>
            </w:r>
          </w:p>
        </w:tc>
      </w:tr>
      <w:tr>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单位</w:t>
            </w:r>
            <w:r>
              <w:rPr>
                <w:rFonts w:ascii="仿宋" w:hAnsi="仿宋" w:eastAsia="仿宋" w:cs="仿宋"/>
                <w:color w:val="000000"/>
                <w:sz w:val="22"/>
              </w:rPr>
              <w:t>名称：</w:t>
            </w:r>
            <w:r>
              <w:rPr>
                <w:rFonts w:hint="eastAsia" w:ascii="仿宋" w:hAnsi="仿宋" w:eastAsia="仿宋" w:cs="仿宋"/>
                <w:color w:val="000000"/>
                <w:sz w:val="22"/>
                <w:szCs w:val="22"/>
                <w:lang w:eastAsia="ar-SA"/>
              </w:rPr>
              <w:t>常州市工业和信息化局（本级）</w:t>
            </w:r>
          </w:p>
        </w:tc>
        <w:tc>
          <w:tcPr>
            <w:tcW w:w="3167"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rPr>
              <w:t>金额单位：万元</w:t>
            </w:r>
          </w:p>
        </w:tc>
      </w:tr>
      <w:tr>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支出</w:t>
            </w:r>
          </w:p>
        </w:tc>
      </w:tr>
      <w:tr>
        <w:tblPrEx>
          <w:tblCellMar>
            <w:top w:w="0" w:type="dxa"/>
            <w:left w:w="108" w:type="dxa"/>
            <w:bottom w:w="0" w:type="dxa"/>
            <w:right w:w="108" w:type="dxa"/>
          </w:tblCellMar>
        </w:tblPrEx>
        <w:trPr>
          <w:trHeight w:val="39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ascii="仿宋" w:hAnsi="仿宋" w:eastAsia="仿宋" w:cs="仿宋"/>
                <w:color w:val="000000"/>
                <w:sz w:val="22"/>
              </w:rPr>
              <w:t>项目</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决算数</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按功能分类</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决算数</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6,112.34</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四、上级补助收入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六、经营收入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1,374.18</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七、附属单位上缴收入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八、其他收入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26.79</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197.05</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九、卫生健康支出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106.06</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十、节能环保支出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35.34</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十一、城乡社区支出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十二、农林水支出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十三、交通运输支出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十四、资源勘探工业信息等支出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3,423.67</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十五、商业服务业等支出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十六、金融支出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十七、援助其他地区支出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5.30</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十八、自然资源海洋气象等支出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十九、住房保障支出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1,070.83</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二十、粮油物资储备支出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34.90</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二十一、国有资本经营预算支出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二十二、灾害防治及应急管理支出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二十三、其他支出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二十四、债务还本支出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二十五、债务付息支出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二十六、抗疫特别国债安排的支出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454" w:hRule="exac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本年收入合计</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6,139.13</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6,247.33</w:t>
            </w:r>
          </w:p>
        </w:tc>
      </w:tr>
      <w:tr>
        <w:tblPrEx>
          <w:tblCellMar>
            <w:top w:w="0" w:type="dxa"/>
            <w:left w:w="108" w:type="dxa"/>
            <w:bottom w:w="0" w:type="dxa"/>
            <w:right w:w="108" w:type="dxa"/>
          </w:tblCellMar>
        </w:tblPrEx>
        <w:trPr>
          <w:trHeight w:val="413"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使用非财政拨款结余</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结余分配</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p>
        </w:tc>
      </w:tr>
      <w:tr>
        <w:tblPrEx>
          <w:tblCellMar>
            <w:top w:w="0" w:type="dxa"/>
            <w:left w:w="108" w:type="dxa"/>
            <w:bottom w:w="0" w:type="dxa"/>
            <w:right w:w="108" w:type="dxa"/>
          </w:tblCellMar>
        </w:tblPrEx>
        <w:trPr>
          <w:trHeight w:val="413"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年初结转和结余</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108.20</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年末结转和结余</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p>
        </w:tc>
      </w:tr>
      <w:tr>
        <w:tblPrEx>
          <w:tblCellMar>
            <w:top w:w="0" w:type="dxa"/>
            <w:left w:w="108" w:type="dxa"/>
            <w:bottom w:w="0" w:type="dxa"/>
            <w:right w:w="108" w:type="dxa"/>
          </w:tblCellMar>
        </w:tblPrEx>
        <w:trPr>
          <w:trHeight w:val="383" w:hRule="atLeast"/>
          <w:jc w:val="center"/>
        </w:trPr>
        <w:tc>
          <w:tcPr>
            <w:tcW w:w="3784"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1461"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3744" w:type="dxa"/>
            <w:gridSpan w:val="2"/>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1458"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r>
      <w:tr>
        <w:tblPrEx>
          <w:tblCellMar>
            <w:top w:w="0" w:type="dxa"/>
            <w:left w:w="108" w:type="dxa"/>
            <w:bottom w:w="0" w:type="dxa"/>
            <w:right w:w="108" w:type="dxa"/>
          </w:tblCellMar>
        </w:tblPrEx>
        <w:trPr>
          <w:cantSplit/>
          <w:trHeight w:val="454" w:hRule="exac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eastAsia="ar-SA"/>
              </w:rPr>
              <w:t>总计</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6,247.33</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eastAsia="ar-SA"/>
              </w:rPr>
              <w:t>总计</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6,247.33</w:t>
            </w:r>
          </w:p>
        </w:tc>
      </w:tr>
    </w:tbl>
    <w:p>
      <w:pPr>
        <w:widowControl w:val="0"/>
        <w:suppressAutoHyphens/>
        <w:bidi w:val="0"/>
        <w:spacing w:before="66" w:after="0"/>
        <w:ind w:left="0" w:leftChars="0" w:right="0" w:rightChars="0" w:firstLine="0" w:firstLineChars="0"/>
        <w:jc w:val="both"/>
        <w:rPr>
          <w:rFonts w:hint="eastAsia" w:ascii="仿宋" w:hAnsi="仿宋" w:eastAsia="仿宋" w:cs="仿宋"/>
          <w:b w:val="0"/>
          <w:bCs w:val="0"/>
          <w:color w:val="000000"/>
          <w:sz w:val="22"/>
          <w:szCs w:val="22"/>
          <w:lang w:val="en-US" w:eastAsia="zh-CN"/>
        </w:rPr>
      </w:pPr>
      <w:r>
        <w:rPr>
          <w:rFonts w:hint="eastAsia" w:ascii="仿宋" w:hAnsi="仿宋" w:eastAsia="仿宋" w:cs="仿宋"/>
          <w:b w:val="0"/>
          <w:bCs w:val="0"/>
          <w:color w:val="000000"/>
          <w:sz w:val="22"/>
          <w:szCs w:val="22"/>
          <w:lang w:val="en-US" w:eastAsia="zh-CN"/>
        </w:rPr>
        <w:t>注：本表反映本年度的总收支和年末结转结余情况。本表金额单位转换时可能存在尾数误差。</w:t>
      </w:r>
    </w:p>
    <w:p>
      <w:pPr>
        <w:widowControl w:val="0"/>
        <w:suppressAutoHyphens/>
        <w:bidi w:val="0"/>
        <w:spacing w:before="66" w:after="0"/>
        <w:ind w:right="0"/>
        <w:jc w:val="both"/>
        <w:rPr>
          <w:rFonts w:hint="eastAsia" w:ascii="仿宋" w:hAnsi="仿宋" w:eastAsia="仿宋" w:cs="仿宋"/>
          <w:b w:val="0"/>
          <w:bCs w:val="0"/>
          <w:color w:val="000000"/>
          <w:sz w:val="22"/>
          <w:szCs w:val="22"/>
        </w:rPr>
        <w:sectPr>
          <w:footerReference r:id="rId8"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39" w:type="dxa"/>
        <w:jc w:val="center"/>
        <w:tblLayout w:type="fixed"/>
        <w:tblCellMar>
          <w:top w:w="0" w:type="dxa"/>
          <w:left w:w="108" w:type="dxa"/>
          <w:bottom w:w="0" w:type="dxa"/>
          <w:right w:w="108" w:type="dxa"/>
        </w:tblCellMar>
      </w:tblPr>
      <w:tblGrid>
        <w:gridCol w:w="1115"/>
        <w:gridCol w:w="2925"/>
        <w:gridCol w:w="1592"/>
        <w:gridCol w:w="1604"/>
        <w:gridCol w:w="1565"/>
        <w:gridCol w:w="1396"/>
        <w:gridCol w:w="1578"/>
        <w:gridCol w:w="1174"/>
        <w:gridCol w:w="1277"/>
        <w:gridCol w:w="1213"/>
      </w:tblGrid>
      <w:tr>
        <w:tblPrEx>
          <w:tblCellMar>
            <w:top w:w="0" w:type="dxa"/>
            <w:left w:w="108" w:type="dxa"/>
            <w:bottom w:w="0" w:type="dxa"/>
            <w:right w:w="108" w:type="dxa"/>
          </w:tblCellMar>
        </w:tblPrEx>
        <w:trPr>
          <w:trHeight w:val="627" w:hRule="atLeast"/>
          <w:jc w:val="center"/>
        </w:trPr>
        <w:tc>
          <w:tcPr>
            <w:tcW w:w="15439" w:type="dxa"/>
            <w:gridSpan w:val="10"/>
            <w:vAlign w:val="center"/>
          </w:tcPr>
          <w:p>
            <w:pPr>
              <w:pStyle w:val="5"/>
              <w:widowControl w:val="0"/>
              <w:rPr>
                <w:rFonts w:hint="eastAsia" w:ascii="仿宋" w:hAnsi="仿宋" w:eastAsia="仿宋" w:cs="仿宋"/>
                <w:b/>
                <w:bCs/>
                <w:sz w:val="44"/>
                <w:szCs w:val="44"/>
                <w:lang w:val="en-US" w:eastAsia="zh-CN"/>
              </w:rPr>
            </w:pPr>
            <w:r>
              <w:rPr>
                <w:rFonts w:hint="eastAsia" w:ascii="宋体" w:hAnsi="宋体" w:eastAsia="宋体" w:cs="宋体"/>
                <w:b/>
                <w:bCs/>
                <w:color w:val="000000"/>
                <w:kern w:val="0"/>
                <w:sz w:val="36"/>
                <w:szCs w:val="36"/>
                <w:lang w:val="zh-CN" w:eastAsia="ar-SA" w:bidi="zh-CN"/>
              </w:rPr>
              <w:t>收入决算表</w:t>
            </w:r>
          </w:p>
        </w:tc>
      </w:tr>
      <w:tr>
        <w:tblPrEx>
          <w:tblCellMar>
            <w:top w:w="0" w:type="dxa"/>
            <w:left w:w="108" w:type="dxa"/>
            <w:bottom w:w="0" w:type="dxa"/>
            <w:right w:w="108" w:type="dxa"/>
          </w:tblCellMar>
        </w:tblPrEx>
        <w:trPr>
          <w:trHeight w:val="314" w:hRule="atLeast"/>
          <w:jc w:val="center"/>
        </w:trPr>
        <w:tc>
          <w:tcPr>
            <w:tcW w:w="4040" w:type="dxa"/>
            <w:gridSpan w:val="2"/>
            <w:vAlign w:val="center"/>
          </w:tcPr>
          <w:p>
            <w:pPr>
              <w:pStyle w:val="22"/>
              <w:widowControl w:val="0"/>
              <w:jc w:val="center"/>
              <w:rPr>
                <w:rFonts w:hint="eastAsia" w:ascii="仿宋" w:hAnsi="仿宋" w:eastAsia="仿宋" w:cs="仿宋"/>
              </w:rPr>
            </w:pPr>
          </w:p>
        </w:tc>
        <w:tc>
          <w:tcPr>
            <w:tcW w:w="1592" w:type="dxa"/>
            <w:vAlign w:val="center"/>
          </w:tcPr>
          <w:p>
            <w:pPr>
              <w:pStyle w:val="22"/>
              <w:widowControl w:val="0"/>
              <w:jc w:val="center"/>
              <w:rPr>
                <w:rFonts w:hint="eastAsia" w:ascii="仿宋" w:hAnsi="仿宋" w:eastAsia="仿宋" w:cs="仿宋"/>
              </w:rPr>
            </w:pPr>
          </w:p>
        </w:tc>
        <w:tc>
          <w:tcPr>
            <w:tcW w:w="1604" w:type="dxa"/>
            <w:vAlign w:val="center"/>
          </w:tcPr>
          <w:p>
            <w:pPr>
              <w:pStyle w:val="22"/>
              <w:widowControl w:val="0"/>
              <w:jc w:val="center"/>
              <w:rPr>
                <w:rFonts w:hint="eastAsia" w:ascii="仿宋" w:hAnsi="仿宋" w:eastAsia="仿宋" w:cs="仿宋"/>
              </w:rPr>
            </w:pPr>
          </w:p>
        </w:tc>
        <w:tc>
          <w:tcPr>
            <w:tcW w:w="1565" w:type="dxa"/>
            <w:vAlign w:val="center"/>
          </w:tcPr>
          <w:p>
            <w:pPr>
              <w:pStyle w:val="22"/>
              <w:widowControl w:val="0"/>
              <w:jc w:val="center"/>
              <w:rPr>
                <w:rFonts w:hint="eastAsia" w:ascii="仿宋" w:hAnsi="仿宋" w:eastAsia="仿宋" w:cs="仿宋"/>
              </w:rPr>
            </w:pPr>
          </w:p>
        </w:tc>
        <w:tc>
          <w:tcPr>
            <w:tcW w:w="2974" w:type="dxa"/>
            <w:gridSpan w:val="2"/>
            <w:vAlign w:val="center"/>
          </w:tcPr>
          <w:p>
            <w:pPr>
              <w:pStyle w:val="22"/>
              <w:widowControl w:val="0"/>
              <w:jc w:val="center"/>
              <w:rPr>
                <w:rFonts w:hint="eastAsia" w:ascii="仿宋" w:hAnsi="仿宋" w:eastAsia="仿宋" w:cs="仿宋"/>
              </w:rPr>
            </w:pPr>
          </w:p>
        </w:tc>
        <w:tc>
          <w:tcPr>
            <w:tcW w:w="1174" w:type="dxa"/>
            <w:vAlign w:val="center"/>
          </w:tcPr>
          <w:p>
            <w:pPr>
              <w:pStyle w:val="22"/>
              <w:widowControl w:val="0"/>
              <w:jc w:val="center"/>
              <w:rPr>
                <w:rFonts w:hint="eastAsia" w:ascii="仿宋" w:hAnsi="仿宋" w:eastAsia="仿宋" w:cs="仿宋"/>
              </w:rPr>
            </w:pPr>
          </w:p>
        </w:tc>
        <w:tc>
          <w:tcPr>
            <w:tcW w:w="2490" w:type="dxa"/>
            <w:gridSpan w:val="2"/>
            <w:vAlign w:val="center"/>
          </w:tcPr>
          <w:p>
            <w:pPr>
              <w:pStyle w:val="22"/>
              <w:widowControl w:val="0"/>
              <w:jc w:val="right"/>
              <w:rPr>
                <w:rFonts w:hint="eastAsia" w:ascii="仿宋" w:hAnsi="仿宋" w:eastAsia="仿宋" w:cs="仿宋"/>
              </w:rPr>
            </w:pPr>
            <w:r>
              <w:rPr>
                <w:rFonts w:hint="eastAsia" w:ascii="仿宋" w:hAnsi="仿宋" w:eastAsia="仿宋" w:cs="仿宋"/>
              </w:rPr>
              <w:t>公开02表</w:t>
            </w:r>
          </w:p>
        </w:tc>
      </w:tr>
      <w:tr>
        <w:tblPrEx>
          <w:tblCellMar>
            <w:top w:w="0" w:type="dxa"/>
            <w:left w:w="108" w:type="dxa"/>
            <w:bottom w:w="0" w:type="dxa"/>
            <w:right w:w="108" w:type="dxa"/>
          </w:tblCellMar>
        </w:tblPrEx>
        <w:trPr>
          <w:trHeight w:val="376" w:hRule="atLeast"/>
          <w:jc w:val="center"/>
        </w:trPr>
        <w:tc>
          <w:tcPr>
            <w:tcW w:w="12949" w:type="dxa"/>
            <w:gridSpan w:val="8"/>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eastAsia="仿宋" w:cs="仿宋"/>
                <w:color w:val="000000"/>
                <w:sz w:val="22"/>
              </w:rPr>
              <w:t>名称：</w:t>
            </w:r>
            <w:r>
              <w:rPr>
                <w:rFonts w:hint="eastAsia" w:ascii="仿宋" w:hAnsi="仿宋" w:eastAsia="仿宋" w:cs="仿宋"/>
              </w:rPr>
              <w:t>常州市工业和信息化局（本级）</w:t>
            </w:r>
          </w:p>
        </w:tc>
        <w:tc>
          <w:tcPr>
            <w:tcW w:w="2490" w:type="dxa"/>
            <w:gridSpan w:val="2"/>
            <w:vAlign w:val="center"/>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0" w:type="dxa"/>
            <w:left w:w="108" w:type="dxa"/>
            <w:bottom w:w="0" w:type="dxa"/>
            <w:right w:w="108" w:type="dxa"/>
          </w:tblCellMar>
        </w:tblPrEx>
        <w:trPr>
          <w:cantSplit/>
          <w:trHeight w:val="312" w:hRule="atLeast"/>
          <w:jc w:val="center"/>
        </w:trPr>
        <w:tc>
          <w:tcPr>
            <w:tcW w:w="4040"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w:t>
            </w:r>
          </w:p>
        </w:tc>
        <w:tc>
          <w:tcPr>
            <w:tcW w:w="1592"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本年收入合计</w:t>
            </w:r>
          </w:p>
        </w:tc>
        <w:tc>
          <w:tcPr>
            <w:tcW w:w="1604"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财政拨款收入</w:t>
            </w:r>
          </w:p>
        </w:tc>
        <w:tc>
          <w:tcPr>
            <w:tcW w:w="1565"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上级补助收入</w:t>
            </w:r>
          </w:p>
        </w:tc>
        <w:tc>
          <w:tcPr>
            <w:tcW w:w="1396"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财政专户管理教育收费</w:t>
            </w:r>
          </w:p>
        </w:tc>
        <w:tc>
          <w:tcPr>
            <w:tcW w:w="1578"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事业收入（不含专户管理教育收费）</w:t>
            </w:r>
          </w:p>
        </w:tc>
        <w:tc>
          <w:tcPr>
            <w:tcW w:w="1174"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经营收入</w:t>
            </w:r>
          </w:p>
        </w:tc>
        <w:tc>
          <w:tcPr>
            <w:tcW w:w="1277"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附属单位上缴收入</w:t>
            </w:r>
          </w:p>
        </w:tc>
        <w:tc>
          <w:tcPr>
            <w:tcW w:w="1213"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其他收入</w:t>
            </w:r>
          </w:p>
        </w:tc>
      </w:tr>
      <w:tr>
        <w:tblPrEx>
          <w:tblCellMar>
            <w:top w:w="0" w:type="dxa"/>
            <w:left w:w="108" w:type="dxa"/>
            <w:bottom w:w="0" w:type="dxa"/>
            <w:right w:w="108" w:type="dxa"/>
          </w:tblCellMar>
        </w:tblPrEx>
        <w:trPr>
          <w:cantSplit/>
          <w:trHeight w:val="220" w:hRule="atLeast"/>
          <w:jc w:val="center"/>
        </w:trPr>
        <w:tc>
          <w:tcPr>
            <w:tcW w:w="111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92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1592"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604"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565"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396"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578"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174"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277"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213"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0" w:type="dxa"/>
            <w:left w:w="108" w:type="dxa"/>
            <w:bottom w:w="0" w:type="dxa"/>
            <w:right w:w="108" w:type="dxa"/>
          </w:tblCellMar>
        </w:tblPrEx>
        <w:trPr>
          <w:cantSplit/>
          <w:trHeight w:val="432" w:hRule="exact"/>
          <w:jc w:val="center"/>
        </w:trPr>
        <w:tc>
          <w:tcPr>
            <w:tcW w:w="404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ascii="仿宋" w:hAnsi="仿宋" w:eastAsia="仿宋" w:cs="仿宋"/>
                <w:sz w:val="22"/>
              </w:rPr>
              <w:t>合计</w:t>
            </w:r>
          </w:p>
        </w:tc>
        <w:tc>
          <w:tcPr>
            <w:tcW w:w="1592"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6,139.13</w:t>
            </w:r>
          </w:p>
        </w:tc>
        <w:tc>
          <w:tcPr>
            <w:tcW w:w="1604"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6,112.34</w:t>
            </w:r>
          </w:p>
        </w:tc>
        <w:tc>
          <w:tcPr>
            <w:tcW w:w="1565"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p>
        </w:tc>
        <w:tc>
          <w:tcPr>
            <w:tcW w:w="1396"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p>
        </w:tc>
        <w:tc>
          <w:tcPr>
            <w:tcW w:w="1578"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p>
        </w:tc>
        <w:tc>
          <w:tcPr>
            <w:tcW w:w="1174"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p>
        </w:tc>
        <w:tc>
          <w:tcPr>
            <w:tcW w:w="1277"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p>
        </w:tc>
        <w:tc>
          <w:tcPr>
            <w:tcW w:w="1213"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26.79</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206</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科学技术支出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1,374.18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1,374.18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20604</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技术研究与开发</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2060499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其他技术研究与开发支出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20699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其他科学技术支出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1,371.38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1,371.38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2069999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其他科学技术支出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1,371.38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1,371.38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社会保障和就业支出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197.05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197.05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人力资源和社会保障管理事务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2080116</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引进人才费用</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20805</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行政事业单位养老支出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161.06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161.06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2080501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行政单位离退休</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161.06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161.06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其他社会保障和就业支出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32.79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32.79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2089999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其他社会保障和就业支出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32.79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32.79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卫生健康支出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106.06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106.06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行政事业单位医疗</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106.06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106.06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行政单位医疗</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68.97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68.97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2101103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公务员医疗补助</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37.09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37.09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节能环保支出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35.34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35.34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21113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循环经济</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23.18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23.18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2111301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循环经济</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23.18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23.18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其他节能环保支出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12.16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12.16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2119999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其他节能环保支出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12.16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12.16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215</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资源勘探工业信息等支出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3,315.47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3,288.68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26.79</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21502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制造业</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93.65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93.65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2150299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其他制造业支出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93.65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93.65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21505</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工业和信息产业监管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3,198.19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3,171.40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26.79</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2150501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行政运行</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2,799.50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2,782.71</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16.79</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2150502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一般行政管理事务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383.04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373.04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10.00</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2150599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其他工业和信息产业监管支出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15.64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15.64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21508</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支持中小企业发展和管理支出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23.64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23.64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2150899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其他支持中小企业发展和管理支出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23.64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23.64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援助其他地区支出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21999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2199900</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住房保障支出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1,070.83</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1,070.83</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住房改革支出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1,070.83</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1,070.83</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住房公积金</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269.27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269.27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提租补贴</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562.89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562.89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购房补贴</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238.67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238.67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粮油物资储备支出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34.90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34.90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22205</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重要商品储备</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34.90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34.90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2220509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食盐储备</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34.90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34.90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bl>
    <w:p>
      <w:pPr>
        <w:widowControl w:val="0"/>
        <w:suppressAutoHyphens/>
        <w:bidi w:val="0"/>
        <w:spacing w:before="66" w:after="0"/>
        <w:ind w:left="0" w:leftChars="0" w:right="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color w:val="000000"/>
          <w:sz w:val="22"/>
          <w:szCs w:val="22"/>
        </w:rPr>
        <w:t>注：</w:t>
      </w:r>
      <w:r>
        <w:rPr>
          <w:rFonts w:hint="eastAsia" w:ascii="仿宋" w:hAnsi="仿宋" w:eastAsia="仿宋" w:cs="仿宋"/>
          <w:b w:val="0"/>
          <w:bCs w:val="0"/>
          <w:sz w:val="22"/>
          <w:szCs w:val="22"/>
        </w:rPr>
        <w:t>本表反映本年度取得的各项收入情况。本表金额单位转换时可能存在尾数误差。</w:t>
      </w:r>
    </w:p>
    <w:p>
      <w:pPr>
        <w:widowControl w:val="0"/>
        <w:suppressAutoHyphens/>
        <w:bidi w:val="0"/>
        <w:spacing w:before="66" w:after="0"/>
        <w:ind w:left="57" w:right="0" w:firstLine="220" w:firstLineChars="100"/>
        <w:jc w:val="both"/>
        <w:rPr>
          <w:rFonts w:hint="eastAsia" w:ascii="仿宋" w:hAnsi="仿宋" w:eastAsia="仿宋" w:cs="仿宋"/>
          <w:b w:val="0"/>
          <w:bCs w:val="0"/>
          <w:sz w:val="22"/>
          <w:szCs w:val="22"/>
        </w:rPr>
        <w:sectPr>
          <w:footerReference r:id="rId9"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4183"/>
        <w:gridCol w:w="2011"/>
        <w:gridCol w:w="1486"/>
        <w:gridCol w:w="1564"/>
        <w:gridCol w:w="1593"/>
        <w:gridCol w:w="1472"/>
        <w:gridCol w:w="1482"/>
      </w:tblGrid>
      <w:tr>
        <w:tblPrEx>
          <w:tblCellMar>
            <w:top w:w="55" w:type="dxa"/>
            <w:left w:w="55" w:type="dxa"/>
            <w:bottom w:w="55" w:type="dxa"/>
            <w:right w:w="55" w:type="dxa"/>
          </w:tblCellMar>
        </w:tblPrEx>
        <w:trPr>
          <w:trHeight w:val="341" w:hRule="atLeast"/>
        </w:trPr>
        <w:tc>
          <w:tcPr>
            <w:tcW w:w="15347" w:type="dxa"/>
            <w:gridSpan w:val="8"/>
            <w:vAlign w:val="center"/>
          </w:tcPr>
          <w:p>
            <w:pPr>
              <w:pStyle w:val="5"/>
              <w:widowControl w:val="0"/>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支出决算表</w:t>
            </w:r>
          </w:p>
        </w:tc>
      </w:tr>
      <w:tr>
        <w:tblPrEx>
          <w:tblCellMar>
            <w:top w:w="55" w:type="dxa"/>
            <w:left w:w="55" w:type="dxa"/>
            <w:bottom w:w="55" w:type="dxa"/>
            <w:right w:w="55" w:type="dxa"/>
          </w:tblCellMar>
        </w:tblPrEx>
        <w:trPr>
          <w:trHeight w:val="321" w:hRule="atLeast"/>
        </w:trPr>
        <w:tc>
          <w:tcPr>
            <w:tcW w:w="5739" w:type="dxa"/>
            <w:gridSpan w:val="2"/>
            <w:vAlign w:val="center"/>
          </w:tcPr>
          <w:p>
            <w:pPr>
              <w:pStyle w:val="22"/>
              <w:widowControl w:val="0"/>
              <w:jc w:val="center"/>
              <w:rPr>
                <w:rFonts w:hint="eastAsia" w:ascii="仿宋" w:hAnsi="仿宋" w:eastAsia="仿宋" w:cs="仿宋"/>
              </w:rPr>
            </w:pPr>
          </w:p>
        </w:tc>
        <w:tc>
          <w:tcPr>
            <w:tcW w:w="2011" w:type="dxa"/>
            <w:vAlign w:val="center"/>
          </w:tcPr>
          <w:p>
            <w:pPr>
              <w:pStyle w:val="22"/>
              <w:widowControl w:val="0"/>
              <w:spacing w:before="0" w:after="0"/>
              <w:ind w:firstLine="0"/>
              <w:jc w:val="center"/>
              <w:rPr>
                <w:rFonts w:hint="eastAsia" w:ascii="仿宋" w:hAnsi="仿宋" w:eastAsia="仿宋" w:cs="仿宋"/>
                <w:sz w:val="20"/>
              </w:rPr>
            </w:pPr>
          </w:p>
        </w:tc>
        <w:tc>
          <w:tcPr>
            <w:tcW w:w="1486" w:type="dxa"/>
            <w:vAlign w:val="center"/>
          </w:tcPr>
          <w:p>
            <w:pPr>
              <w:pStyle w:val="22"/>
              <w:widowControl w:val="0"/>
              <w:spacing w:before="0" w:after="0"/>
              <w:ind w:firstLine="0"/>
              <w:jc w:val="center"/>
              <w:rPr>
                <w:rFonts w:hint="eastAsia" w:ascii="仿宋" w:hAnsi="仿宋" w:eastAsia="仿宋" w:cs="仿宋"/>
                <w:sz w:val="20"/>
              </w:rPr>
            </w:pPr>
          </w:p>
        </w:tc>
        <w:tc>
          <w:tcPr>
            <w:tcW w:w="1564" w:type="dxa"/>
            <w:vAlign w:val="center"/>
          </w:tcPr>
          <w:p>
            <w:pPr>
              <w:pStyle w:val="22"/>
              <w:widowControl w:val="0"/>
              <w:spacing w:before="0" w:after="0"/>
              <w:ind w:firstLine="0"/>
              <w:jc w:val="center"/>
              <w:rPr>
                <w:rFonts w:hint="eastAsia" w:ascii="仿宋" w:hAnsi="仿宋" w:eastAsia="仿宋" w:cs="仿宋"/>
                <w:sz w:val="20"/>
              </w:rPr>
            </w:pPr>
          </w:p>
        </w:tc>
        <w:tc>
          <w:tcPr>
            <w:tcW w:w="1593" w:type="dxa"/>
            <w:vAlign w:val="center"/>
          </w:tcPr>
          <w:p>
            <w:pPr>
              <w:pStyle w:val="22"/>
              <w:widowControl w:val="0"/>
              <w:spacing w:before="0" w:after="0"/>
              <w:ind w:firstLine="0"/>
              <w:jc w:val="center"/>
              <w:rPr>
                <w:rFonts w:hint="eastAsia" w:ascii="仿宋" w:hAnsi="仿宋" w:eastAsia="仿宋" w:cs="仿宋"/>
                <w:sz w:val="20"/>
              </w:rPr>
            </w:pPr>
          </w:p>
        </w:tc>
        <w:tc>
          <w:tcPr>
            <w:tcW w:w="2954" w:type="dxa"/>
            <w:gridSpan w:val="2"/>
            <w:vAlign w:val="center"/>
          </w:tcPr>
          <w:p>
            <w:pPr>
              <w:pStyle w:val="22"/>
              <w:widowControl w:val="0"/>
              <w:spacing w:before="0" w:after="0"/>
              <w:ind w:firstLine="0"/>
              <w:jc w:val="right"/>
              <w:rPr>
                <w:rFonts w:hint="eastAsia" w:ascii="仿宋" w:hAnsi="仿宋" w:eastAsia="仿宋" w:cs="仿宋"/>
                <w:sz w:val="22"/>
                <w:szCs w:val="22"/>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2393" w:type="dxa"/>
            <w:gridSpan w:val="6"/>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eastAsia="仿宋" w:cs="仿宋"/>
                <w:color w:val="000000"/>
                <w:sz w:val="22"/>
              </w:rPr>
              <w:t>名称：</w:t>
            </w:r>
            <w:r>
              <w:rPr>
                <w:rFonts w:hint="eastAsia" w:ascii="仿宋" w:hAnsi="仿宋" w:eastAsia="仿宋" w:cs="仿宋"/>
              </w:rPr>
              <w:t>常州市工业和信息化局（本级）</w:t>
            </w:r>
          </w:p>
        </w:tc>
        <w:tc>
          <w:tcPr>
            <w:tcW w:w="2954" w:type="dxa"/>
            <w:gridSpan w:val="2"/>
            <w:vAlign w:val="center"/>
          </w:tcPr>
          <w:p>
            <w:pPr>
              <w:pStyle w:val="22"/>
              <w:widowControl w:val="0"/>
              <w:spacing w:before="0" w:after="0"/>
              <w:ind w:firstLine="0"/>
              <w:jc w:val="right"/>
              <w:rPr>
                <w:rFonts w:hint="eastAsia" w:ascii="仿宋" w:hAnsi="仿宋" w:eastAsia="仿宋" w:cs="仿宋"/>
                <w:sz w:val="22"/>
                <w:szCs w:val="22"/>
              </w:rPr>
            </w:pPr>
            <w:r>
              <w:rPr>
                <w:rFonts w:hint="eastAsia" w:ascii="仿宋" w:hAnsi="仿宋" w:eastAsia="仿宋" w:cs="仿宋"/>
                <w:sz w:val="22"/>
                <w:szCs w:val="22"/>
              </w:rPr>
              <w:t>金额单位：万元</w:t>
            </w:r>
          </w:p>
        </w:tc>
      </w:tr>
      <w:tr>
        <w:tblPrEx>
          <w:tblCellMar>
            <w:top w:w="55" w:type="dxa"/>
            <w:left w:w="55" w:type="dxa"/>
            <w:bottom w:w="55" w:type="dxa"/>
            <w:right w:w="55" w:type="dxa"/>
          </w:tblCellMar>
        </w:tblPrEx>
        <w:trPr>
          <w:trHeight w:val="321" w:hRule="atLeast"/>
        </w:trPr>
        <w:tc>
          <w:tcPr>
            <w:tcW w:w="5739"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kern w:val="0"/>
                <w:sz w:val="22"/>
                <w:szCs w:val="22"/>
              </w:rPr>
              <w:t>项目</w:t>
            </w:r>
          </w:p>
        </w:tc>
        <w:tc>
          <w:tcPr>
            <w:tcW w:w="2011"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本年支出合计</w:t>
            </w:r>
          </w:p>
        </w:tc>
        <w:tc>
          <w:tcPr>
            <w:tcW w:w="1486"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564"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593"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472"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经营支出</w:t>
            </w:r>
          </w:p>
        </w:tc>
        <w:tc>
          <w:tcPr>
            <w:tcW w:w="1482"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0" w:hRule="atLeast"/>
        </w:trPr>
        <w:tc>
          <w:tcPr>
            <w:tcW w:w="1556" w:type="dxa"/>
            <w:tcBorders>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kern w:val="0"/>
                <w:sz w:val="22"/>
                <w:szCs w:val="22"/>
              </w:rPr>
            </w:pPr>
            <w:r>
              <w:rPr>
                <w:rFonts w:hint="eastAsia" w:ascii="仿宋" w:hAnsi="仿宋" w:eastAsia="仿宋" w:cs="仿宋"/>
                <w:kern w:val="0"/>
                <w:sz w:val="22"/>
                <w:szCs w:val="22"/>
              </w:rPr>
              <w:t>功能分类</w:t>
            </w:r>
          </w:p>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4183" w:type="dxa"/>
            <w:tcBorders>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科目名称</w:t>
            </w:r>
          </w:p>
        </w:tc>
        <w:tc>
          <w:tcPr>
            <w:tcW w:w="2011"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486"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564"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593"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472"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482" w:type="dxa"/>
            <w:vMerge w:val="continue"/>
            <w:tcBorders>
              <w:left w:val="single" w:color="000000" w:sz="4" w:space="0"/>
              <w:bottom w:val="single" w:color="000000" w:sz="4" w:space="0"/>
              <w:right w:val="single" w:color="000000" w:sz="4" w:space="0"/>
            </w:tcBorders>
          </w:tcPr>
          <w:p>
            <w:pPr>
              <w:widowControl w:val="0"/>
              <w:spacing w:before="0" w:after="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403" w:hRule="exact"/>
        </w:trPr>
        <w:tc>
          <w:tcPr>
            <w:tcW w:w="573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ascii="仿宋" w:hAnsi="仿宋" w:eastAsia="仿宋" w:cs="仿宋"/>
                <w:sz w:val="22"/>
              </w:rPr>
              <w:t>合计</w:t>
            </w:r>
          </w:p>
        </w:tc>
        <w:tc>
          <w:tcPr>
            <w:tcW w:w="2011"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6,247.33</w:t>
            </w:r>
          </w:p>
        </w:tc>
        <w:tc>
          <w:tcPr>
            <w:tcW w:w="1486"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4,170.24</w:t>
            </w:r>
          </w:p>
        </w:tc>
        <w:tc>
          <w:tcPr>
            <w:tcW w:w="1564"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2,077.09</w:t>
            </w:r>
          </w:p>
        </w:tc>
        <w:tc>
          <w:tcPr>
            <w:tcW w:w="1593"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p>
        </w:tc>
        <w:tc>
          <w:tcPr>
            <w:tcW w:w="1472"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p>
        </w:tc>
        <w:tc>
          <w:tcPr>
            <w:tcW w:w="1482"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206</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科学技术支出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1,374.18</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1,374.18</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20604</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技术研究与开发</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2060499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其他技术研究与开发支出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20699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其他科学技术支出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1,371.38</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1,371.38</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2069999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其他科学技术支出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1,371.38</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1,371.38</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社会保障和就业支出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197.05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193.85</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3.20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人力资源和社会保障管理事务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3.20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3.20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2080116</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引进人才费用</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3.20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3.20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20805</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行政事业单位养老支出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161.06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161.06</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2080501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行政单位离退休</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161.06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161.06</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其他社会保障和就业支出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32.79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32.79</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2089999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其他社会保障和就业支出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32.79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32.79</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卫生健康支出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106.06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106.06</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行政事业单位医疗</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106.06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106.06</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行政单位医疗</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68.97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68.97</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2101103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公务员医疗补助</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37.09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37.09</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节能环保支出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35.34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35.34</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21113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循环经济</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23.18</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23.18</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2111301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循环经济</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23.18</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23.18</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其他节能环保支出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12.16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12.16</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2119999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其他节能环保支出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12.16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12.16</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215</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资源勘探工业信息等支出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3,423.67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2,799.50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624.17</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21502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制造业</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98.65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98.65</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2150202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一般行政管理事务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2150299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其他制造业支出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93.65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93.65</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21505</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工业和信息产业监管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3,301.39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2,799.50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501.88</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2150501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行政运行</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2,799.50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2,799.50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2150502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一般行政管理事务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486.24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486.24</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2150599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其他工业和信息产业监管支出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15.64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15.64</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21508</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支持中小企业发展和管理支出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23.64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23.64</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2150899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其他支持中小企业发展和管理支出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23.64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23.64</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援助其他地区支出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5.30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5.30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21999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5.30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5.30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2199900</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5.30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5.30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住房保障支出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1,070.83</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1,070.83</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住房改革支出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1,070.83</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1,070.83</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住房公积金</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269.27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269.27</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提租补贴</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562.89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562.89</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购房补贴</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238.67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238.67</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粮油物资储备支出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34.90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34.90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22205</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重要商品储备</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34.90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34.90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2220509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食盐储备</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34.90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34.90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p>
        </w:tc>
      </w:tr>
    </w:tbl>
    <w:p>
      <w:pPr>
        <w:widowControl w:val="0"/>
        <w:suppressAutoHyphens/>
        <w:bidi w:val="0"/>
        <w:spacing w:before="59" w:after="0"/>
        <w:ind w:left="0" w:leftChars="0" w:right="0" w:firstLine="0" w:firstLineChars="0"/>
        <w:jc w:val="left"/>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注：本表反映本年度各项支出情况。本表金额单位转换时可能存在尾数误差。</w:t>
      </w:r>
    </w:p>
    <w:p>
      <w:pPr>
        <w:widowControl w:val="0"/>
        <w:suppressAutoHyphens/>
        <w:bidi w:val="0"/>
        <w:spacing w:before="59" w:after="0"/>
        <w:ind w:left="57" w:right="0" w:firstLine="0"/>
        <w:jc w:val="left"/>
        <w:rPr>
          <w:rFonts w:hint="eastAsia" w:ascii="仿宋" w:hAnsi="仿宋" w:eastAsia="仿宋" w:cs="仿宋"/>
          <w:b w:val="0"/>
          <w:bCs w:val="0"/>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tblPrEx>
          <w:tblCellMar>
            <w:top w:w="55" w:type="dxa"/>
            <w:left w:w="55" w:type="dxa"/>
            <w:bottom w:w="55" w:type="dxa"/>
            <w:right w:w="55" w:type="dxa"/>
          </w:tblCellMar>
        </w:tblPrEx>
        <w:trPr>
          <w:trHeight w:val="319" w:hRule="atLeast"/>
        </w:trPr>
        <w:tc>
          <w:tcPr>
            <w:tcW w:w="15372" w:type="dxa"/>
            <w:gridSpan w:val="10"/>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财政拨款收入支出决算总表</w:t>
            </w:r>
          </w:p>
        </w:tc>
      </w:tr>
      <w:tr>
        <w:tblPrEx>
          <w:tblCellMar>
            <w:top w:w="55" w:type="dxa"/>
            <w:left w:w="55" w:type="dxa"/>
            <w:bottom w:w="55" w:type="dxa"/>
            <w:right w:w="55" w:type="dxa"/>
          </w:tblCellMar>
        </w:tblPrEx>
        <w:trPr>
          <w:trHeight w:val="319" w:hRule="atLeast"/>
        </w:trPr>
        <w:tc>
          <w:tcPr>
            <w:tcW w:w="5562" w:type="dxa"/>
            <w:gridSpan w:val="2"/>
          </w:tcPr>
          <w:p>
            <w:pPr>
              <w:pStyle w:val="22"/>
              <w:widowControl w:val="0"/>
              <w:rPr>
                <w:rFonts w:hint="eastAsia" w:ascii="仿宋" w:hAnsi="仿宋" w:eastAsia="仿宋" w:cs="仿宋"/>
                <w:sz w:val="20"/>
              </w:rPr>
            </w:pPr>
          </w:p>
        </w:tc>
        <w:tc>
          <w:tcPr>
            <w:tcW w:w="847" w:type="dxa"/>
          </w:tcPr>
          <w:p>
            <w:pPr>
              <w:pStyle w:val="22"/>
              <w:widowControl w:val="0"/>
              <w:rPr>
                <w:rFonts w:hint="eastAsia" w:ascii="仿宋" w:hAnsi="仿宋" w:eastAsia="仿宋" w:cs="仿宋"/>
                <w:sz w:val="20"/>
              </w:rPr>
            </w:pPr>
          </w:p>
        </w:tc>
        <w:tc>
          <w:tcPr>
            <w:tcW w:w="1913" w:type="dxa"/>
          </w:tcPr>
          <w:p>
            <w:pPr>
              <w:pStyle w:val="22"/>
              <w:widowControl w:val="0"/>
              <w:rPr>
                <w:rFonts w:hint="eastAsia" w:ascii="仿宋" w:hAnsi="仿宋" w:eastAsia="仿宋" w:cs="仿宋"/>
                <w:sz w:val="20"/>
              </w:rPr>
            </w:pPr>
          </w:p>
        </w:tc>
        <w:tc>
          <w:tcPr>
            <w:tcW w:w="2635" w:type="dxa"/>
            <w:gridSpan w:val="2"/>
          </w:tcPr>
          <w:p>
            <w:pPr>
              <w:pStyle w:val="22"/>
              <w:widowControl w:val="0"/>
              <w:rPr>
                <w:rFonts w:hint="eastAsia" w:ascii="仿宋" w:hAnsi="仿宋" w:eastAsia="仿宋" w:cs="仿宋"/>
                <w:sz w:val="20"/>
              </w:rPr>
            </w:pPr>
          </w:p>
        </w:tc>
        <w:tc>
          <w:tcPr>
            <w:tcW w:w="1194" w:type="dxa"/>
          </w:tcPr>
          <w:p>
            <w:pPr>
              <w:pStyle w:val="22"/>
              <w:widowControl w:val="0"/>
              <w:rPr>
                <w:rFonts w:hint="eastAsia" w:ascii="仿宋" w:hAnsi="仿宋" w:eastAsia="仿宋" w:cs="仿宋"/>
                <w:sz w:val="20"/>
              </w:rPr>
            </w:pPr>
          </w:p>
        </w:tc>
        <w:tc>
          <w:tcPr>
            <w:tcW w:w="3221" w:type="dxa"/>
            <w:gridSpan w:val="3"/>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2151" w:type="dxa"/>
            <w:gridSpan w:val="7"/>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eastAsia="仿宋" w:cs="仿宋"/>
                <w:color w:val="000000"/>
                <w:sz w:val="22"/>
              </w:rPr>
              <w:t>名称：</w:t>
            </w:r>
            <w:r>
              <w:rPr>
                <w:rFonts w:hint="eastAsia" w:ascii="仿宋" w:hAnsi="仿宋" w:eastAsia="仿宋" w:cs="仿宋"/>
                <w:sz w:val="22"/>
                <w:szCs w:val="22"/>
              </w:rPr>
              <w:t>常州市工业和信息化局（本级）</w:t>
            </w:r>
          </w:p>
        </w:tc>
        <w:tc>
          <w:tcPr>
            <w:tcW w:w="3221" w:type="dxa"/>
            <w:gridSpan w:val="3"/>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金额单位：万元</w:t>
            </w:r>
          </w:p>
        </w:tc>
      </w:tr>
      <w:tr>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收</w:t>
            </w:r>
            <w:r>
              <w:rPr>
                <w:rFonts w:hint="eastAsia" w:ascii="仿宋" w:hAnsi="仿宋" w:eastAsia="仿宋" w:cs="仿宋"/>
                <w:sz w:val="22"/>
                <w:szCs w:val="22"/>
              </w:rPr>
              <w:tab/>
            </w:r>
            <w:r>
              <w:rPr>
                <w:rFonts w:hint="eastAsia" w:ascii="仿宋" w:hAnsi="仿宋" w:eastAsia="仿宋" w:cs="仿宋"/>
                <w:sz w:val="22"/>
                <w:szCs w:val="22"/>
              </w:rPr>
              <w:t>入</w:t>
            </w:r>
          </w:p>
        </w:tc>
        <w:tc>
          <w:tcPr>
            <w:tcW w:w="9810" w:type="dxa"/>
            <w:gridSpan w:val="8"/>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支</w:t>
            </w:r>
            <w:r>
              <w:rPr>
                <w:rFonts w:hint="eastAsia" w:ascii="仿宋" w:hAnsi="仿宋" w:eastAsia="仿宋" w:cs="仿宋"/>
                <w:sz w:val="22"/>
                <w:szCs w:val="22"/>
              </w:rPr>
              <w:tab/>
            </w:r>
            <w:r>
              <w:rPr>
                <w:rFonts w:hint="eastAsia" w:ascii="仿宋" w:hAnsi="仿宋" w:eastAsia="仿宋" w:cs="仿宋"/>
                <w:sz w:val="22"/>
                <w:szCs w:val="22"/>
              </w:rPr>
              <w:t>出</w:t>
            </w:r>
          </w:p>
        </w:tc>
      </w:tr>
      <w:tr>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1837"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决算数</w:t>
            </w:r>
          </w:p>
        </w:tc>
        <w:tc>
          <w:tcPr>
            <w:tcW w:w="3667" w:type="dxa"/>
            <w:gridSpan w:val="3"/>
            <w:vMerge w:val="restart"/>
            <w:tcBorders>
              <w:left w:val="single" w:color="000000" w:sz="4" w:space="0"/>
              <w:bottom w:val="single" w:color="000000" w:sz="4" w:space="0"/>
            </w:tcBorders>
            <w:vAlign w:val="center"/>
          </w:tcPr>
          <w:p>
            <w:pPr>
              <w:widowControl w:val="0"/>
              <w:jc w:val="center"/>
              <w:rPr>
                <w:rFonts w:hint="eastAsia" w:ascii="仿宋" w:hAnsi="仿宋" w:eastAsia="仿宋" w:cs="仿宋"/>
                <w:sz w:val="22"/>
                <w:szCs w:val="22"/>
              </w:rPr>
            </w:pPr>
            <w:r>
              <w:rPr>
                <w:rFonts w:hint="eastAsia" w:ascii="仿宋" w:hAnsi="仿宋" w:eastAsia="仿宋" w:cs="仿宋"/>
                <w:sz w:val="22"/>
                <w:szCs w:val="22"/>
              </w:rPr>
              <w:t>按功能分类</w:t>
            </w:r>
          </w:p>
        </w:tc>
        <w:tc>
          <w:tcPr>
            <w:tcW w:w="6143" w:type="dxa"/>
            <w:gridSpan w:val="5"/>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sz w:val="22"/>
                <w:szCs w:val="22"/>
              </w:rPr>
            </w:pPr>
            <w:r>
              <w:rPr>
                <w:rFonts w:hint="eastAsia" w:ascii="仿宋" w:hAnsi="仿宋" w:eastAsia="仿宋" w:cs="仿宋"/>
                <w:sz w:val="22"/>
                <w:szCs w:val="22"/>
              </w:rPr>
              <w:t>决算数</w:t>
            </w:r>
          </w:p>
        </w:tc>
      </w:tr>
      <w:tr>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1837" w:type="dxa"/>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3667" w:type="dxa"/>
            <w:gridSpan w:val="3"/>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172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ascii="仿宋" w:hAnsi="仿宋" w:eastAsia="仿宋" w:cs="仿宋"/>
                <w:sz w:val="22"/>
              </w:rPr>
              <w:t>小计</w:t>
            </w:r>
          </w:p>
        </w:tc>
        <w:tc>
          <w:tcPr>
            <w:tcW w:w="1415"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一般公共预算财政拨款</w:t>
            </w:r>
          </w:p>
        </w:tc>
        <w:tc>
          <w:tcPr>
            <w:tcW w:w="150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政府性基金预算财政拨款</w:t>
            </w:r>
          </w:p>
        </w:tc>
        <w:tc>
          <w:tcPr>
            <w:tcW w:w="1500"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国有资本经营预算财政拨款</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6,112.34</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1,374.18</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1,374.18</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197.05</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197.05</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106.06</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106.06</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35.34</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35.34</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3,396.88</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3,396.88</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5.30</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1,070.83</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1,070.83</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34.90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34.90</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本年收入合计</w:t>
            </w:r>
          </w:p>
        </w:tc>
        <w:tc>
          <w:tcPr>
            <w:tcW w:w="1837"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6,112.34</w:t>
            </w:r>
          </w:p>
        </w:tc>
        <w:tc>
          <w:tcPr>
            <w:tcW w:w="3667" w:type="dxa"/>
            <w:gridSpan w:val="3"/>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本年支出合计</w:t>
            </w:r>
          </w:p>
        </w:tc>
        <w:tc>
          <w:tcPr>
            <w:tcW w:w="1728"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6,220.54</w:t>
            </w:r>
          </w:p>
        </w:tc>
        <w:tc>
          <w:tcPr>
            <w:tcW w:w="1415" w:type="dxa"/>
            <w:gridSpan w:val="2"/>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6,220.54</w:t>
            </w:r>
          </w:p>
        </w:tc>
        <w:tc>
          <w:tcPr>
            <w:tcW w:w="1500"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年初财政拨款结转和结余</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108.20</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年末财政拨款结转和结余</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108.20</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总计</w:t>
            </w:r>
          </w:p>
        </w:tc>
        <w:tc>
          <w:tcPr>
            <w:tcW w:w="1837"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6,220.54</w:t>
            </w:r>
          </w:p>
        </w:tc>
        <w:tc>
          <w:tcPr>
            <w:tcW w:w="3667" w:type="dxa"/>
            <w:gridSpan w:val="3"/>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总计</w:t>
            </w:r>
          </w:p>
        </w:tc>
        <w:tc>
          <w:tcPr>
            <w:tcW w:w="1728"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6,220.54</w:t>
            </w:r>
          </w:p>
        </w:tc>
        <w:tc>
          <w:tcPr>
            <w:tcW w:w="1415" w:type="dxa"/>
            <w:gridSpan w:val="2"/>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6,220.54</w:t>
            </w:r>
          </w:p>
        </w:tc>
        <w:tc>
          <w:tcPr>
            <w:tcW w:w="150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bl>
    <w:p>
      <w:pPr>
        <w:ind w:left="0" w:leftChars="0" w:firstLine="0" w:firstLineChars="0"/>
        <w:jc w:val="both"/>
        <w:rPr>
          <w:rFonts w:hint="eastAsia" w:ascii="仿宋" w:hAnsi="仿宋" w:eastAsia="仿宋" w:cs="仿宋"/>
          <w:b w:val="0"/>
          <w:bCs w:val="0"/>
        </w:rPr>
      </w:pPr>
      <w:r>
        <w:rPr>
          <w:rFonts w:hint="eastAsia" w:ascii="仿宋" w:hAnsi="仿宋" w:eastAsia="仿宋" w:cs="仿宋"/>
          <w:b w:val="0"/>
          <w:bCs w:val="0"/>
          <w:lang w:val="en-US" w:eastAsia="zh-CN"/>
        </w:rPr>
        <w:t>注：</w:t>
      </w:r>
      <w:r>
        <w:rPr>
          <w:rFonts w:hint="eastAsia" w:ascii="仿宋" w:hAnsi="仿宋" w:eastAsia="仿宋" w:cs="仿宋"/>
          <w:b w:val="0"/>
          <w:bCs w:val="0"/>
        </w:rPr>
        <w:t>本表反映本年度一般公共预算财政拨款、政府性基金预算财政拨款和国有资本经营预算财政拨款的总收支和年末结转结余情况。本表金额单位转换时可能存在尾数误差。</w:t>
      </w:r>
    </w:p>
    <w:p>
      <w:pPr>
        <w:jc w:val="both"/>
        <w:rPr>
          <w:rFonts w:hint="eastAsia" w:ascii="仿宋" w:hAnsi="仿宋" w:eastAsia="仿宋" w:cs="仿宋"/>
          <w:b w:val="0"/>
          <w:bCs w:val="0"/>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tblPrEx>
          <w:tblCellMar>
            <w:top w:w="55" w:type="dxa"/>
            <w:left w:w="55" w:type="dxa"/>
            <w:bottom w:w="55" w:type="dxa"/>
            <w:right w:w="55" w:type="dxa"/>
          </w:tblCellMar>
        </w:tblPrEx>
        <w:trPr>
          <w:trHeight w:val="321" w:hRule="atLeast"/>
        </w:trPr>
        <w:tc>
          <w:tcPr>
            <w:tcW w:w="15417"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财政拨款支出决算表（功能科目）</w:t>
            </w:r>
          </w:p>
        </w:tc>
      </w:tr>
      <w:tr>
        <w:tblPrEx>
          <w:tblCellMar>
            <w:top w:w="55" w:type="dxa"/>
            <w:left w:w="55" w:type="dxa"/>
            <w:bottom w:w="55" w:type="dxa"/>
            <w:right w:w="55" w:type="dxa"/>
          </w:tblCellMar>
        </w:tblPrEx>
        <w:trPr>
          <w:trHeight w:val="321" w:hRule="atLeast"/>
        </w:trPr>
        <w:tc>
          <w:tcPr>
            <w:tcW w:w="6300" w:type="dxa"/>
            <w:gridSpan w:val="2"/>
          </w:tcPr>
          <w:p>
            <w:pPr>
              <w:pStyle w:val="22"/>
              <w:widowControl w:val="0"/>
              <w:rPr>
                <w:rFonts w:hint="eastAsia" w:ascii="仿宋" w:hAnsi="仿宋" w:eastAsia="仿宋" w:cs="仿宋"/>
                <w:sz w:val="20"/>
              </w:rPr>
            </w:pPr>
          </w:p>
        </w:tc>
        <w:tc>
          <w:tcPr>
            <w:tcW w:w="3184" w:type="dxa"/>
          </w:tcPr>
          <w:p>
            <w:pPr>
              <w:pStyle w:val="22"/>
              <w:widowControl w:val="0"/>
              <w:rPr>
                <w:rFonts w:hint="eastAsia" w:ascii="仿宋" w:hAnsi="仿宋" w:eastAsia="仿宋" w:cs="仿宋"/>
                <w:sz w:val="27"/>
              </w:rPr>
            </w:pPr>
          </w:p>
        </w:tc>
        <w:tc>
          <w:tcPr>
            <w:tcW w:w="5933" w:type="dxa"/>
            <w:gridSpan w:val="2"/>
            <w:vAlign w:val="center"/>
          </w:tcPr>
          <w:p>
            <w:pPr>
              <w:pStyle w:val="22"/>
              <w:widowControl w:val="0"/>
              <w:jc w:val="right"/>
              <w:rPr>
                <w:rFonts w:hint="eastAsia" w:ascii="仿宋" w:hAnsi="仿宋" w:eastAsia="仿宋" w:cs="仿宋"/>
                <w:sz w:val="27"/>
              </w:rPr>
            </w:pPr>
            <w:r>
              <w:rPr>
                <w:rFonts w:hint="eastAsia" w:ascii="仿宋" w:hAnsi="仿宋" w:eastAsia="仿宋" w:cs="仿宋"/>
              </w:rPr>
              <w:t>公开05表</w:t>
            </w:r>
          </w:p>
        </w:tc>
      </w:tr>
      <w:tr>
        <w:tblPrEx>
          <w:tblCellMar>
            <w:top w:w="55" w:type="dxa"/>
            <w:left w:w="55" w:type="dxa"/>
            <w:bottom w:w="55" w:type="dxa"/>
            <w:right w:w="55" w:type="dxa"/>
          </w:tblCellMar>
        </w:tblPrEx>
        <w:trPr>
          <w:trHeight w:val="288" w:hRule="atLeast"/>
        </w:trPr>
        <w:tc>
          <w:tcPr>
            <w:tcW w:w="6300" w:type="dxa"/>
            <w:gridSpan w:val="2"/>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eastAsia="仿宋" w:cs="仿宋"/>
                <w:color w:val="000000"/>
                <w:sz w:val="22"/>
              </w:rPr>
              <w:t>名称：</w:t>
            </w:r>
            <w:r>
              <w:rPr>
                <w:rFonts w:hint="eastAsia" w:ascii="仿宋" w:hAnsi="仿宋" w:eastAsia="仿宋" w:cs="仿宋"/>
              </w:rPr>
              <w:t>常州市工业和信息化局（本级）</w:t>
            </w:r>
          </w:p>
        </w:tc>
        <w:tc>
          <w:tcPr>
            <w:tcW w:w="3184" w:type="dxa"/>
          </w:tcPr>
          <w:p>
            <w:pPr>
              <w:pStyle w:val="22"/>
              <w:widowControl w:val="0"/>
              <w:rPr>
                <w:rFonts w:hint="eastAsia" w:ascii="仿宋" w:hAnsi="仿宋" w:eastAsia="仿宋" w:cs="仿宋"/>
                <w:sz w:val="27"/>
              </w:rPr>
            </w:pPr>
          </w:p>
        </w:tc>
        <w:tc>
          <w:tcPr>
            <w:tcW w:w="2778" w:type="dxa"/>
            <w:vAlign w:val="center"/>
          </w:tcPr>
          <w:p>
            <w:pPr>
              <w:pStyle w:val="22"/>
              <w:widowControl w:val="0"/>
              <w:jc w:val="right"/>
              <w:rPr>
                <w:rFonts w:hint="eastAsia" w:ascii="仿宋" w:hAnsi="仿宋" w:eastAsia="仿宋" w:cs="仿宋"/>
                <w:sz w:val="27"/>
              </w:rPr>
            </w:pPr>
          </w:p>
        </w:tc>
        <w:tc>
          <w:tcPr>
            <w:tcW w:w="3155"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3184"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本年支出合计</w:t>
            </w:r>
          </w:p>
        </w:tc>
        <w:tc>
          <w:tcPr>
            <w:tcW w:w="2778"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功能分类</w:t>
            </w:r>
          </w:p>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5022"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3184"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2778"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3155"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栏次</w:t>
            </w:r>
          </w:p>
        </w:tc>
        <w:tc>
          <w:tcPr>
            <w:tcW w:w="3184"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1</w:t>
            </w:r>
          </w:p>
        </w:tc>
        <w:tc>
          <w:tcPr>
            <w:tcW w:w="2778"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2</w:t>
            </w:r>
          </w:p>
        </w:tc>
        <w:tc>
          <w:tcPr>
            <w:tcW w:w="3155" w:type="dxa"/>
            <w:tcBorders>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3</w:t>
            </w:r>
          </w:p>
        </w:tc>
      </w:tr>
      <w:tr>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3184"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6,220.54</w:t>
            </w:r>
          </w:p>
        </w:tc>
        <w:tc>
          <w:tcPr>
            <w:tcW w:w="2778"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rPr>
              <w:t>4,153.45</w:t>
            </w:r>
          </w:p>
        </w:tc>
        <w:tc>
          <w:tcPr>
            <w:tcW w:w="3155"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2,067.09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科学技术支出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1,374.18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1,374.18</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20604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技术研究与开发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2060499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其他技术研究与开发支出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其他科学技术支出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1,371.38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1,371.38</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2069999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其他科学技术支出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1,371.38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1,371.38</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197.05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193.85</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人力资源和社会保障管理事务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2080116</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引进人才费用</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161.06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161.06</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行政单位离退休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161.06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161.06</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32.79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32.79</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2089999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32.79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32.79</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106.06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106.06</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106.06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106.06</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68.97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68.97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公务员医疗补助</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37.09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37.09</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节能环保支出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35.34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35.34</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21113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循环经济</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23.18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23.18</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2111301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循环经济</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23.18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23.18</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其他节能环保支出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12.16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12.16</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2119999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其他节能环保支出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12.16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12.16</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资源勘探工业信息等支出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3,396.88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2,782.71</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614.17</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21502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制造业</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98.65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98.65</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2150202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一般行政管理事务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2150299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其他制造业支出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93.65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93.65</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21505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工业和信息产业监管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3,274.60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2,782.71</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491.88</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2150501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行政运行</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2,782.71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2,782.71</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2150502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一般行政管理事务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476.24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476.24</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2150599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其他工业和信息产业监管支出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15.64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15.64</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21508</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支持中小企业发展和管理支出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23.64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23.64</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2150899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其他支持中小企业发展和管理支出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23.64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23.64</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援助其他地区支出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2199900</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1,070.83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1,070.83</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1,070.83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1,070.83</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269.27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269.27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562.89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562.89</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238.67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238.67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粮油物资储备支出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34.90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34.90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22205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重要商品储备</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34.90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34.90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2220509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食盐储备</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34.90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34.90</w:t>
            </w:r>
          </w:p>
        </w:tc>
      </w:tr>
    </w:tbl>
    <w:p>
      <w:pPr>
        <w:widowControl w:val="0"/>
        <w:tabs>
          <w:tab w:val="left" w:pos="0"/>
        </w:tabs>
        <w:suppressAutoHyphens/>
        <w:bidi w:val="0"/>
        <w:spacing w:before="0" w:after="0"/>
        <w:ind w:left="0" w:leftChars="0" w:right="0" w:firstLine="0" w:firstLineChars="0"/>
        <w:jc w:val="both"/>
        <w:rPr>
          <w:rFonts w:hint="eastAsia" w:ascii="仿宋" w:hAnsi="仿宋" w:eastAsia="仿宋" w:cs="仿宋"/>
          <w:b w:val="0"/>
          <w:bCs w:val="0"/>
        </w:rPr>
      </w:pPr>
      <w:r>
        <w:rPr>
          <w:rFonts w:hint="eastAsia" w:ascii="仿宋" w:hAnsi="仿宋" w:eastAsia="仿宋" w:cs="仿宋"/>
          <w:b w:val="0"/>
          <w:bCs w:val="0"/>
        </w:rPr>
        <w:t>注：本表反映本年度一般公共预算财政拨款、政府性基金预算财政拨款和国有资本经营预算财政拨款支出情况。本表金额单位转换时可能存在尾数误差。</w:t>
      </w:r>
    </w:p>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val="0"/>
          <w:bCs w:val="0"/>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tblPrEx>
          <w:tblCellMar>
            <w:top w:w="55" w:type="dxa"/>
            <w:left w:w="55" w:type="dxa"/>
            <w:bottom w:w="55" w:type="dxa"/>
            <w:right w:w="55" w:type="dxa"/>
          </w:tblCellMar>
        </w:tblPrEx>
        <w:trPr>
          <w:trHeight w:val="319" w:hRule="atLeast"/>
        </w:trPr>
        <w:tc>
          <w:tcPr>
            <w:tcW w:w="10515"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财政拨款基本支出决算表（经济科目）</w:t>
            </w:r>
          </w:p>
        </w:tc>
      </w:tr>
      <w:tr>
        <w:tblPrEx>
          <w:tblCellMar>
            <w:top w:w="55" w:type="dxa"/>
            <w:left w:w="55" w:type="dxa"/>
            <w:bottom w:w="55" w:type="dxa"/>
            <w:right w:w="55" w:type="dxa"/>
          </w:tblCellMar>
        </w:tblPrEx>
        <w:trPr>
          <w:trHeight w:val="319" w:hRule="atLeast"/>
        </w:trPr>
        <w:tc>
          <w:tcPr>
            <w:tcW w:w="4532" w:type="dxa"/>
            <w:gridSpan w:val="2"/>
          </w:tcPr>
          <w:p>
            <w:pPr>
              <w:pStyle w:val="22"/>
              <w:widowControl w:val="0"/>
              <w:rPr>
                <w:rFonts w:hint="eastAsia" w:ascii="仿宋" w:hAnsi="仿宋" w:eastAsia="仿宋" w:cs="仿宋"/>
                <w:sz w:val="20"/>
              </w:rPr>
            </w:pPr>
          </w:p>
        </w:tc>
        <w:tc>
          <w:tcPr>
            <w:tcW w:w="2047" w:type="dxa"/>
          </w:tcPr>
          <w:p>
            <w:pPr>
              <w:pStyle w:val="22"/>
              <w:widowControl w:val="0"/>
              <w:rPr>
                <w:rFonts w:hint="eastAsia" w:ascii="仿宋" w:hAnsi="仿宋" w:eastAsia="仿宋" w:cs="仿宋"/>
                <w:sz w:val="20"/>
              </w:rPr>
            </w:pPr>
          </w:p>
        </w:tc>
        <w:tc>
          <w:tcPr>
            <w:tcW w:w="2040" w:type="dxa"/>
          </w:tcPr>
          <w:p>
            <w:pPr>
              <w:pStyle w:val="22"/>
              <w:widowControl w:val="0"/>
              <w:rPr>
                <w:rFonts w:hint="eastAsia" w:ascii="仿宋" w:hAnsi="仿宋" w:eastAsia="仿宋" w:cs="仿宋"/>
                <w:sz w:val="20"/>
              </w:rPr>
            </w:pPr>
          </w:p>
        </w:tc>
        <w:tc>
          <w:tcPr>
            <w:tcW w:w="1896"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8619"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eastAsia="仿宋" w:cs="仿宋"/>
                <w:color w:val="000000"/>
                <w:sz w:val="22"/>
              </w:rPr>
              <w:t>名称：</w:t>
            </w:r>
            <w:r>
              <w:rPr>
                <w:rFonts w:hint="eastAsia" w:ascii="仿宋" w:hAnsi="仿宋" w:eastAsia="仿宋" w:cs="仿宋"/>
                <w:sz w:val="22"/>
                <w:szCs w:val="22"/>
              </w:rPr>
              <w:t>常州市工业和信息化局（本级）</w:t>
            </w:r>
          </w:p>
        </w:tc>
        <w:tc>
          <w:tcPr>
            <w:tcW w:w="1896"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财政拨款基本支出</w:t>
            </w:r>
          </w:p>
        </w:tc>
      </w:tr>
      <w:tr>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ascii="仿宋" w:hAnsi="仿宋" w:eastAsia="仿宋" w:cs="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4,153.45</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3,932.16</w:t>
            </w:r>
          </w:p>
        </w:tc>
        <w:tc>
          <w:tcPr>
            <w:tcW w:w="1896"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221.29</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3,451.56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3,451.56</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436.65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436.65</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1,261.58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1,261.58</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1,086.61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1,086.61</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188.94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188.94</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100.41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100.41</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106.06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106.06</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270.37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270.37</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0.94</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220.32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220.32</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18.90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18.90</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0.17</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14.64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14.64</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3.81</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58.56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58.56</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4.85</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0.48</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3.42</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2.19</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1.94</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26.92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26.92</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81.13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81.13</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1.64</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480.60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480.60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106.33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106.33</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314.73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314.73</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41.30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41.30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0.04</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18.19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18.19</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0.96</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0.96</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赠与</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bl>
    <w:p>
      <w:pPr>
        <w:widowControl w:val="0"/>
        <w:tabs>
          <w:tab w:val="left" w:pos="660"/>
          <w:tab w:val="left" w:pos="10780"/>
        </w:tabs>
        <w:suppressAutoHyphens/>
        <w:bidi w:val="0"/>
        <w:spacing w:before="25" w:after="0" w:line="290" w:lineRule="auto"/>
        <w:ind w:left="0" w:leftChars="0" w:right="0"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注：本表反映本年度一般公共预算财政拨款、政府性基金预算财政拨款和国有资本经营预算财政拨款基本支出情况。本表金额单位转换时可能存在尾数误差。</w:t>
      </w:r>
    </w:p>
    <w:p>
      <w:pPr>
        <w:widowControl w:val="0"/>
        <w:numPr>
          <w:ilvl w:val="0"/>
          <w:numId w:val="0"/>
        </w:numPr>
        <w:suppressAutoHyphens/>
        <w:bidi w:val="0"/>
        <w:spacing w:before="0" w:after="0" w:line="255" w:lineRule="exact"/>
        <w:jc w:val="both"/>
        <w:rPr>
          <w:rFonts w:hint="eastAsia" w:ascii="仿宋" w:hAnsi="仿宋" w:eastAsia="仿宋" w:cs="仿宋"/>
          <w:b w:val="0"/>
          <w:bCs w:val="0"/>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tblPrEx>
          <w:tblCellMar>
            <w:top w:w="55" w:type="dxa"/>
            <w:left w:w="55" w:type="dxa"/>
            <w:bottom w:w="55" w:type="dxa"/>
            <w:right w:w="55" w:type="dxa"/>
          </w:tblCellMar>
        </w:tblPrEx>
        <w:trPr>
          <w:trHeight w:val="560" w:hRule="atLeast"/>
        </w:trPr>
        <w:tc>
          <w:tcPr>
            <w:tcW w:w="10446"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一般公共预算支出决算表（功能科目）</w:t>
            </w:r>
          </w:p>
        </w:tc>
      </w:tr>
      <w:tr>
        <w:tblPrEx>
          <w:tblCellMar>
            <w:top w:w="55" w:type="dxa"/>
            <w:left w:w="55" w:type="dxa"/>
            <w:bottom w:w="55" w:type="dxa"/>
            <w:right w:w="55" w:type="dxa"/>
          </w:tblCellMar>
        </w:tblPrEx>
        <w:trPr>
          <w:trHeight w:val="147" w:hRule="atLeast"/>
        </w:trPr>
        <w:tc>
          <w:tcPr>
            <w:tcW w:w="5466" w:type="dxa"/>
            <w:gridSpan w:val="2"/>
          </w:tcPr>
          <w:p>
            <w:pPr>
              <w:pStyle w:val="22"/>
              <w:widowControl w:val="0"/>
              <w:rPr>
                <w:rFonts w:hint="eastAsia" w:ascii="仿宋" w:hAnsi="仿宋" w:eastAsia="仿宋" w:cs="仿宋"/>
                <w:sz w:val="20"/>
              </w:rPr>
            </w:pPr>
          </w:p>
        </w:tc>
        <w:tc>
          <w:tcPr>
            <w:tcW w:w="1969" w:type="dxa"/>
          </w:tcPr>
          <w:p>
            <w:pPr>
              <w:pStyle w:val="22"/>
              <w:widowControl w:val="0"/>
              <w:rPr>
                <w:rFonts w:hint="eastAsia" w:ascii="仿宋" w:hAnsi="仿宋" w:eastAsia="仿宋" w:cs="仿宋"/>
                <w:sz w:val="20"/>
              </w:rPr>
            </w:pPr>
          </w:p>
        </w:tc>
        <w:tc>
          <w:tcPr>
            <w:tcW w:w="1499" w:type="dxa"/>
          </w:tcPr>
          <w:p>
            <w:pPr>
              <w:pStyle w:val="22"/>
              <w:widowControl w:val="0"/>
              <w:rPr>
                <w:rFonts w:hint="eastAsia" w:ascii="仿宋" w:hAnsi="仿宋" w:eastAsia="仿宋" w:cs="仿宋"/>
                <w:sz w:val="20"/>
              </w:rPr>
            </w:pPr>
          </w:p>
        </w:tc>
        <w:tc>
          <w:tcPr>
            <w:tcW w:w="1512"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公开07表</w:t>
            </w:r>
          </w:p>
        </w:tc>
      </w:tr>
      <w:tr>
        <w:tblPrEx>
          <w:tblCellMar>
            <w:top w:w="55" w:type="dxa"/>
            <w:left w:w="55" w:type="dxa"/>
            <w:bottom w:w="55" w:type="dxa"/>
            <w:right w:w="55" w:type="dxa"/>
          </w:tblCellMar>
        </w:tblPrEx>
        <w:trPr>
          <w:trHeight w:val="303" w:hRule="atLeast"/>
        </w:trPr>
        <w:tc>
          <w:tcPr>
            <w:tcW w:w="7435" w:type="dxa"/>
            <w:gridSpan w:val="3"/>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eastAsia="仿宋" w:cs="仿宋"/>
                <w:color w:val="000000"/>
                <w:sz w:val="22"/>
              </w:rPr>
              <w:t>名称：</w:t>
            </w:r>
            <w:r>
              <w:rPr>
                <w:rFonts w:hint="eastAsia" w:ascii="仿宋" w:hAnsi="仿宋" w:eastAsia="仿宋" w:cs="仿宋"/>
              </w:rPr>
              <w:t>常州市工业和信息化局（本级）</w:t>
            </w:r>
          </w:p>
        </w:tc>
        <w:tc>
          <w:tcPr>
            <w:tcW w:w="3011" w:type="dxa"/>
            <w:gridSpan w:val="2"/>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pPr>
              <w:widowControl w:val="0"/>
              <w:jc w:val="left"/>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pPr>
              <w:widowControl w:val="0"/>
              <w:jc w:val="left"/>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w:t>
            </w:r>
          </w:p>
        </w:tc>
        <w:tc>
          <w:tcPr>
            <w:tcW w:w="1499"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1512" w:type="dxa"/>
            <w:tcBorders>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3</w:t>
            </w:r>
          </w:p>
        </w:tc>
      </w:tr>
      <w:tr>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6,220.54</w:t>
            </w:r>
          </w:p>
        </w:tc>
        <w:tc>
          <w:tcPr>
            <w:tcW w:w="1499" w:type="dxa"/>
            <w:tcBorders>
              <w:left w:val="single" w:color="000000" w:sz="6" w:space="0"/>
              <w:bottom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4,153.45</w:t>
            </w:r>
          </w:p>
        </w:tc>
        <w:tc>
          <w:tcPr>
            <w:tcW w:w="1512" w:type="dxa"/>
            <w:tcBorders>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2,067.09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206</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科学技术支出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1,374.18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1,374.18</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20604</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技术研究与开发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2060499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其他技术研究与开发支出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20699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其他科学技术支出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1,371.38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1,371.38</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2069999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其他科学技术支出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1,371.38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1,371.38</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197.05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193.85</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人力资源和社会保障管理事务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2080116</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引进人才费用</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161.06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161.06</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2080501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行政单位离退休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161.06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161.06</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32.79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32.79</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2089999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32.79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32.79</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106.06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106.06</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106.06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106.06</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68.97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68.97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37.09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37.09</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节能环保支出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35.34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35.34</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21113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循环经济</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23.18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23.18</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2111301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循环经济</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23.18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23.18</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其他节能环保支出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12.16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12.16</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2119999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其他节能环保支出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12.16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12.16</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215</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资源勘探工业信息等支出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3,396.88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2,782.71</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614.17</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21502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制造业</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98.65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98.65</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2150202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一般行政管理事务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2150299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其他制造业支出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93.65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93.65</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21505</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工业和信息产业监管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3,274.60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2,782.71</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491.88</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2150501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行政运行</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2,782.71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2,782.71</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2150502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一般行政管理事务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476.24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476.24</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2150599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其他工业和信息产业监管支出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15.64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15.64</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21508</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支持中小企业发展和管理支出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23.64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23.64</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2150899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其他支持中小企业发展和管理支出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23.64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23.64</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援助其他地区支出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2199900</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1,070.83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1,070.83</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1,070.83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1,070.83</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269.27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269.27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562.89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562.89</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238.67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238.67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粮油物资储备支出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34.90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34.90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22205</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重要商品储备</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34.90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34.90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2220509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食盐储备</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34.90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34.90</w:t>
            </w:r>
          </w:p>
        </w:tc>
      </w:tr>
    </w:tbl>
    <w:p>
      <w:pPr>
        <w:tabs>
          <w:tab w:val="left" w:pos="0"/>
        </w:tabs>
        <w:spacing w:before="25" w:after="0"/>
        <w:ind w:left="0" w:leftChars="0" w:right="0"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注：本表反映本年度一般公共预算财政拨款支出情况。本表金额单位转换时可能存在尾数误差。</w:t>
      </w:r>
    </w:p>
    <w:p>
      <w:pPr>
        <w:widowControl w:val="0"/>
        <w:numPr>
          <w:ilvl w:val="0"/>
          <w:numId w:val="0"/>
        </w:numPr>
        <w:suppressAutoHyphens/>
        <w:bidi w:val="0"/>
        <w:spacing w:before="25" w:after="0"/>
        <w:jc w:val="both"/>
        <w:rPr>
          <w:rFonts w:hint="eastAsia" w:ascii="仿宋" w:hAnsi="仿宋" w:eastAsia="仿宋" w:cs="仿宋"/>
          <w:b w:val="0"/>
          <w:bCs w:val="0"/>
          <w:sz w:val="22"/>
          <w:szCs w:val="22"/>
        </w:rPr>
        <w:sectPr>
          <w:footerReference r:id="rId14"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tblPrEx>
          <w:tblCellMar>
            <w:top w:w="55" w:type="dxa"/>
            <w:left w:w="55" w:type="dxa"/>
            <w:bottom w:w="55" w:type="dxa"/>
            <w:right w:w="55" w:type="dxa"/>
          </w:tblCellMar>
        </w:tblPrEx>
        <w:trPr>
          <w:trHeight w:val="319" w:hRule="atLeast"/>
        </w:trPr>
        <w:tc>
          <w:tcPr>
            <w:tcW w:w="10473" w:type="dxa"/>
            <w:gridSpan w:val="5"/>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一般公共预算基本支出决算表（经济科目）</w:t>
            </w:r>
          </w:p>
        </w:tc>
      </w:tr>
      <w:tr>
        <w:tblPrEx>
          <w:tblCellMar>
            <w:top w:w="55" w:type="dxa"/>
            <w:left w:w="55" w:type="dxa"/>
            <w:bottom w:w="55" w:type="dxa"/>
            <w:right w:w="55" w:type="dxa"/>
          </w:tblCellMar>
        </w:tblPrEx>
        <w:trPr>
          <w:trHeight w:val="199" w:hRule="atLeast"/>
        </w:trPr>
        <w:tc>
          <w:tcPr>
            <w:tcW w:w="8595" w:type="dxa"/>
            <w:gridSpan w:val="4"/>
            <w:vAlign w:val="center"/>
          </w:tcPr>
          <w:p>
            <w:pPr>
              <w:pStyle w:val="22"/>
              <w:widowControl w:val="0"/>
              <w:jc w:val="right"/>
              <w:rPr>
                <w:rFonts w:hint="eastAsia" w:ascii="仿宋" w:hAnsi="仿宋" w:eastAsia="仿宋" w:cs="仿宋"/>
                <w:color w:val="000000"/>
                <w:sz w:val="22"/>
                <w:szCs w:val="22"/>
                <w:lang w:eastAsia="zh-CN"/>
              </w:rPr>
            </w:pPr>
          </w:p>
        </w:tc>
        <w:tc>
          <w:tcPr>
            <w:tcW w:w="1878" w:type="dxa"/>
            <w:vAlign w:val="center"/>
          </w:tcPr>
          <w:p>
            <w:pPr>
              <w:pStyle w:val="22"/>
              <w:widowControl w:val="0"/>
              <w:jc w:val="right"/>
              <w:rPr>
                <w:rFonts w:hint="eastAsia" w:ascii="仿宋" w:hAnsi="仿宋" w:eastAsia="仿宋" w:cs="仿宋"/>
              </w:rPr>
            </w:pPr>
            <w:r>
              <w:rPr>
                <w:rFonts w:hint="eastAsia" w:ascii="仿宋" w:hAnsi="仿宋" w:eastAsia="仿宋" w:cs="仿宋"/>
              </w:rPr>
              <w:t>公开08表</w:t>
            </w:r>
          </w:p>
        </w:tc>
      </w:tr>
      <w:tr>
        <w:tblPrEx>
          <w:tblCellMar>
            <w:top w:w="55" w:type="dxa"/>
            <w:left w:w="55" w:type="dxa"/>
            <w:bottom w:w="55" w:type="dxa"/>
            <w:right w:w="55" w:type="dxa"/>
          </w:tblCellMar>
        </w:tblPrEx>
        <w:trPr>
          <w:trHeight w:val="320" w:hRule="atLeast"/>
        </w:trPr>
        <w:tc>
          <w:tcPr>
            <w:tcW w:w="8595"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eastAsia="仿宋" w:cs="仿宋"/>
                <w:color w:val="000000"/>
                <w:sz w:val="22"/>
              </w:rPr>
              <w:t>名称：</w:t>
            </w:r>
            <w:r>
              <w:rPr>
                <w:rFonts w:hint="eastAsia" w:ascii="仿宋" w:hAnsi="仿宋" w:eastAsia="仿宋" w:cs="仿宋"/>
              </w:rPr>
              <w:t>常州市工业和信息化局（本级）</w:t>
            </w:r>
          </w:p>
        </w:tc>
        <w:tc>
          <w:tcPr>
            <w:tcW w:w="1878"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一般公共预算财政拨款基本支出</w:t>
            </w:r>
          </w:p>
        </w:tc>
      </w:tr>
      <w:tr>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4,153.45</w:t>
            </w:r>
          </w:p>
        </w:tc>
        <w:tc>
          <w:tcPr>
            <w:tcW w:w="170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3,932.16</w:t>
            </w:r>
          </w:p>
        </w:tc>
        <w:tc>
          <w:tcPr>
            <w:tcW w:w="187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221.29</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3,451.56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3,451.56</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436.65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436.65</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1,261.58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1,261.58</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1,086.61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1,086.61</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188.94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188.94</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100.41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100.41</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106.06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106.06</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270.37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270.37</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0.94</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220.32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220.32</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18.90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18.90</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0.17</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14.64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14.64</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3.81</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58.56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58.56</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4.85</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0.48</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3.42</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2.19</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1.94</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26.92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26.92</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81.13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81.13</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1.64</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480.60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480.60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106.33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106.33</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314.73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314.73</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41.30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41.30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0.04</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18.19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18.19</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0.96</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0.96</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赠与</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bl>
    <w:p>
      <w:pPr>
        <w:spacing w:before="25" w:after="0"/>
        <w:ind w:left="0" w:leftChars="0" w:right="-92" w:rightChars="-42"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注：本表反映本年度一般公共预算财政拨款基本支出情况。本表金额单位转换时可能存在尾数误差。</w:t>
      </w:r>
    </w:p>
    <w:p>
      <w:pPr>
        <w:widowControl w:val="0"/>
        <w:numPr>
          <w:ilvl w:val="0"/>
          <w:numId w:val="0"/>
        </w:numPr>
        <w:suppressAutoHyphens/>
        <w:bidi w:val="0"/>
        <w:spacing w:before="25" w:after="0"/>
        <w:jc w:val="both"/>
        <w:rPr>
          <w:rFonts w:hint="eastAsia" w:ascii="仿宋" w:hAnsi="仿宋" w:eastAsia="仿宋" w:cs="仿宋"/>
          <w:b w:val="0"/>
          <w:bCs w:val="0"/>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tblPrEx>
          <w:tblCellMar>
            <w:top w:w="55" w:type="dxa"/>
            <w:left w:w="55" w:type="dxa"/>
            <w:bottom w:w="55" w:type="dxa"/>
            <w:right w:w="55" w:type="dxa"/>
          </w:tblCellMar>
        </w:tblPrEx>
        <w:trPr>
          <w:trHeight w:val="321" w:hRule="atLeast"/>
        </w:trPr>
        <w:tc>
          <w:tcPr>
            <w:tcW w:w="16486" w:type="dxa"/>
            <w:gridSpan w:val="16"/>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一般公共预算“三公”经费、会议费、培训费支出决算表</w:t>
            </w:r>
          </w:p>
        </w:tc>
      </w:tr>
      <w:tr>
        <w:tblPrEx>
          <w:tblCellMar>
            <w:top w:w="55" w:type="dxa"/>
            <w:left w:w="55" w:type="dxa"/>
            <w:bottom w:w="55" w:type="dxa"/>
            <w:right w:w="55" w:type="dxa"/>
          </w:tblCellMar>
        </w:tblPrEx>
        <w:trPr>
          <w:trHeight w:val="207" w:hRule="atLeast"/>
        </w:trPr>
        <w:tc>
          <w:tcPr>
            <w:tcW w:w="16486" w:type="dxa"/>
            <w:gridSpan w:val="16"/>
          </w:tcPr>
          <w:p>
            <w:pPr>
              <w:pStyle w:val="22"/>
              <w:widowControl w:val="0"/>
              <w:jc w:val="right"/>
              <w:rPr>
                <w:rFonts w:hint="eastAsia" w:ascii="仿宋" w:hAnsi="仿宋" w:eastAsia="仿宋" w:cs="仿宋"/>
                <w:sz w:val="20"/>
              </w:rPr>
            </w:pPr>
            <w:r>
              <w:rPr>
                <w:rFonts w:hint="eastAsia" w:ascii="仿宋" w:hAnsi="仿宋" w:eastAsia="仿宋" w:cs="仿宋"/>
              </w:rPr>
              <w:t>公开09表</w:t>
            </w:r>
          </w:p>
        </w:tc>
      </w:tr>
      <w:tr>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eastAsia="仿宋" w:cs="仿宋"/>
                <w:color w:val="000000"/>
                <w:sz w:val="22"/>
              </w:rPr>
              <w:t>名称：</w:t>
            </w:r>
            <w:r>
              <w:rPr>
                <w:rFonts w:hint="eastAsia" w:ascii="仿宋" w:hAnsi="仿宋" w:eastAsia="仿宋" w:cs="仿宋"/>
              </w:rPr>
              <w:t>常州市工业和信息化局（本级）</w:t>
            </w:r>
          </w:p>
        </w:tc>
        <w:tc>
          <w:tcPr>
            <w:tcW w:w="8274" w:type="dxa"/>
            <w:gridSpan w:val="8"/>
            <w:tcBorders>
              <w:bottom w:val="single" w:color="auto" w:sz="4" w:space="0"/>
            </w:tcBorders>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pPr>
              <w:pStyle w:val="22"/>
              <w:widowControl w:val="0"/>
              <w:jc w:val="center"/>
              <w:rPr>
                <w:rFonts w:hint="eastAsia" w:ascii="仿宋" w:hAnsi="仿宋" w:eastAsia="仿宋" w:cs="仿宋"/>
              </w:rPr>
            </w:pPr>
            <w:r>
              <w:rPr>
                <w:rFonts w:hint="eastAsia" w:ascii="仿宋" w:hAnsi="仿宋" w:eastAsia="仿宋" w:cs="仿宋"/>
                <w:lang w:val="en-US" w:eastAsia="zh-CN"/>
              </w:rPr>
              <w:t>预算数</w:t>
            </w:r>
          </w:p>
        </w:tc>
        <w:tc>
          <w:tcPr>
            <w:tcW w:w="8274" w:type="dxa"/>
            <w:gridSpan w:val="8"/>
            <w:tcBorders>
              <w:top w:val="single" w:color="auto" w:sz="4" w:space="0"/>
              <w:left w:val="single" w:color="auto" w:sz="4" w:space="0"/>
              <w:bottom w:val="single" w:color="auto" w:sz="4" w:space="0"/>
              <w:right w:val="single" w:color="auto" w:sz="4" w:space="0"/>
            </w:tcBorders>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决算数</w:t>
            </w:r>
          </w:p>
        </w:tc>
      </w:tr>
      <w:tr>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培训费</w:t>
            </w:r>
          </w:p>
        </w:tc>
      </w:tr>
      <w:tr>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w:t>
            </w:r>
          </w:p>
          <w:p>
            <w:pPr>
              <w:pStyle w:val="22"/>
              <w:widowControl w:val="0"/>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pPr>
              <w:widowControl w:val="0"/>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w:t>
            </w:r>
          </w:p>
          <w:p>
            <w:pPr>
              <w:pStyle w:val="22"/>
              <w:widowControl w:val="0"/>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r>
      <w:tr>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ascii="仿宋" w:hAnsi="仿宋" w:eastAsia="仿宋" w:cs="仿宋"/>
              </w:rPr>
              <w:t>小计</w:t>
            </w:r>
          </w:p>
        </w:tc>
        <w:tc>
          <w:tcPr>
            <w:tcW w:w="1029"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ascii="仿宋" w:hAnsi="仿宋" w:eastAsia="仿宋" w:cs="仿宋"/>
              </w:rPr>
              <w:t>小计</w:t>
            </w:r>
          </w:p>
        </w:tc>
        <w:tc>
          <w:tcPr>
            <w:tcW w:w="1089"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18.93</w:t>
            </w:r>
          </w:p>
        </w:tc>
        <w:tc>
          <w:tcPr>
            <w:tcW w:w="1042"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11.00</w:t>
            </w:r>
          </w:p>
        </w:tc>
        <w:tc>
          <w:tcPr>
            <w:tcW w:w="10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6"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7.93</w:t>
            </w:r>
          </w:p>
        </w:tc>
        <w:tc>
          <w:tcPr>
            <w:tcW w:w="104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47.63</w:t>
            </w:r>
          </w:p>
        </w:tc>
        <w:tc>
          <w:tcPr>
            <w:tcW w:w="101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195.36</w:t>
            </w:r>
          </w:p>
        </w:tc>
        <w:tc>
          <w:tcPr>
            <w:tcW w:w="105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2.19</w:t>
            </w:r>
          </w:p>
        </w:tc>
        <w:tc>
          <w:tcPr>
            <w:tcW w:w="101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89"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2.19</w:t>
            </w:r>
          </w:p>
        </w:tc>
        <w:tc>
          <w:tcPr>
            <w:tcW w:w="1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44.81</w:t>
            </w:r>
          </w:p>
        </w:tc>
        <w:tc>
          <w:tcPr>
            <w:tcW w:w="102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89.53</w:t>
            </w:r>
          </w:p>
        </w:tc>
      </w:tr>
    </w:tbl>
    <w:p>
      <w:pPr>
        <w:spacing w:before="30" w:after="33"/>
        <w:ind w:left="220" w:leftChars="100" w:firstLine="0" w:firstLineChars="0"/>
        <w:rPr>
          <w:rFonts w:hint="eastAsia" w:ascii="仿宋" w:hAnsi="仿宋" w:eastAsia="仿宋" w:cs="仿宋"/>
          <w:sz w:val="22"/>
          <w:szCs w:val="22"/>
        </w:rPr>
      </w:pPr>
      <w:r>
        <w:rPr>
          <w:rFonts w:hint="eastAsia" w:ascii="仿宋" w:hAnsi="仿宋" w:eastAsia="仿宋" w:cs="仿宋"/>
          <w:sz w:val="22"/>
          <w:szCs w:val="22"/>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ascii="仿宋" w:hAnsi="仿宋" w:eastAsia="仿宋" w:cs="仿宋"/>
                <w:sz w:val="22"/>
              </w:rPr>
              <w:t>项目</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统计数</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项目</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统计数</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25</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221</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51</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1,660</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32</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3820</w:t>
            </w:r>
          </w:p>
        </w:tc>
      </w:tr>
    </w:tbl>
    <w:p>
      <w:pPr>
        <w:widowControl w:val="0"/>
        <w:suppressAutoHyphens/>
        <w:bidi w:val="0"/>
        <w:spacing w:before="0" w:after="0"/>
        <w:ind w:left="0" w:leftChars="0" w:right="-2"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w:t>
      </w:r>
      <w:r>
        <w:rPr>
          <w:rFonts w:hint="eastAsia" w:ascii="仿宋" w:hAnsi="仿宋" w:eastAsia="仿宋" w:cs="仿宋"/>
          <w:b w:val="0"/>
          <w:bCs w:val="0"/>
          <w:sz w:val="22"/>
          <w:szCs w:val="22"/>
          <w:lang w:val="en-US" w:eastAsia="zh-CN"/>
        </w:rPr>
        <w:t>本表反映本年度一般公共预算“三公”经费、会议费和培训费支出情况。其中，预算数为全年预算数，反映按规定程序调整后的预算数；决算数是包括当年一般公共预算财政拨款和以前年度结转资金安排的实际支出。本表金额单位转换时可能存在尾数误差</w:t>
      </w:r>
      <w:r>
        <w:rPr>
          <w:rFonts w:hint="eastAsia" w:ascii="仿宋" w:hAnsi="仿宋" w:eastAsia="仿宋" w:cs="仿宋"/>
          <w:b w:val="0"/>
          <w:bCs w:val="0"/>
          <w:sz w:val="22"/>
          <w:szCs w:val="22"/>
        </w:rPr>
        <w:t>。</w:t>
      </w:r>
    </w:p>
    <w:p>
      <w:pPr>
        <w:widowControl w:val="0"/>
        <w:suppressAutoHyphens/>
        <w:bidi w:val="0"/>
        <w:spacing w:before="0" w:after="0"/>
        <w:ind w:left="227" w:right="0" w:firstLine="220" w:firstLineChars="100"/>
        <w:jc w:val="both"/>
        <w:rPr>
          <w:rFonts w:hint="eastAsia" w:ascii="仿宋" w:hAnsi="仿宋" w:eastAsia="仿宋" w:cs="仿宋"/>
          <w:b w:val="0"/>
          <w:bCs w:val="0"/>
          <w:sz w:val="22"/>
          <w:szCs w:val="22"/>
        </w:rPr>
        <w:sectPr>
          <w:footerReference r:id="rId16" w:type="default"/>
          <w:pgSz w:w="16838" w:h="11906" w:orient="landscape"/>
          <w:pgMar w:top="720" w:right="153" w:bottom="720" w:left="153"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tblPrEx>
          <w:tblCellMar>
            <w:top w:w="55" w:type="dxa"/>
            <w:left w:w="55" w:type="dxa"/>
            <w:bottom w:w="55" w:type="dxa"/>
            <w:right w:w="55" w:type="dxa"/>
          </w:tblCellMar>
        </w:tblPrEx>
        <w:trPr>
          <w:trHeight w:val="395" w:hRule="atLeast"/>
        </w:trPr>
        <w:tc>
          <w:tcPr>
            <w:tcW w:w="15400"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政府性基金预算支出决算表</w:t>
            </w:r>
          </w:p>
        </w:tc>
      </w:tr>
      <w:tr>
        <w:tblPrEx>
          <w:tblCellMar>
            <w:top w:w="55" w:type="dxa"/>
            <w:left w:w="55" w:type="dxa"/>
            <w:bottom w:w="55" w:type="dxa"/>
            <w:right w:w="55" w:type="dxa"/>
          </w:tblCellMar>
        </w:tblPrEx>
        <w:trPr>
          <w:trHeight w:val="323" w:hRule="atLeast"/>
        </w:trPr>
        <w:tc>
          <w:tcPr>
            <w:tcW w:w="8426" w:type="dxa"/>
            <w:gridSpan w:val="2"/>
          </w:tcPr>
          <w:p>
            <w:pPr>
              <w:pStyle w:val="22"/>
              <w:widowControl w:val="0"/>
              <w:rPr>
                <w:rFonts w:hint="eastAsia" w:ascii="仿宋" w:hAnsi="仿宋" w:eastAsia="仿宋" w:cs="仿宋"/>
                <w:sz w:val="20"/>
              </w:rPr>
            </w:pPr>
          </w:p>
        </w:tc>
        <w:tc>
          <w:tcPr>
            <w:tcW w:w="2684" w:type="dxa"/>
          </w:tcPr>
          <w:p>
            <w:pPr>
              <w:pStyle w:val="22"/>
              <w:widowControl w:val="0"/>
              <w:rPr>
                <w:rFonts w:hint="eastAsia" w:ascii="仿宋" w:hAnsi="仿宋" w:eastAsia="仿宋" w:cs="仿宋"/>
                <w:sz w:val="27"/>
              </w:rPr>
            </w:pPr>
          </w:p>
        </w:tc>
        <w:tc>
          <w:tcPr>
            <w:tcW w:w="2432" w:type="dxa"/>
          </w:tcPr>
          <w:p>
            <w:pPr>
              <w:pStyle w:val="22"/>
              <w:widowControl w:val="0"/>
              <w:rPr>
                <w:rFonts w:hint="eastAsia" w:ascii="仿宋" w:hAnsi="仿宋" w:eastAsia="仿宋" w:cs="仿宋"/>
                <w:sz w:val="20"/>
              </w:rPr>
            </w:pPr>
          </w:p>
        </w:tc>
        <w:tc>
          <w:tcPr>
            <w:tcW w:w="1858"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公开10表</w:t>
            </w:r>
          </w:p>
        </w:tc>
      </w:tr>
      <w:tr>
        <w:tblPrEx>
          <w:tblCellMar>
            <w:top w:w="55" w:type="dxa"/>
            <w:left w:w="55" w:type="dxa"/>
            <w:bottom w:w="55" w:type="dxa"/>
            <w:right w:w="55" w:type="dxa"/>
          </w:tblCellMar>
        </w:tblPrEx>
        <w:trPr>
          <w:trHeight w:val="152" w:hRule="atLeast"/>
        </w:trPr>
        <w:tc>
          <w:tcPr>
            <w:tcW w:w="13542"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eastAsia="仿宋" w:cs="仿宋"/>
                <w:color w:val="000000"/>
                <w:sz w:val="22"/>
              </w:rPr>
              <w:t>名称：</w:t>
            </w:r>
            <w:r>
              <w:rPr>
                <w:rFonts w:hint="eastAsia" w:ascii="仿宋" w:hAnsi="仿宋" w:eastAsia="仿宋" w:cs="仿宋"/>
              </w:rPr>
              <w:t>常州市工业和信息化局（本级）</w:t>
            </w:r>
          </w:p>
        </w:tc>
        <w:tc>
          <w:tcPr>
            <w:tcW w:w="1858"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1</w:t>
            </w:r>
          </w:p>
        </w:tc>
        <w:tc>
          <w:tcPr>
            <w:tcW w:w="243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2</w:t>
            </w:r>
          </w:p>
        </w:tc>
      </w:tr>
      <w:tr>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p>
        </w:tc>
        <w:tc>
          <w:tcPr>
            <w:tcW w:w="2432"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p>
        </w:tc>
        <w:tc>
          <w:tcPr>
            <w:tcW w:w="185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p>
        </w:tc>
      </w:tr>
    </w:tbl>
    <w:p>
      <w:pPr>
        <w:spacing w:before="25" w:after="0"/>
        <w:ind w:left="0" w:lef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注：本表反映本年度政府性基金预算财政拨款支出情况。</w:t>
      </w:r>
    </w:p>
    <w:p>
      <w:pPr>
        <w:numPr>
          <w:ilvl w:val="0"/>
          <w:numId w:val="0"/>
        </w:numPr>
        <w:spacing w:before="25" w:after="0"/>
        <w:ind w:left="440" w:leftChars="200" w:firstLine="0" w:firstLineChars="0"/>
        <w:jc w:val="both"/>
        <w:rPr>
          <w:rFonts w:hint="default" w:ascii="仿宋" w:hAnsi="仿宋" w:eastAsia="仿宋" w:cs="仿宋"/>
          <w:b w:val="0"/>
          <w:bCs w:val="0"/>
          <w:sz w:val="22"/>
          <w:szCs w:val="22"/>
          <w:lang w:val="en-US" w:eastAsia="zh-CN"/>
        </w:rPr>
      </w:pPr>
      <w:r>
        <w:rPr>
          <w:rFonts w:ascii="仿宋" w:hAnsi="仿宋" w:eastAsia="仿宋" w:cs="仿宋"/>
          <w:sz w:val="22"/>
        </w:rPr>
        <w:t>本单位无政府性基金预算收入支出决算，故本表为空。</w:t>
      </w:r>
    </w:p>
    <w:p>
      <w:pPr>
        <w:widowControl w:val="0"/>
        <w:numPr>
          <w:ilvl w:val="0"/>
          <w:numId w:val="0"/>
        </w:numPr>
        <w:suppressAutoHyphens/>
        <w:bidi w:val="0"/>
        <w:spacing w:before="25" w:after="0"/>
        <w:jc w:val="both"/>
        <w:rPr>
          <w:rFonts w:hint="default" w:ascii="仿宋" w:hAnsi="仿宋" w:eastAsia="仿宋" w:cs="仿宋"/>
          <w:b w:val="0"/>
          <w:bCs w:val="0"/>
          <w:sz w:val="22"/>
          <w:szCs w:val="22"/>
          <w:lang w:val="en-US" w:eastAsia="zh-CN"/>
        </w:rPr>
        <w:sectPr>
          <w:footerReference r:id="rId17"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tblPrEx>
          <w:tblCellMar>
            <w:top w:w="55" w:type="dxa"/>
            <w:left w:w="55" w:type="dxa"/>
            <w:bottom w:w="55" w:type="dxa"/>
            <w:right w:w="55" w:type="dxa"/>
          </w:tblCellMar>
        </w:tblPrEx>
        <w:trPr>
          <w:trHeight w:val="395" w:hRule="atLeast"/>
        </w:trPr>
        <w:tc>
          <w:tcPr>
            <w:tcW w:w="15400"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国有资本经营预算支出决算表</w:t>
            </w:r>
          </w:p>
        </w:tc>
      </w:tr>
      <w:tr>
        <w:tblPrEx>
          <w:tblCellMar>
            <w:top w:w="55" w:type="dxa"/>
            <w:left w:w="55" w:type="dxa"/>
            <w:bottom w:w="55" w:type="dxa"/>
            <w:right w:w="55" w:type="dxa"/>
          </w:tblCellMar>
        </w:tblPrEx>
        <w:trPr>
          <w:trHeight w:val="323" w:hRule="atLeast"/>
        </w:trPr>
        <w:tc>
          <w:tcPr>
            <w:tcW w:w="8520" w:type="dxa"/>
            <w:gridSpan w:val="2"/>
          </w:tcPr>
          <w:p>
            <w:pPr>
              <w:pStyle w:val="22"/>
              <w:widowControl w:val="0"/>
              <w:rPr>
                <w:rFonts w:hint="eastAsia" w:ascii="仿宋" w:hAnsi="仿宋" w:eastAsia="仿宋" w:cs="仿宋"/>
                <w:sz w:val="20"/>
              </w:rPr>
            </w:pPr>
          </w:p>
        </w:tc>
        <w:tc>
          <w:tcPr>
            <w:tcW w:w="2510" w:type="dxa"/>
          </w:tcPr>
          <w:p>
            <w:pPr>
              <w:pStyle w:val="22"/>
              <w:widowControl w:val="0"/>
              <w:rPr>
                <w:rFonts w:hint="eastAsia" w:ascii="仿宋" w:hAnsi="仿宋" w:eastAsia="仿宋" w:cs="仿宋"/>
                <w:sz w:val="27"/>
              </w:rPr>
            </w:pPr>
          </w:p>
        </w:tc>
        <w:tc>
          <w:tcPr>
            <w:tcW w:w="2309" w:type="dxa"/>
          </w:tcPr>
          <w:p>
            <w:pPr>
              <w:pStyle w:val="22"/>
              <w:widowControl w:val="0"/>
              <w:rPr>
                <w:rFonts w:hint="eastAsia" w:ascii="仿宋" w:hAnsi="仿宋" w:eastAsia="仿宋" w:cs="仿宋"/>
                <w:sz w:val="20"/>
              </w:rPr>
            </w:pPr>
          </w:p>
        </w:tc>
        <w:tc>
          <w:tcPr>
            <w:tcW w:w="2061"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eastAsia="zh-CN"/>
              </w:rPr>
              <w:t>1</w:t>
            </w:r>
            <w:r>
              <w:rPr>
                <w:rFonts w:hint="eastAsia" w:ascii="仿宋" w:hAnsi="仿宋" w:eastAsia="仿宋" w:cs="仿宋"/>
              </w:rPr>
              <w:t>表</w:t>
            </w:r>
          </w:p>
        </w:tc>
      </w:tr>
      <w:tr>
        <w:tblPrEx>
          <w:tblCellMar>
            <w:top w:w="55" w:type="dxa"/>
            <w:left w:w="55" w:type="dxa"/>
            <w:bottom w:w="55" w:type="dxa"/>
            <w:right w:w="55" w:type="dxa"/>
          </w:tblCellMar>
        </w:tblPrEx>
        <w:trPr>
          <w:trHeight w:val="152" w:hRule="atLeast"/>
        </w:trPr>
        <w:tc>
          <w:tcPr>
            <w:tcW w:w="13339"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eastAsia="仿宋" w:cs="仿宋"/>
                <w:color w:val="000000"/>
                <w:sz w:val="22"/>
              </w:rPr>
              <w:t>名称：</w:t>
            </w:r>
            <w:r>
              <w:rPr>
                <w:rFonts w:hint="eastAsia" w:ascii="仿宋" w:hAnsi="仿宋" w:eastAsia="仿宋" w:cs="仿宋"/>
              </w:rPr>
              <w:t>常州市工业和信息化局（本级）</w:t>
            </w:r>
          </w:p>
        </w:tc>
        <w:tc>
          <w:tcPr>
            <w:tcW w:w="2061"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1</w:t>
            </w:r>
          </w:p>
        </w:tc>
        <w:tc>
          <w:tcPr>
            <w:tcW w:w="2309"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2</w:t>
            </w:r>
          </w:p>
        </w:tc>
      </w:tr>
      <w:tr>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p>
        </w:tc>
        <w:tc>
          <w:tcPr>
            <w:tcW w:w="230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p>
        </w:tc>
        <w:tc>
          <w:tcPr>
            <w:tcW w:w="2061"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p>
        </w:tc>
        <w:tc>
          <w:tcPr>
            <w:tcW w:w="705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p>
        </w:tc>
        <w:tc>
          <w:tcPr>
            <w:tcW w:w="2309"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p>
        </w:tc>
        <w:tc>
          <w:tcPr>
            <w:tcW w:w="2061"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p>
        </w:tc>
        <w:tc>
          <w:tcPr>
            <w:tcW w:w="705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p>
        </w:tc>
        <w:tc>
          <w:tcPr>
            <w:tcW w:w="2309"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p>
        </w:tc>
        <w:tc>
          <w:tcPr>
            <w:tcW w:w="2061"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p>
        </w:tc>
      </w:tr>
    </w:tbl>
    <w:p>
      <w:pPr>
        <w:bidi w:val="0"/>
        <w:ind w:left="0" w:lef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注：本表反映本年度国有资本经营预算财政拨款支出情况。</w:t>
      </w:r>
    </w:p>
    <w:p>
      <w:pPr>
        <w:numPr>
          <w:ilvl w:val="0"/>
          <w:numId w:val="0"/>
        </w:numPr>
        <w:bidi w:val="0"/>
        <w:ind w:left="440" w:leftChars="200" w:firstLine="0" w:firstLineChars="0"/>
        <w:jc w:val="both"/>
        <w:rPr>
          <w:rFonts w:hint="default" w:ascii="仿宋" w:hAnsi="仿宋" w:eastAsia="仿宋" w:cs="仿宋"/>
          <w:b w:val="0"/>
          <w:bCs w:val="0"/>
          <w:sz w:val="22"/>
          <w:szCs w:val="22"/>
          <w:lang w:val="en-US" w:eastAsia="zh-CN"/>
        </w:rPr>
      </w:pPr>
      <w:r>
        <w:rPr>
          <w:rFonts w:ascii="仿宋" w:hAnsi="仿宋" w:eastAsia="仿宋" w:cs="仿宋"/>
          <w:sz w:val="22"/>
        </w:rPr>
        <w:t>本单位无</w:t>
      </w:r>
      <w:r>
        <w:rPr>
          <w:rFonts w:hint="eastAsia" w:ascii="仿宋" w:hAnsi="仿宋" w:eastAsia="仿宋" w:cs="仿宋"/>
          <w:b w:val="0"/>
          <w:bCs w:val="0"/>
          <w:sz w:val="22"/>
          <w:szCs w:val="22"/>
        </w:rPr>
        <w:t>国有资本经营预算支出</w:t>
      </w:r>
      <w:r>
        <w:rPr>
          <w:rFonts w:hint="eastAsia" w:ascii="仿宋" w:hAnsi="仿宋" w:eastAsia="仿宋" w:cs="仿宋"/>
          <w:b w:val="0"/>
          <w:bCs w:val="0"/>
          <w:sz w:val="22"/>
          <w:szCs w:val="22"/>
          <w:lang w:val="en-US" w:eastAsia="zh-CN"/>
        </w:rPr>
        <w:t>决算，故本表为空。</w:t>
      </w:r>
    </w:p>
    <w:p>
      <w:pPr>
        <w:spacing w:before="25" w:after="0"/>
        <w:ind w:left="-220" w:leftChars="-100" w:firstLine="0" w:firstLineChars="0"/>
        <w:jc w:val="both"/>
        <w:rPr>
          <w:rFonts w:hint="default" w:ascii="仿宋" w:hAnsi="仿宋" w:eastAsia="仿宋" w:cs="仿宋"/>
          <w:b w:val="0"/>
          <w:bCs w:val="0"/>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tblPrEx>
          <w:tblCellMar>
            <w:top w:w="55" w:type="dxa"/>
            <w:left w:w="55" w:type="dxa"/>
            <w:bottom w:w="55" w:type="dxa"/>
            <w:right w:w="55" w:type="dxa"/>
          </w:tblCellMar>
        </w:tblPrEx>
        <w:trPr>
          <w:trHeight w:val="319" w:hRule="atLeast"/>
        </w:trPr>
        <w:tc>
          <w:tcPr>
            <w:tcW w:w="10466" w:type="dxa"/>
            <w:gridSpan w:val="3"/>
          </w:tcPr>
          <w:p>
            <w:pPr>
              <w:pStyle w:val="22"/>
              <w:widowControl w:val="0"/>
              <w:tabs>
                <w:tab w:val="left" w:pos="610"/>
              </w:tabs>
              <w:spacing w:before="28" w:after="0"/>
              <w:ind w:left="8" w:firstLine="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一般公共预算机关运行经费支出决算表</w:t>
            </w:r>
          </w:p>
        </w:tc>
      </w:tr>
      <w:tr>
        <w:tblPrEx>
          <w:tblCellMar>
            <w:top w:w="55" w:type="dxa"/>
            <w:left w:w="55" w:type="dxa"/>
            <w:bottom w:w="55" w:type="dxa"/>
            <w:right w:w="55" w:type="dxa"/>
          </w:tblCellMar>
        </w:tblPrEx>
        <w:trPr>
          <w:trHeight w:val="90" w:hRule="atLeast"/>
        </w:trPr>
        <w:tc>
          <w:tcPr>
            <w:tcW w:w="6632" w:type="dxa"/>
            <w:gridSpan w:val="2"/>
          </w:tcPr>
          <w:p>
            <w:pPr>
              <w:pStyle w:val="22"/>
              <w:widowControl w:val="0"/>
              <w:rPr>
                <w:rFonts w:hint="eastAsia" w:ascii="仿宋" w:hAnsi="仿宋" w:eastAsia="仿宋" w:cs="仿宋"/>
                <w:sz w:val="20"/>
              </w:rPr>
            </w:pPr>
          </w:p>
        </w:tc>
        <w:tc>
          <w:tcPr>
            <w:tcW w:w="3834" w:type="dxa"/>
            <w:vAlign w:val="center"/>
          </w:tcPr>
          <w:p>
            <w:pPr>
              <w:pStyle w:val="22"/>
              <w:widowControl w:val="0"/>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6632" w:type="dxa"/>
            <w:gridSpan w:val="2"/>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eastAsia="仿宋" w:cs="仿宋"/>
                <w:color w:val="000000"/>
                <w:sz w:val="22"/>
              </w:rPr>
              <w:t>名称：</w:t>
            </w:r>
            <w:r>
              <w:rPr>
                <w:rFonts w:hint="eastAsia" w:ascii="仿宋" w:hAnsi="仿宋" w:eastAsia="仿宋" w:cs="仿宋"/>
              </w:rPr>
              <w:t>常州市工业和信息化局（本级）</w:t>
            </w:r>
          </w:p>
        </w:tc>
        <w:tc>
          <w:tcPr>
            <w:tcW w:w="3834"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机关运行经费支出决算</w:t>
            </w:r>
          </w:p>
        </w:tc>
      </w:tr>
      <w:tr>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99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3834"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3834"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221.29</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220.32</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18.90</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0.17</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14.64</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3.81</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58.56</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4.85</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0.48</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3.42</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2.19</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1.66</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1.94</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26.92</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81.13</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1.64</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0.96</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0.96</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p>
        </w:tc>
      </w:tr>
    </w:tbl>
    <w:p>
      <w:pPr>
        <w:spacing w:before="25" w:after="0"/>
        <w:ind w:left="0" w:leftChars="0" w:right="-92" w:rightChars="-42"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rPr>
        <w:t>注：“机关运行经费” 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本表金额单位转换时可能存在尾数误差。</w:t>
      </w:r>
    </w:p>
    <w:p>
      <w:pPr>
        <w:numPr>
          <w:ilvl w:val="0"/>
          <w:numId w:val="0"/>
        </w:numPr>
        <w:tabs>
          <w:tab w:val="left" w:pos="440"/>
        </w:tabs>
        <w:spacing w:before="25" w:after="0"/>
        <w:ind w:left="440" w:leftChars="200" w:firstLine="0" w:firstLineChars="0"/>
        <w:jc w:val="both"/>
        <w:rPr>
          <w:rFonts w:hint="eastAsia" w:ascii="仿宋" w:hAnsi="仿宋" w:eastAsia="仿宋" w:cs="仿宋"/>
          <w:b w:val="0"/>
          <w:bCs w:val="0"/>
          <w:sz w:val="22"/>
          <w:szCs w:val="22"/>
          <w:lang w:val="en-US" w:eastAsia="zh-CN"/>
        </w:rPr>
        <w:sectPr>
          <w:footerReference r:id="rId18" w:type="default"/>
          <w:type w:val="continuous"/>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tblPrEx>
          <w:tblCellMar>
            <w:top w:w="55" w:type="dxa"/>
            <w:left w:w="55" w:type="dxa"/>
            <w:bottom w:w="55" w:type="dxa"/>
            <w:right w:w="55" w:type="dxa"/>
          </w:tblCellMar>
        </w:tblPrEx>
        <w:trPr>
          <w:trHeight w:val="333" w:hRule="atLeast"/>
        </w:trPr>
        <w:tc>
          <w:tcPr>
            <w:tcW w:w="10459" w:type="dxa"/>
            <w:gridSpan w:val="4"/>
            <w:vAlign w:val="center"/>
          </w:tcPr>
          <w:p>
            <w:pPr>
              <w:pStyle w:val="22"/>
              <w:widowControl w:val="0"/>
              <w:bidi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政府采购支出决算表</w:t>
            </w:r>
          </w:p>
        </w:tc>
      </w:tr>
      <w:tr>
        <w:tblPrEx>
          <w:tblCellMar>
            <w:top w:w="55" w:type="dxa"/>
            <w:left w:w="55" w:type="dxa"/>
            <w:bottom w:w="55" w:type="dxa"/>
            <w:right w:w="55" w:type="dxa"/>
          </w:tblCellMar>
        </w:tblPrEx>
        <w:trPr>
          <w:trHeight w:val="333" w:hRule="atLeast"/>
        </w:trPr>
        <w:tc>
          <w:tcPr>
            <w:tcW w:w="4472" w:type="dxa"/>
          </w:tcPr>
          <w:p>
            <w:pPr>
              <w:pStyle w:val="22"/>
              <w:widowControl w:val="0"/>
              <w:bidi w:val="0"/>
              <w:rPr>
                <w:rFonts w:hint="eastAsia" w:ascii="仿宋" w:hAnsi="仿宋" w:eastAsia="仿宋" w:cs="仿宋"/>
              </w:rPr>
            </w:pPr>
          </w:p>
        </w:tc>
        <w:tc>
          <w:tcPr>
            <w:tcW w:w="722" w:type="dxa"/>
          </w:tcPr>
          <w:p>
            <w:pPr>
              <w:pStyle w:val="22"/>
              <w:widowControl w:val="0"/>
              <w:rPr>
                <w:rFonts w:hint="eastAsia" w:ascii="仿宋" w:hAnsi="仿宋" w:eastAsia="仿宋" w:cs="仿宋"/>
              </w:rPr>
            </w:pPr>
          </w:p>
        </w:tc>
        <w:tc>
          <w:tcPr>
            <w:tcW w:w="1992" w:type="dxa"/>
          </w:tcPr>
          <w:p>
            <w:pPr>
              <w:pStyle w:val="22"/>
              <w:widowControl w:val="0"/>
              <w:rPr>
                <w:rFonts w:hint="eastAsia" w:ascii="仿宋" w:hAnsi="仿宋" w:eastAsia="仿宋" w:cs="仿宋"/>
              </w:rPr>
            </w:pPr>
          </w:p>
        </w:tc>
        <w:tc>
          <w:tcPr>
            <w:tcW w:w="3273" w:type="dxa"/>
            <w:vAlign w:val="center"/>
          </w:tcPr>
          <w:p>
            <w:pPr>
              <w:pStyle w:val="22"/>
              <w:widowControl w:val="0"/>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7186" w:type="dxa"/>
            <w:gridSpan w:val="3"/>
          </w:tcPr>
          <w:p>
            <w:pPr>
              <w:pStyle w:val="22"/>
              <w:widowControl w:val="0"/>
              <w:bidi w:val="0"/>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eastAsia="仿宋" w:cs="仿宋"/>
                <w:color w:val="000000"/>
                <w:sz w:val="22"/>
              </w:rPr>
              <w:t>名称：</w:t>
            </w:r>
            <w:r>
              <w:rPr>
                <w:rFonts w:hint="eastAsia" w:ascii="仿宋" w:hAnsi="仿宋" w:eastAsia="仿宋" w:cs="仿宋"/>
              </w:rPr>
              <w:t>常州市工业和信息化局（本级）</w:t>
            </w:r>
          </w:p>
        </w:tc>
        <w:tc>
          <w:tcPr>
            <w:tcW w:w="3273" w:type="dxa"/>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pPr>
              <w:pStyle w:val="22"/>
              <w:widowControl w:val="0"/>
              <w:bidi w:val="0"/>
              <w:jc w:val="center"/>
              <w:rPr>
                <w:rFonts w:hint="eastAsia" w:ascii="仿宋" w:hAnsi="仿宋" w:eastAsia="仿宋" w:cs="仿宋"/>
                <w:lang w:val="en-US" w:eastAsia="zh-CN"/>
              </w:rPr>
            </w:pPr>
            <w:r>
              <w:rPr>
                <w:rFonts w:ascii="仿宋" w:hAnsi="仿宋" w:eastAsia="仿宋" w:cs="仿宋"/>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1,162.80</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7.90</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1,154.90</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1,162.80</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1,162.80</w:t>
            </w:r>
          </w:p>
        </w:tc>
      </w:tr>
    </w:tbl>
    <w:p>
      <w:pPr>
        <w:bidi w:val="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rPr>
        <w:t>注：</w:t>
      </w:r>
      <w:r>
        <w:rPr>
          <w:rFonts w:hint="eastAsia" w:ascii="仿宋" w:hAnsi="仿宋" w:eastAsia="仿宋" w:cs="仿宋"/>
          <w:b w:val="0"/>
          <w:bCs w:val="0"/>
          <w:sz w:val="22"/>
          <w:szCs w:val="22"/>
          <w:lang w:val="en-US" w:eastAsia="zh-CN"/>
        </w:rPr>
        <w:t>政府采购支出信息为单位纳入部门预算范围的各项政府采购支出情况。本表金额单位转换时可能存在尾数误差</w:t>
      </w:r>
      <w:r>
        <w:rPr>
          <w:rFonts w:hint="eastAsia" w:ascii="仿宋" w:hAnsi="仿宋" w:eastAsia="仿宋" w:cs="仿宋"/>
          <w:b w:val="0"/>
          <w:bCs w:val="0"/>
          <w:sz w:val="22"/>
          <w:szCs w:val="22"/>
        </w:rPr>
        <w:t>。</w:t>
      </w:r>
    </w:p>
    <w:p>
      <w:pPr>
        <w:numPr>
          <w:ilvl w:val="0"/>
          <w:numId w:val="0"/>
        </w:numPr>
        <w:bidi w:val="0"/>
        <w:ind w:left="440" w:leftChars="200" w:firstLine="0" w:firstLineChars="0"/>
        <w:jc w:val="both"/>
        <w:rPr>
          <w:rFonts w:hint="eastAsia" w:ascii="仿宋" w:hAnsi="仿宋" w:eastAsia="仿宋" w:cs="仿宋"/>
          <w:b w:val="0"/>
          <w:bCs w:val="0"/>
          <w:sz w:val="22"/>
          <w:szCs w:val="22"/>
        </w:rPr>
        <w:sectPr>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outlineLvl w:val="0"/>
        <w:rPr>
          <w:rFonts w:hint="eastAsia" w:ascii="宋体" w:hAnsi="宋体" w:eastAsia="宋体" w:cs="宋体"/>
          <w:b/>
          <w:bCs/>
          <w:color w:val="000000"/>
          <w:kern w:val="0"/>
          <w:sz w:val="36"/>
          <w:szCs w:val="36"/>
          <w:lang w:val="zh-CN" w:eastAsia="ar-SA" w:bidi="zh-CN"/>
        </w:rPr>
      </w:pPr>
      <w:r>
        <w:rPr>
          <w:rFonts w:hint="eastAsia" w:ascii="宋体" w:hAnsi="宋体" w:eastAsia="宋体" w:cs="宋体"/>
          <w:b/>
          <w:bCs/>
          <w:color w:val="000000"/>
          <w:kern w:val="0"/>
          <w:sz w:val="36"/>
          <w:szCs w:val="36"/>
          <w:lang w:val="zh-CN" w:eastAsia="ar-SA" w:bidi="zh-CN"/>
        </w:rPr>
        <w:t>第三部分</w:t>
      </w:r>
      <w:r>
        <w:rPr>
          <w:rFonts w:hint="eastAsia" w:ascii="宋体" w:hAnsi="宋体" w:eastAsia="宋体" w:cs="宋体"/>
          <w:b/>
          <w:bCs/>
          <w:color w:val="000000"/>
          <w:kern w:val="0"/>
          <w:sz w:val="36"/>
          <w:szCs w:val="36"/>
          <w:lang w:val="en-US" w:eastAsia="zh-CN" w:bidi="zh-CN"/>
        </w:rPr>
        <w:t xml:space="preserve"> </w:t>
      </w:r>
      <w:r>
        <w:rPr>
          <w:rFonts w:hint="eastAsia" w:ascii="宋体" w:hAnsi="宋体" w:eastAsia="宋体" w:cs="宋体"/>
          <w:b/>
          <w:bCs/>
          <w:color w:val="000000"/>
          <w:kern w:val="0"/>
          <w:sz w:val="36"/>
          <w:szCs w:val="36"/>
          <w:lang w:val="zh-CN" w:eastAsia="zh-CN" w:bidi="zh-CN"/>
        </w:rPr>
        <w:t>2021</w:t>
      </w:r>
      <w:r>
        <w:rPr>
          <w:rFonts w:hint="eastAsia" w:ascii="宋体" w:hAnsi="宋体" w:eastAsia="宋体" w:cs="宋体"/>
          <w:b/>
          <w:bCs/>
          <w:color w:val="000000"/>
          <w:kern w:val="0"/>
          <w:sz w:val="36"/>
          <w:szCs w:val="36"/>
          <w:lang w:val="zh-CN" w:eastAsia="ar-SA" w:bidi="zh-CN"/>
        </w:rPr>
        <w:t>年度</w:t>
      </w:r>
      <w:r>
        <w:rPr>
          <w:rFonts w:ascii="宋体" w:hAnsi="宋体" w:eastAsia="宋体" w:cs="宋体"/>
          <w:b/>
          <w:color w:val="000000"/>
          <w:sz w:val="36"/>
        </w:rPr>
        <w:t>单位决算情况说明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一、收入支出决算总体情况说明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2021年度收入、支出决算总计6,247.33万元。与上年相比，收、支总计各增加340.84万元，增长5.77%。其中：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（一）收入决算总计6,247.33万元。包括：</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1.本年收入决算合计6,139.13万元。与上年相比，增加237.64万元，增长4.03%，变动原因：人员经费政策性调整涨幅。</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2.使用非财政拨款结余0万元。与上年决算数相同。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年初结转和结余108.2万元。与上年相比，增加103.2万元，增长2,064%，变动原因：2021年结转项目经费多于2020年，主要是干部教育培训经费、化工整治专项费、常州市“十四五”工业制造规划编制费、工艺美术大师示范工作室认定工作专项经费等。</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（二）支出决算总计6,247.33万元。包括：</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1.本年支出决算合计6,247.33万元。与上年相比，增加449.04万元，增长7.74%，变动原因：人员经费政策性调整涨幅。</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2.结余分配0万元。与上年决算数相同。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3.年末结转和结余0万元。与上年相比，减少108.2万元，减少100%，变动原因：2021年年末未有结转经费。</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二、收入决算情况说明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2021年度本年收入决算合计6,139.13万元，其中：财政拨款收入6,112.34万元，占99.56%；上级补助收入0万元，占0%；财政专户管理教育收费0万元，占0%；事业收入（不含专户管理教育收费）0万元，占0%；经营收入0万元，占0%；附属单位上缴收入0万元，占0%；其他收入26.79万元，占0.44%。</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drawing>
          <wp:inline distT="0" distB="0" distL="0" distR="0">
            <wp:extent cx="6134100" cy="3429000"/>
            <wp:effectExtent l="0" t="0" r="0" b="0"/>
            <wp:docPr id="1" name="Drawing 1"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1" descr="Generated"/>
                    <pic:cNvPicPr>
                      <a:picLocks noChangeAspect="1"/>
                    </pic:cNvPicPr>
                  </pic:nvPicPr>
                  <pic:blipFill>
                    <a:blip r:embed="rId20"/>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三、支出决算情况说明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2021年度本年支出决算合计6,247.33万元，其中：基本支出4,170.24万元，占66.75%；项目支出2,077.09万元，占33.25%；上缴上级支出0万元，占0%；经营支出0万元，占0%；对附属单位补助支出0万元，占0%。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drawing>
          <wp:inline distT="0" distB="0" distL="0" distR="0">
            <wp:extent cx="6134100" cy="3429000"/>
            <wp:effectExtent l="0" t="0" r="0" b="0"/>
            <wp:docPr id="2" name="Drawing 2"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awing 2" descr="Generated"/>
                    <pic:cNvPicPr>
                      <a:picLocks noChangeAspect="1"/>
                    </pic:cNvPicPr>
                  </pic:nvPicPr>
                  <pic:blipFill>
                    <a:blip r:embed="rId21"/>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四、财政拨款收入支出决算总体情况说明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2021年度财政拨款收入、支出决算总计6,220.54万元。与上年相比，收、支总计各增加314.05万元，增长5.32%，变动原因：人员经费政策性调整涨幅。</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五、财政拨款支出决算情况说明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2021年度财政拨款支出决算6,220.54万元，占本年支出合计的99.57%。与2021年度财政拨款支出年初预算3,833.2万元相比，完成年初预算的162.28%。其中：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（一）科学技术支出（类）</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技术研究与开发（款）其他技术研究与开发支出（项）。年初预算0万元，支出决算2.8万元，（年初预算数为0万元，无法计算完成比率）。决算数与年初预算数的差异原因：此笔资金是2021年下达的工业高质量发展2020年度“三位一体”专项第三方绩效评价费用。</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其他科学技术支出（款）其他科学技术支出（项）。年初预算0万元，支出决算1,371.38万元，（年初预算数为0万元，无法计算完成比率）。决算数与年初预算数的差异原因：此笔资金是2021年下达的工博会专项资金、工业互联网专项、全市干部教育培训重点项目专项经费。</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（二）社会保障和就业支出（类）</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人力资源和社会保障管理事务（款）引进人才费用（项）。年初预算0万元，支出决算3.2万元，（年初预算数为0万元，无法计算完成比率）。决算数与年初预算数的差异原因：此笔资金是2021年结转的工艺美术大师示范工作室认定工作专项经费。</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2.行政事业单位养老支出（款）行政单位离退休（项）。年初预算78.39万元，支出决算161.06万元，完成年初预算的205.46%。决算数与年初预算数的差异原因：离退休人员慰问金政策性调整涨幅。</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其他社会保障和就业支出（款）其他社会保障和就业支出（项）。年初预算0万元，支出决算32.79万元，（年初预算数为0万元，无法计算完成比率）。决算数与年初预算数的差异原因：此项费用是每个月按照企业离休干部的实际情况上报老干部局再报批财政下拨的费用。</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（三）卫生健康支出（类）</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1.行政事业单位医疗（款）行政单位医疗（项）。年初预算68.67万元，支出决算68.97万元，完成年初预算的100.44%。决算数与年初预算数的差异原因：计提基数政策性调整。</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2.行政事业单位医疗（款）公务员医疗补助（项）。年初预算38.15万元，支出决算37.09万元，完成年初预算的97.22%。决算数与年初预算数的差异原因：计提基数政策性调整。</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（四）节能环保支出（类）</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循环经济（款）循环经济（项）。年初预算0万元，支出决算23.18万元，（年初预算数为0万元，无法计算完成比率）。决算数与年初预算数的差异原因：财政下达的节能管理专项资金，属于市级财政直接分配的资金。</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其他节能环保支出（款）其他节能环保支出（项）。年初预算0万元，支出决算12.16万元，（年初预算数为0万元，无法计算完成比率）。决算数与年初预算数的差异原因：该项资金是省里下达的化工整治专项资金。</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（五）资源勘探工业信息等支出（类）</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制造业（款）一般行政管理事务（项）。年初预算0万元，支出决算5万元，（年初预算数为0万元，无法计算完成比率）。决算数与年初预算数的差异原因：该项资金是工信局工业企业资源集约利用综合评价系统采购项目尾款，属于2019权责列支项目。</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制造业（款）其他制造业支出（项）。年初预算0万元，支出决算93.65万元，（年初预算数为0万元，无法计算完成比率）。决算数与年初预算数的差异原因：该项资金是财政下达的国家、省级新能源汽车推广应用财政补助专项审计费用、常州市“十四五”工业制造规划编制费、创新产品首购和推广应用项目第三方审计费用，属于市级专项资金。</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3.工业和信息产业监管（款）行政运行（项）。年初预算2,386.84万元，支出决算2,782.71万元，完成年初预算的116.59%。决算数与年初预算数的差异原因：人员经费政策性调整涨幅。</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4.工业和信息产业监管（款）一般行政管理事务（项）。年初预算214.3万元，支出决算476.24万元，完成年初预算的222.23%。决算数与年初预算数的差异原因：该项资金包含了国产化应用项目经费、2021年财政下达的物业管理费用，两项经费未列入部门预算，是财政下达的专项资金。</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5.工业和信息产业监管（款）其他工业和信息产业监管支出（项）。年初预算20万元，支出决算15.64万元，完成年初预算的78.2%。决算数与年初预算数的差异原因：集成电路办公室部分工作2021年因为疫情未能开展。</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6.支持中小企业发展和管理支出（款）其他支持中小企业发展和管理支出（项）。年初预算50.5万元，支出决算23.64万元，完成年初预算的46.81%。决算数与年初预算数的差异原因：2021年疫情原因服装节、软博会未举办。</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（六）援助其他地区支出（类）</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其他支出（款）其他支出（项）。年初预算0万元，支出决算5.3万元，（年初预算数为0万元，无法计算完成比率）。决算数与年初预算数的差异原因：该项资金是2021年追加的新疆挂职干部费用。</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（七）住房保障支出（类）</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1.住房改革支出（款）住房公积金（项）。年初预算241.67万元，支出决算269.27万元，完成年初预算的111.42%。决算数与年初预算数的差异原因：计提基数政策性涨幅。</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2.住房改革支出（款）提租补贴（项）。年初预算532.64万元，支出决算562.89万元，完成年初预算的105.68%。决算数与年初预算数的差异原因：计提基数政策性涨幅。</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3.住房改革支出（款）购房补贴（项）。年初预算202.03万元，支出决算238.67万元，完成年初预算的118.14%。决算数与年初预算数的差异原因：计提基数政策性涨幅。</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（八）粮油物资储备支出（类）</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重要商品储备（款）食盐储备（项）。年初预算0万元，支出决算34.9万元，（年初预算数为0万元，无法计算完成比率）。决算数与年初预算数的差异原因：该项资金是2021年财政下达的食盐储备专项资金，属于市级专项资金。</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六、财政拨款基本支出决算情况说明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2021年度财政拨款基本支出决算4,153.45万元，其中：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楷体" w:hAnsi="楷体" w:eastAsia="楷体" w:cs="楷体"/>
        </w:rPr>
        <w:t>（一）人员经费3,932.16万元。</w:t>
      </w:r>
      <w:r>
        <w:rPr>
          <w:rFonts w:ascii="仿宋" w:hAnsi="仿宋" w:eastAsia="仿宋" w:cs="仿宋"/>
        </w:rPr>
        <w:t>主要包括：基本工资、津贴补贴、奖金、机关事业单位基本养老保险缴费、职业年金缴费、职工基本医疗保险缴费、住房公积金、其他工资福利支出、离休费、退休费、抚恤金、奖励金、其他对个人和家庭的补助。</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楷体" w:hAnsi="楷体" w:eastAsia="楷体" w:cs="楷体"/>
        </w:rPr>
        <w:t>（二）公用经费221.29万元。</w:t>
      </w:r>
      <w:r>
        <w:rPr>
          <w:rFonts w:ascii="仿宋" w:hAnsi="仿宋" w:eastAsia="仿宋" w:cs="仿宋"/>
        </w:rPr>
        <w:t>主要包括：办公费、印刷费、邮电费、物业管理费、差旅费、维修（护）费、会议费、培训费、公务接待费、劳务费、委托业务费、工会经费、其他交通费用、其他商品和服务支出、办公设备购置。</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七、一般公共预算支出决算情况说明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2021年度一般公共预算财政拨款支出决算6,220.54万元。与上年相比，增加422.25万元，增长7.28%，变动原因：人员经费政策性调整。</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八、一般公共预算基本支出决算情况说明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2021年度一般公共预算财政拨款基本支出决算4,153.45万元，其中：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楷体" w:hAnsi="楷体" w:eastAsia="楷体" w:cs="楷体"/>
        </w:rPr>
        <w:t>（一）人员经费3,932.16万元。</w:t>
      </w:r>
      <w:r>
        <w:rPr>
          <w:rFonts w:ascii="仿宋" w:hAnsi="仿宋" w:eastAsia="仿宋" w:cs="仿宋"/>
        </w:rPr>
        <w:t>主要包括：基本工资、津贴补贴、奖金、机关事业单位基本养老保险缴费、职业年金缴费、职工基本医疗保险缴费、住房公积金、其他工资福利支出、离休费、退休费、抚恤金、奖励金、其他对个人和家庭的补助。</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楷体" w:hAnsi="楷体" w:eastAsia="楷体" w:cs="楷体"/>
        </w:rPr>
        <w:t>（二）公用经费221.29万元。</w:t>
      </w:r>
      <w:r>
        <w:rPr>
          <w:rFonts w:ascii="仿宋" w:hAnsi="仿宋" w:eastAsia="仿宋" w:cs="仿宋"/>
        </w:rPr>
        <w:t>主要包括：办公费、印刷费、邮电费、物业管理费、差旅费、维修（护）费、会议费、培训费、公务接待费、劳务费、委托业务费、工会经费、其他交通费用、其他商品和服务支出、办公设备购置。</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九、一般公共预算“三公”经费、会议费、培训费支出情况说明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（一）一般公共预算“三公”经费支出总体情况说明。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2021年度一般公共预算“三公”经费支出决算2.19万元。与上年相比，减少0.72万元，变动原因：2021年工信局本着厉行节约的原则，严格控制三公经费的支出。其中，因公出国（境）费支出0万元，占“三公”经费的0%；公务用车购置及运行维护费支出0万元，占“三公”经费的0%；公务接待费支出2.19万元，占“三公”经费的100%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（二）一般公共预算“三公”经费支出具体情况说明。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1．因公出国（境）费支出预算11万元，支出决算0万元，完成预算的0%，决算数与预算数的差异原因：2021年疫情原因未发生出国费用。全年使用一般公共预算财政拨款涉及的出国（境）团组0个，累计0人次。</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2．公务用车购置及运行维护费支出预算0万元，支出决算0万元，完成预算的100%，决算数与预算数相同。其中：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（1）公务用车购置支出决算0万元。本年度使用一般公共预算财政拨款购置公务用车0辆。</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公务用车运行维护费支出决算0万元。公务用车运行维护费主要用于按规定保留的公务用车的燃料费、维修费、过桥过路费、保险费、安全奖励费用等支出。截至2021年12月31日，使用一般公共预算财政拨款开支的公务用车保有量为0辆。</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公务接待费支出预算7.93万元，支出决算2.19万元，完成预算的27.62%，决算数与预算数的差异原因：工信局本着厉行节约的原则，严格控制公务接待费的支出。其中：国内公务接待支出2.19万元，接待25批次，221人次，开支内容：接待国家工信部、省工信厅、省节能监察中心等领导来常考察调研、兄弟城市来常调研学习的人员等；国（境）外公务接待支出0万元，接待0批次0人次。</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（三）一般公共预算会议费支出决算情况说明。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2021年度一般公共预算财政拨款会议费支出预算47.63万元，支出决算44.81万元，完成预算的94.08%，决算数与预算数的差异原因：工信局严格控制会议次数，减少会议支出。2021年度全年召开会议51个，参加会议1660人次，开支内容：召开各处室的条线会议，业务工作会议，全市工信工作会议，每季度召开的全市工业经济现场推进会，每年的工信工作总结研讨会，全市工信工作总结大会等。</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（四）一般公共预算培训费支出决算情况说明。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2021年度一般公共预算财政拨款培训费支出预算195.36万元，支出决算89.53万元，完成预算的45.83%，决算数与预算数的差异原因：2021年疫情原因减少对企业家的培训班次。2021年度全年组织培训32个，组织培训3820人次，开支内容：2021年在厦门大学和浙江大学举办了2期“工业企业高质量发展”专题研修班，参训学员共100人；举办4期“企业创新与发展”报告会，累计培训企业中高层经营管理人员1000人次；在溧阳市委党校、金坛区委党校、钟楼开发区大数据产业园、中车公司、中天钢铁、今创集团、常发重工等单位举办23期“工信讲坛”系列讲座活动，培训各类企业经营管理人员2300人次。能源管理岗位320人次，工业设计培训100人次。</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十、政府性基金预算财政拨款支出决算情况说明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2021年度政府性基金预算财政拨款支出决算0万元。与上年决算数相同。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十一、国有资本经营预算财政拨款支出决算情况说明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2021年度国有资本经营预算财政拨款支出决算0万元。与上年决算数相同。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十二、一般公共预算机关运行经费支出决算情况说明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2021年度机关运行经费支出决算221.29万元。与上年相比，减少5.46万元，减少2.41%，变动原因：2021年工信局本着厉行节约的原则，严格控制机关运行经费的支出。</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十三、政府采购支出决算情况说明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2021年度政府采购支出总额1,162.8万元，其中：政府采购货物支出7.9万元、政府采购工程支出0万元、政府采购服务支出1,154.9万元。政府采购授予中小企业合同金额1,162.8万元，占政府采购支出总额的100%，其中：授予小微企业合同金额1,162.8万元，占政府采购支出总额的100%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十四、国有资产占用情况说明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截至2021年12月31日，本单位共有车辆0辆，其中：副部(省)级及以上领导用车0辆、主要领导干部用车0辆、机要通信用车0辆、应急保障用车0辆、执法执勤用车0辆、特种专业技术用车0辆、离退休干部用车0辆、其他用车0辆；单价50万元（含）以上的通用设备0台（套），单价100万元（含）以上的专用设备0台（套）。</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十五、预算绩效评价工作开展情况</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2021年度，本单位共0个项目开展了财政重点绩效评价，涉及财政性资金合计0万元；本单位未开展单位整体支出财政重点绩效评价，涉及财政性资金0万元。</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本单位共对上年度已实施完成的5个项目开展了绩效自评价，涉及财政性资金合计29,130万元；本单位共开展1项单位整体支出绩效自评价，涉及财政性资金合计6,247.33万元。</w:t>
      </w:r>
    </w:p>
    <w:p>
      <w:pPr>
        <w:pStyle w:val="5"/>
        <w:tabs>
          <w:tab w:val="left" w:pos="3077"/>
        </w:tabs>
        <w:spacing w:line="616" w:lineRule="exact"/>
        <w:jc w:val="center"/>
        <w:outlineLvl w:val="0"/>
        <w:rPr>
          <w:rFonts w:hint="eastAsia" w:ascii="宋体" w:hAnsi="宋体" w:eastAsia="宋体" w:cs="宋体"/>
          <w:b/>
          <w:bCs/>
          <w:sz w:val="36"/>
          <w:szCs w:val="36"/>
        </w:rPr>
      </w:pPr>
      <w:r>
        <w:rPr>
          <w:rFonts w:hint="eastAsia" w:ascii="宋体" w:hAnsi="宋体" w:eastAsia="宋体" w:cs="宋体"/>
          <w:b/>
          <w:bCs/>
          <w:sz w:val="36"/>
          <w:szCs w:val="36"/>
        </w:rPr>
        <w:t>第四部分 名词</w:t>
      </w:r>
      <w:r>
        <w:rPr>
          <w:rFonts w:hint="eastAsia" w:ascii="宋体" w:hAnsi="宋体" w:eastAsia="宋体" w:cs="宋体"/>
          <w:b/>
          <w:bCs/>
          <w:color w:val="000000"/>
          <w:kern w:val="0"/>
          <w:sz w:val="36"/>
          <w:szCs w:val="36"/>
          <w:lang w:val="zh-CN" w:eastAsia="ar-SA" w:bidi="zh-CN"/>
        </w:rPr>
        <w:t>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一、财政拨款收入</w:t>
      </w:r>
      <w:r>
        <w:rPr>
          <w:rFonts w:ascii="仿宋" w:hAnsi="仿宋" w:eastAsia="仿宋" w:cs="仿宋"/>
          <w:b/>
        </w:rPr>
        <w:t>：</w:t>
      </w:r>
      <w:r>
        <w:rPr>
          <w:rFonts w:hint="eastAsia" w:ascii="仿宋" w:hAnsi="仿宋" w:eastAsia="仿宋" w:cs="仿宋"/>
        </w:rPr>
        <w:t>指单位从同级财政部门取得的各类财政拨款，包括一般公共预算财政拨款、政府性基金预算财政拨款、国有资本经营预算财政拨款。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二、上级补助收入</w:t>
      </w:r>
      <w:r>
        <w:rPr>
          <w:rFonts w:ascii="仿宋" w:hAnsi="仿宋" w:eastAsia="仿宋" w:cs="仿宋"/>
          <w:b/>
        </w:rPr>
        <w:t>：</w:t>
      </w:r>
      <w:r>
        <w:rPr>
          <w:rFonts w:hint="eastAsia" w:ascii="仿宋" w:hAnsi="仿宋" w:eastAsia="仿宋" w:cs="仿宋"/>
        </w:rPr>
        <w:t>指事业单位从主管部门和上级单位取得的非财政补助收入。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三、财政专户管理教育收费</w:t>
      </w:r>
      <w:r>
        <w:rPr>
          <w:rFonts w:ascii="仿宋" w:hAnsi="仿宋" w:eastAsia="仿宋" w:cs="仿宋"/>
          <w:b/>
        </w:rPr>
        <w:t>：</w:t>
      </w:r>
      <w:r>
        <w:rPr>
          <w:rFonts w:hint="eastAsia" w:ascii="仿宋" w:hAnsi="仿宋" w:eastAsia="仿宋" w:cs="仿宋"/>
        </w:rPr>
        <w:t>指缴入财政专户、实行专项管理的高中以上学费、住宿费、高校委托培养费、函大、电大、夜大及短训班培训费等教育收费。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四、事业收入</w:t>
      </w:r>
      <w:r>
        <w:rPr>
          <w:rFonts w:ascii="仿宋" w:hAnsi="仿宋" w:eastAsia="仿宋" w:cs="仿宋"/>
          <w:b/>
        </w:rPr>
        <w:t>：</w:t>
      </w:r>
      <w:r>
        <w:rPr>
          <w:rFonts w:hint="eastAsia" w:ascii="仿宋" w:hAnsi="仿宋" w:eastAsia="仿宋" w:cs="仿宋"/>
        </w:rPr>
        <w:t>指事业单位开展专业业务活动及其辅助活动取得的收入。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五、经营收入</w:t>
      </w:r>
      <w:r>
        <w:rPr>
          <w:rFonts w:ascii="仿宋" w:hAnsi="仿宋" w:eastAsia="仿宋" w:cs="仿宋"/>
          <w:b/>
        </w:rPr>
        <w:t>：</w:t>
      </w:r>
      <w:r>
        <w:rPr>
          <w:rFonts w:hint="eastAsia" w:ascii="仿宋" w:hAnsi="仿宋" w:eastAsia="仿宋" w:cs="仿宋"/>
        </w:rPr>
        <w:t>指事业单位在专业业务活动及其辅助活动之外开展非独立核算经营活动取得的收入。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六、附属单位上缴收入</w:t>
      </w:r>
      <w:r>
        <w:rPr>
          <w:rFonts w:ascii="仿宋" w:hAnsi="仿宋" w:eastAsia="仿宋" w:cs="仿宋"/>
          <w:b/>
        </w:rPr>
        <w:t>：</w:t>
      </w:r>
      <w:r>
        <w:rPr>
          <w:rFonts w:hint="eastAsia" w:ascii="仿宋" w:hAnsi="仿宋" w:eastAsia="仿宋" w:cs="仿宋"/>
        </w:rPr>
        <w:t>指事业单位附属独立核算单位按照有关规定上缴的收入。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七、其他收入</w:t>
      </w:r>
      <w:r>
        <w:rPr>
          <w:rFonts w:ascii="仿宋" w:hAnsi="仿宋" w:eastAsia="仿宋" w:cs="仿宋"/>
          <w:b/>
        </w:rPr>
        <w:t>：</w:t>
      </w:r>
      <w:r>
        <w:rPr>
          <w:rFonts w:hint="eastAsia" w:ascii="仿宋" w:hAnsi="仿宋" w:eastAsia="仿宋" w:cs="仿宋"/>
        </w:rPr>
        <w:t>指单位取得的除上述“财政拨款收入”、 “上级补助收入”、“事业收入”、“经营收入”、“附属单位上缴收入”等以外的各项收入。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八、使用非财政拨款结余</w:t>
      </w:r>
      <w:r>
        <w:rPr>
          <w:rFonts w:ascii="仿宋" w:hAnsi="仿宋" w:eastAsia="仿宋" w:cs="仿宋"/>
          <w:b/>
        </w:rPr>
        <w:t>：</w:t>
      </w:r>
      <w:r>
        <w:rPr>
          <w:rFonts w:hint="eastAsia" w:ascii="仿宋" w:hAnsi="仿宋" w:eastAsia="仿宋" w:cs="仿宋"/>
        </w:rPr>
        <w:t>指事业单位按照预算管理要求使用非财政拨款结余（原事业基金）弥补当年收支差额的数额。</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九、年初结转和结余</w:t>
      </w:r>
      <w:r>
        <w:rPr>
          <w:rFonts w:ascii="仿宋" w:hAnsi="仿宋" w:eastAsia="仿宋" w:cs="仿宋"/>
          <w:b/>
        </w:rPr>
        <w:t>：</w:t>
      </w:r>
      <w:r>
        <w:rPr>
          <w:rFonts w:hint="eastAsia" w:ascii="仿宋" w:hAnsi="仿宋" w:eastAsia="仿宋" w:cs="仿宋"/>
        </w:rPr>
        <w:t>指单位上年结转本年使用的基本支出结转、项目支出结转和结余、经营结余。</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十、结余分配</w:t>
      </w:r>
      <w:r>
        <w:rPr>
          <w:rFonts w:ascii="仿宋" w:hAnsi="仿宋" w:eastAsia="仿宋" w:cs="仿宋"/>
          <w:b/>
        </w:rPr>
        <w:t>：</w:t>
      </w:r>
      <w:r>
        <w:rPr>
          <w:rFonts w:hint="eastAsia" w:ascii="仿宋" w:hAnsi="仿宋" w:eastAsia="仿宋" w:cs="仿宋"/>
        </w:rPr>
        <w:t>指事业单位按规定缴纳的所得税以及从非财政拨款结余中提取各类结余的情况。</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十一、年末结转和结余资金</w:t>
      </w:r>
      <w:r>
        <w:rPr>
          <w:rFonts w:ascii="仿宋" w:hAnsi="仿宋" w:eastAsia="仿宋" w:cs="仿宋"/>
          <w:b/>
        </w:rPr>
        <w:t>：</w:t>
      </w:r>
      <w:r>
        <w:rPr>
          <w:rFonts w:hint="eastAsia" w:ascii="仿宋" w:hAnsi="仿宋" w:eastAsia="仿宋" w:cs="仿宋"/>
        </w:rPr>
        <w:t>指单位结转下年的基本支出结转、项目支出结转和结余、经营结余。</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十二、基本支出</w:t>
      </w:r>
      <w:r>
        <w:rPr>
          <w:rFonts w:ascii="仿宋" w:hAnsi="仿宋" w:eastAsia="仿宋" w:cs="仿宋"/>
          <w:b/>
        </w:rPr>
        <w:t>：</w:t>
      </w:r>
      <w:r>
        <w:rPr>
          <w:rFonts w:hint="eastAsia" w:ascii="仿宋" w:hAnsi="仿宋" w:eastAsia="仿宋" w:cs="仿宋"/>
        </w:rPr>
        <w:t>指为保障机构正常运转、完成日常工作任务所发生的支出，包括人员经费和公用经费。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十三、项目支出</w:t>
      </w:r>
      <w:r>
        <w:rPr>
          <w:rFonts w:ascii="仿宋" w:hAnsi="仿宋" w:eastAsia="仿宋" w:cs="仿宋"/>
          <w:b/>
        </w:rPr>
        <w:t>：</w:t>
      </w:r>
      <w:r>
        <w:rPr>
          <w:rFonts w:hint="eastAsia" w:ascii="仿宋" w:hAnsi="仿宋" w:eastAsia="仿宋" w:cs="仿宋"/>
        </w:rPr>
        <w:t>指在为完成特定的工作任务和事业发展目标所发生的支出。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十四、上缴上级支出</w:t>
      </w:r>
      <w:r>
        <w:rPr>
          <w:rFonts w:ascii="仿宋" w:hAnsi="仿宋" w:eastAsia="仿宋" w:cs="仿宋"/>
          <w:b/>
        </w:rPr>
        <w:t>：</w:t>
      </w:r>
      <w:r>
        <w:rPr>
          <w:rFonts w:hint="eastAsia" w:ascii="仿宋" w:hAnsi="仿宋" w:eastAsia="仿宋" w:cs="仿宋"/>
        </w:rPr>
        <w:t>指事业单位按照财政部门和主管部门的规定上缴上级单位的支出。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十五、经营支出</w:t>
      </w:r>
      <w:r>
        <w:rPr>
          <w:rFonts w:ascii="仿宋" w:hAnsi="仿宋" w:eastAsia="仿宋" w:cs="仿宋"/>
          <w:b/>
        </w:rPr>
        <w:t>：</w:t>
      </w:r>
      <w:r>
        <w:rPr>
          <w:rFonts w:hint="eastAsia" w:ascii="仿宋" w:hAnsi="仿宋" w:eastAsia="仿宋" w:cs="仿宋"/>
        </w:rPr>
        <w:t>指事业单位在专业业务活动及其辅助活动之外开展非独立核算经营活动发生的支出。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十六、对附属单位补助支出</w:t>
      </w:r>
      <w:r>
        <w:rPr>
          <w:rFonts w:ascii="仿宋" w:hAnsi="仿宋" w:eastAsia="仿宋" w:cs="仿宋"/>
          <w:b/>
        </w:rPr>
        <w:t>：</w:t>
      </w:r>
      <w:r>
        <w:rPr>
          <w:rFonts w:hint="eastAsia" w:ascii="仿宋" w:hAnsi="仿宋" w:eastAsia="仿宋" w:cs="仿宋"/>
        </w:rPr>
        <w:t>指事业单位用财政拨款收入之外的收入对附属单位补助发生的支出。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十七、“三公”经费</w:t>
      </w:r>
      <w:r>
        <w:rPr>
          <w:rFonts w:ascii="仿宋" w:hAnsi="仿宋" w:eastAsia="仿宋" w:cs="仿宋"/>
          <w:b/>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十八、机关运行经费</w:t>
      </w:r>
      <w:r>
        <w:rPr>
          <w:rFonts w:ascii="仿宋" w:hAnsi="仿宋" w:eastAsia="仿宋" w:cs="仿宋"/>
          <w:b/>
        </w:rPr>
        <w:t>：</w:t>
      </w:r>
      <w:r>
        <w:rPr>
          <w:rFonts w:hint="eastAsia" w:ascii="仿宋" w:hAnsi="仿宋" w:eastAsia="仿宋" w:cs="仿宋"/>
        </w:rPr>
        <w:t>指行政单位（含参照公务员法管理的事业单位）使用一般公共预算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十九、科学技术支出(类)技术研究与开发(款)其他技术研究与开发支出(项)</w:t>
      </w:r>
      <w:r>
        <w:rPr>
          <w:rFonts w:ascii="仿宋" w:hAnsi="仿宋" w:eastAsia="仿宋" w:cs="仿宋"/>
          <w:b/>
        </w:rPr>
        <w:t>：</w:t>
      </w:r>
      <w:r>
        <w:rPr>
          <w:rFonts w:hint="eastAsia" w:ascii="仿宋" w:hAnsi="仿宋" w:eastAsia="仿宋" w:cs="仿宋"/>
        </w:rPr>
        <w:t>反映除上述项目以外其他用于技术研究与开发方面的支出。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二十、科学技术支出(类)其他科学技术支出(款)其他科学技术支出(项)</w:t>
      </w:r>
      <w:r>
        <w:rPr>
          <w:rFonts w:ascii="仿宋" w:hAnsi="仿宋" w:eastAsia="仿宋" w:cs="仿宋"/>
          <w:b/>
        </w:rPr>
        <w:t>：</w:t>
      </w:r>
      <w:r>
        <w:rPr>
          <w:rFonts w:hint="eastAsia" w:ascii="仿宋" w:hAnsi="仿宋" w:eastAsia="仿宋" w:cs="仿宋"/>
        </w:rPr>
        <w:t>反映其他科学技术支出中除以上各项外用于科技方面的支出。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二十一、社会保障和就业支出(类)人力资源和社会保障管理事务(款)引进人才费用(项)</w:t>
      </w:r>
      <w:r>
        <w:rPr>
          <w:rFonts w:ascii="仿宋" w:hAnsi="仿宋" w:eastAsia="仿宋" w:cs="仿宋"/>
          <w:b/>
        </w:rPr>
        <w:t>：</w:t>
      </w:r>
      <w:r>
        <w:rPr>
          <w:rFonts w:hint="eastAsia" w:ascii="仿宋" w:hAnsi="仿宋" w:eastAsia="仿宋" w:cs="仿宋"/>
        </w:rPr>
        <w:t>反映用于引进外国专家补助、引智成果推广等方面的支出。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二十二、社会保障和就业支出(类)行政事业单位养老支出(款)行政单位离退休(项)</w:t>
      </w:r>
      <w:r>
        <w:rPr>
          <w:rFonts w:ascii="仿宋" w:hAnsi="仿宋" w:eastAsia="仿宋" w:cs="仿宋"/>
          <w:b/>
        </w:rPr>
        <w:t>：</w:t>
      </w:r>
      <w:r>
        <w:rPr>
          <w:rFonts w:hint="eastAsia" w:ascii="仿宋" w:hAnsi="仿宋" w:eastAsia="仿宋" w:cs="仿宋"/>
        </w:rPr>
        <w:t>反映行政单位（包括实行公务员管理的事业单位）开支的离退休经费。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二十三、社会保障和就业支出(类)其他社会保障和就业支出(款)其他社会保障和就业支出(项)</w:t>
      </w:r>
      <w:r>
        <w:rPr>
          <w:rFonts w:ascii="仿宋" w:hAnsi="仿宋" w:eastAsia="仿宋" w:cs="仿宋"/>
          <w:b/>
        </w:rPr>
        <w:t>：</w:t>
      </w:r>
      <w:r>
        <w:rPr>
          <w:rFonts w:hint="eastAsia" w:ascii="仿宋" w:hAnsi="仿宋" w:eastAsia="仿宋" w:cs="仿宋"/>
        </w:rPr>
        <w:t>反映除上述项目以外其他用于社会保障和就业方面的支出。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二十四、卫生健康支出(类)行政事业单位医疗(款)行政单位医疗(项)</w:t>
      </w:r>
      <w:r>
        <w:rPr>
          <w:rFonts w:ascii="仿宋" w:hAnsi="仿宋" w:eastAsia="仿宋" w:cs="仿宋"/>
          <w:b/>
        </w:rPr>
        <w:t>：</w:t>
      </w:r>
      <w:r>
        <w:rPr>
          <w:rFonts w:hint="eastAsia" w:ascii="仿宋" w:hAnsi="仿宋" w:eastAsia="仿宋" w:cs="仿宋"/>
        </w:rPr>
        <w:t>反映财政部门安排的行政单位（包括实行公务员管理的事业单位，下同）基本医疗保险缴费经费，未参加医疗保险的行政单位的公费医疗经费，按国家规定享受离休人员、红军老战士待遇人员的医疗经费。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二十五、卫生健康支出(类)行政事业单位医疗(款)公务员医疗补助(项)</w:t>
      </w:r>
      <w:r>
        <w:rPr>
          <w:rFonts w:ascii="仿宋" w:hAnsi="仿宋" w:eastAsia="仿宋" w:cs="仿宋"/>
          <w:b/>
        </w:rPr>
        <w:t>：</w:t>
      </w:r>
      <w:r>
        <w:rPr>
          <w:rFonts w:hint="eastAsia" w:ascii="仿宋" w:hAnsi="仿宋" w:eastAsia="仿宋" w:cs="仿宋"/>
        </w:rPr>
        <w:t>反映财政部门安排的公务员医疗补助经费。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二十六、节能环保支出(类)循环经济(款)循环经济(项)</w:t>
      </w:r>
      <w:r>
        <w:rPr>
          <w:rFonts w:ascii="仿宋" w:hAnsi="仿宋" w:eastAsia="仿宋" w:cs="仿宋"/>
          <w:b/>
        </w:rPr>
        <w:t>：</w:t>
      </w:r>
      <w:r>
        <w:rPr>
          <w:rFonts w:hint="eastAsia" w:ascii="仿宋" w:hAnsi="仿宋" w:eastAsia="仿宋" w:cs="仿宋"/>
        </w:rPr>
        <w:t>反映用于循环经济（含资源综合利用）方面的支出。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二十七、节能环保支出(类)其他节能环保支出(款)其他节能环保支出(项)</w:t>
      </w:r>
      <w:r>
        <w:rPr>
          <w:rFonts w:ascii="仿宋" w:hAnsi="仿宋" w:eastAsia="仿宋" w:cs="仿宋"/>
          <w:b/>
        </w:rPr>
        <w:t>：</w:t>
      </w:r>
      <w:r>
        <w:rPr>
          <w:rFonts w:hint="eastAsia" w:ascii="仿宋" w:hAnsi="仿宋" w:eastAsia="仿宋" w:cs="仿宋"/>
        </w:rPr>
        <w:t>反映除上述项目以外其他用于节能环保方面的支出。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二十八、资源勘探工业信息等支出(类)制造业(款)一般行政管理事务(项)</w:t>
      </w:r>
      <w:r>
        <w:rPr>
          <w:rFonts w:ascii="仿宋" w:hAnsi="仿宋" w:eastAsia="仿宋" w:cs="仿宋"/>
          <w:b/>
        </w:rPr>
        <w:t>：</w:t>
      </w:r>
      <w:r>
        <w:rPr>
          <w:rFonts w:hint="eastAsia" w:ascii="仿宋" w:hAnsi="仿宋" w:eastAsia="仿宋" w:cs="仿宋"/>
        </w:rPr>
        <w:t>反映行政单位（包括实行公务员管理的事业单位）未单独设置项级科目的其他项目支出。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二十九、资源勘探工业信息等支出(类)制造业(款)其他制造业支出(项)</w:t>
      </w:r>
      <w:r>
        <w:rPr>
          <w:rFonts w:ascii="仿宋" w:hAnsi="仿宋" w:eastAsia="仿宋" w:cs="仿宋"/>
          <w:b/>
        </w:rPr>
        <w:t>：</w:t>
      </w:r>
      <w:r>
        <w:rPr>
          <w:rFonts w:hint="eastAsia" w:ascii="仿宋" w:hAnsi="仿宋" w:eastAsia="仿宋" w:cs="仿宋"/>
        </w:rPr>
        <w:t>反映除上述项目以外其他用于制造业方面的支出。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三十、资源勘探工业信息等支出(类)工业和信息产业监管(款)行政运行(项)</w:t>
      </w:r>
      <w:r>
        <w:rPr>
          <w:rFonts w:ascii="仿宋" w:hAnsi="仿宋" w:eastAsia="仿宋" w:cs="仿宋"/>
          <w:b/>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三十一、资源勘探工业信息等支出(类)工业和信息产业监管(款)一般行政管理事务(项)</w:t>
      </w:r>
      <w:r>
        <w:rPr>
          <w:rFonts w:ascii="仿宋" w:hAnsi="仿宋" w:eastAsia="仿宋" w:cs="仿宋"/>
          <w:b/>
        </w:rPr>
        <w:t>：</w:t>
      </w:r>
      <w:r>
        <w:rPr>
          <w:rFonts w:hint="eastAsia" w:ascii="仿宋" w:hAnsi="仿宋" w:eastAsia="仿宋" w:cs="仿宋"/>
        </w:rPr>
        <w:t>反映行政单位（包括实行公务员管理的事业单位）未单独设置项级科目的其他项目支出。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三十二、资源勘探工业信息等支出(类)工业和信息产业监管(款)其他工业和信息产业监管支出(项)</w:t>
      </w:r>
      <w:r>
        <w:rPr>
          <w:rFonts w:ascii="仿宋" w:hAnsi="仿宋" w:eastAsia="仿宋" w:cs="仿宋"/>
          <w:b/>
        </w:rPr>
        <w:t>：</w:t>
      </w:r>
      <w:r>
        <w:rPr>
          <w:rFonts w:hint="eastAsia" w:ascii="仿宋" w:hAnsi="仿宋" w:eastAsia="仿宋" w:cs="仿宋"/>
        </w:rPr>
        <w:t>反映除上述项目以外其他用于工业和信息产业监管方面的支出。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三十三、资源勘探工业信息等支出(类)支持中小企业发展和管理支出(款)其他支持中小企业发展和管理支出(项)</w:t>
      </w:r>
      <w:r>
        <w:rPr>
          <w:rFonts w:ascii="仿宋" w:hAnsi="仿宋" w:eastAsia="仿宋" w:cs="仿宋"/>
          <w:b/>
        </w:rPr>
        <w:t>：</w:t>
      </w:r>
      <w:r>
        <w:rPr>
          <w:rFonts w:hint="eastAsia" w:ascii="仿宋" w:hAnsi="仿宋" w:eastAsia="仿宋" w:cs="仿宋"/>
        </w:rPr>
        <w:t>反映除上述项目以外其他用于支持中小企业发展和管理方面的支出。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三十四、援助其他地区支出(类)其他支出(款)其他支出(项)</w:t>
      </w:r>
      <w:r>
        <w:rPr>
          <w:rFonts w:ascii="仿宋" w:hAnsi="仿宋" w:eastAsia="仿宋" w:cs="仿宋"/>
          <w:b/>
        </w:rPr>
        <w:t>：</w:t>
      </w:r>
      <w:r>
        <w:rPr>
          <w:rFonts w:hint="eastAsia" w:ascii="仿宋" w:hAnsi="仿宋" w:eastAsia="仿宋" w:cs="仿宋"/>
        </w:rPr>
        <w:t>反映援助其他地区资金中除上述项目以外的其他支出。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三十五、住房保障支出(类)住房改革支出(款)住房公积金(项)</w:t>
      </w:r>
      <w:r>
        <w:rPr>
          <w:rFonts w:ascii="仿宋" w:hAnsi="仿宋" w:eastAsia="仿宋" w:cs="仿宋"/>
          <w:b/>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三十六、住房保障支出(类)住房改革支出(款)提租补贴(项)</w:t>
      </w:r>
      <w:r>
        <w:rPr>
          <w:rFonts w:ascii="仿宋" w:hAnsi="仿宋" w:eastAsia="仿宋" w:cs="仿宋"/>
          <w:b/>
        </w:rPr>
        <w:t>：</w:t>
      </w:r>
      <w:r>
        <w:rPr>
          <w:rFonts w:hint="eastAsia" w:ascii="仿宋" w:hAnsi="仿宋" w:eastAsia="仿宋" w:cs="仿宋"/>
        </w:rPr>
        <w:t>反映按房改政策规定的标准，行政事业单位向职工（含离退休人员）发放的租金补贴。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三十七、住房保障支出(类)住房改革支出(款)购房补贴(项)</w:t>
      </w:r>
      <w:r>
        <w:rPr>
          <w:rFonts w:ascii="仿宋" w:hAnsi="仿宋" w:eastAsia="仿宋" w:cs="仿宋"/>
          <w:b/>
        </w:rPr>
        <w:t>：</w:t>
      </w:r>
      <w:r>
        <w:rPr>
          <w:rFonts w:hint="eastAsia" w:ascii="仿宋" w:hAnsi="仿宋" w:eastAsia="仿宋" w:cs="仿宋"/>
        </w:rPr>
        <w:t>反映按房改政策规定，行政事业单位向符合条件职工（含离退休人员）、军队(含武警)向转役复员离退休人员发放的用于购买住房的补贴。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三十八、粮油物资储备支出(类)重要商品储备(款)食盐储备(项)</w:t>
      </w:r>
      <w:r>
        <w:rPr>
          <w:rFonts w:ascii="仿宋" w:hAnsi="仿宋" w:eastAsia="仿宋" w:cs="仿宋"/>
          <w:b/>
        </w:rPr>
        <w:t>：</w:t>
      </w:r>
      <w:r>
        <w:rPr>
          <w:rFonts w:hint="eastAsia" w:ascii="仿宋" w:hAnsi="仿宋" w:eastAsia="仿宋" w:cs="仿宋"/>
        </w:rPr>
        <w:t>反映食盐专项储备补贴，包括利息、费用和差价等支出。</w:t>
      </w:r>
    </w:p>
    <w:sectPr>
      <w:pgSz w:w="11906" w:h="16838"/>
      <w:pgMar w:top="1440" w:right="1080" w:bottom="1440" w:left="108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roman"/>
    <w:pitch w:val="default"/>
    <w:sig w:usb0="FFFFFFFF" w:usb1="E9FFFFFF" w:usb2="0000003F" w:usb3="00000000" w:csb0="603F01FF" w:csb1="FFFF0000"/>
  </w:font>
  <w:font w:name="Liberation Sans">
    <w:altName w:val="宋体"/>
    <w:panose1 w:val="020B0604020202020204"/>
    <w:charset w:val="86"/>
    <w:family w:val="roman"/>
    <w:pitch w:val="default"/>
    <w:sig w:usb0="00000000" w:usb1="00000000" w:usb2="00000021" w:usb3="00000000" w:csb0="600001BF" w:csb1="DFF70000"/>
  </w:font>
  <w:font w:name="Liberation Mono">
    <w:altName w:val="宋体"/>
    <w:panose1 w:val="02070409020205020404"/>
    <w:charset w:val="86"/>
    <w:family w:val="roman"/>
    <w:pitch w:val="default"/>
    <w:sig w:usb0="00000000" w:usb1="00000000" w:usb2="00000001" w:usb3="00000000" w:csb0="600001BF" w:csb1="DFF7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nQDDc8oBAACcAwAADgAAAAAAAAABACAAAAAeAQAAZHJzL2Uyb0Rv&#10;Yy54bWxQSwUGAAAAAAYABgBZAQAAWgUAAAAA&#10;">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wps:txbx>
                    <wps:bodyPr wrap="none" lIns="0" tIns="0" rIns="0" bIns="0" upright="0">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MGsLQDLAQAAnAMAAA4AAAAAAAAAAQAgAAAAHgEAAGRycy9lMm9E&#10;b2MueG1sUEsFBgAAAAAGAAYAWQEAAFsFAAAAAA==&#10;">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euFb6coBAACcAwAADgAAAAAAAAABACAAAAAeAQAAZHJzL2Uyb0Rv&#10;Yy54bWxQSwUGAAAAAAYABgBZAQAAWgU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F36fm8oBAACcAwAADgAAAAAAAAABACAAAAAeAQAAZHJzL2Uyb0Rv&#10;Yy54bWxQSwUGAAAAAAYABgBZAQAAWgU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cKPXn8oBAACcAwAADgAAAAAAAAABACAAAAAeAQAAZHJzL2Uyb0Rv&#10;Yy54bWxQSwUGAAAAAAYABgBZAQAAWgU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E/N7nMoBAACcAwAADgAAAAAAAAABACAAAAAeAQAAZHJzL2Uyb0Rv&#10;Yy54bWxQSwUGAAAAAAYABgBZAQAAWgU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2f7gKsoBAACcAwAADgAAAAAAAAABACAAAAAeAQAAZHJzL2Uyb0Rv&#10;Yy54bWxQSwUGAAAAAAYABgBZAQAAWgU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hT4IByQEAAJ0DAAAOAAAAAAAAAAEAIAAAAB4BAABkcnMvZTJvRG9j&#10;LnhtbFBLBQYAAAAABgAGAFkBAABZBQ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OtCGbfLAQAAnQMAAA4AAAAAAAAAAQAgAAAAHgEAAGRycy9lMm9E&#10;b2MueG1sUEsFBgAAAAAGAAYAWQEAAFsFA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PRSxbfLAQAAnQMAAA4AAAAAAAAAAQAgAAAAHgEAAGRycy9lMm9E&#10;b2MueG1sUEsFBgAAAAAGAAYAWQEAAFsFA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D5fXgHLAQAAnQMAAA4AAAAAAAAAAQAgAAAAHgEAAGRycy9lMm9E&#10;b2MueG1sUEsFBgAAAAAGAAYAWQEAAFsFA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MpyfbbLAQAAnQMAAA4AAAAAAAAAAQAgAAAAHgEAAGRycy9lMm9E&#10;b2MueG1sUEsFBgAAAAAGAAYAWQEAAFsFA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8"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NBmKszAEAAJ0DAAAOAAAAAAAAAAEAIAAAAB4BAABkcnMvZTJv&#10;RG9jLnhtbFBLBQYAAAAABgAGAFkBAABcBQ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常州市工业和信息化局（本级）</w:t>
    </w:r>
    <w:r>
      <w:t>2021年度单位决算公开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wNWYwNGFmYzNiMTMwMzI4MzFhMzI2ZWRjOTFjMmMifQ=="/>
  </w:docVars>
  <w:rsids>
    <w:rsidRoot w:val="00000000"/>
    <w:rsid w:val="00064984"/>
    <w:rsid w:val="00071789"/>
    <w:rsid w:val="000F12AB"/>
    <w:rsid w:val="001C31F9"/>
    <w:rsid w:val="002E63B1"/>
    <w:rsid w:val="00407CA7"/>
    <w:rsid w:val="00413AD8"/>
    <w:rsid w:val="004C0647"/>
    <w:rsid w:val="00671ED7"/>
    <w:rsid w:val="00672164"/>
    <w:rsid w:val="006732F1"/>
    <w:rsid w:val="008322BB"/>
    <w:rsid w:val="00867423"/>
    <w:rsid w:val="008B5B05"/>
    <w:rsid w:val="009965EA"/>
    <w:rsid w:val="00A6752E"/>
    <w:rsid w:val="00B92181"/>
    <w:rsid w:val="00BD7F33"/>
    <w:rsid w:val="00C15920"/>
    <w:rsid w:val="00C82582"/>
    <w:rsid w:val="00FA3233"/>
    <w:rsid w:val="010F1E77"/>
    <w:rsid w:val="01536131"/>
    <w:rsid w:val="01657C13"/>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461F7D"/>
    <w:rsid w:val="044E689B"/>
    <w:rsid w:val="0458580D"/>
    <w:rsid w:val="045E5FB7"/>
    <w:rsid w:val="049256F0"/>
    <w:rsid w:val="0495610D"/>
    <w:rsid w:val="04C730A4"/>
    <w:rsid w:val="04DA4474"/>
    <w:rsid w:val="04DF580C"/>
    <w:rsid w:val="04E946A2"/>
    <w:rsid w:val="04EA46EB"/>
    <w:rsid w:val="05185546"/>
    <w:rsid w:val="052126A9"/>
    <w:rsid w:val="05247FC3"/>
    <w:rsid w:val="05346113"/>
    <w:rsid w:val="05423E9C"/>
    <w:rsid w:val="05600A24"/>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A6451"/>
    <w:rsid w:val="064C13A1"/>
    <w:rsid w:val="06542957"/>
    <w:rsid w:val="0681129C"/>
    <w:rsid w:val="06824DC3"/>
    <w:rsid w:val="0695552F"/>
    <w:rsid w:val="069B5E85"/>
    <w:rsid w:val="06C87B62"/>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DA70C2"/>
    <w:rsid w:val="0AFD463B"/>
    <w:rsid w:val="0B05614C"/>
    <w:rsid w:val="0B134992"/>
    <w:rsid w:val="0B160131"/>
    <w:rsid w:val="0B2B4189"/>
    <w:rsid w:val="0B392278"/>
    <w:rsid w:val="0B675A6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E7568"/>
    <w:rsid w:val="0E662847"/>
    <w:rsid w:val="0E854C8B"/>
    <w:rsid w:val="0E94230E"/>
    <w:rsid w:val="0E946F22"/>
    <w:rsid w:val="0EA37FCC"/>
    <w:rsid w:val="0EE7610B"/>
    <w:rsid w:val="0EF65551"/>
    <w:rsid w:val="0EFE25F0"/>
    <w:rsid w:val="0F135152"/>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868DE"/>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5A4782"/>
    <w:rsid w:val="1D623037"/>
    <w:rsid w:val="1D660B43"/>
    <w:rsid w:val="1D672CB3"/>
    <w:rsid w:val="1D7C0925"/>
    <w:rsid w:val="1D817975"/>
    <w:rsid w:val="1D951979"/>
    <w:rsid w:val="1DAF110E"/>
    <w:rsid w:val="1DB61054"/>
    <w:rsid w:val="1DC835AB"/>
    <w:rsid w:val="1DC94431"/>
    <w:rsid w:val="1DD41F50"/>
    <w:rsid w:val="1DF7725D"/>
    <w:rsid w:val="1DFC3255"/>
    <w:rsid w:val="1DFD14A7"/>
    <w:rsid w:val="1E107489"/>
    <w:rsid w:val="1E120047"/>
    <w:rsid w:val="1E2456FC"/>
    <w:rsid w:val="1E387717"/>
    <w:rsid w:val="1E426EBA"/>
    <w:rsid w:val="1E5227F5"/>
    <w:rsid w:val="1E5B1486"/>
    <w:rsid w:val="1E6037E4"/>
    <w:rsid w:val="1E6C2CB1"/>
    <w:rsid w:val="1E86604F"/>
    <w:rsid w:val="1E8B2478"/>
    <w:rsid w:val="1EA55F87"/>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1F1463"/>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3F3B84"/>
    <w:rsid w:val="2148186B"/>
    <w:rsid w:val="21776D10"/>
    <w:rsid w:val="218F0CEB"/>
    <w:rsid w:val="21A47E8B"/>
    <w:rsid w:val="21B52099"/>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655593"/>
    <w:rsid w:val="23873CA0"/>
    <w:rsid w:val="23A668C2"/>
    <w:rsid w:val="23B5012E"/>
    <w:rsid w:val="23C6058D"/>
    <w:rsid w:val="23CC2CE3"/>
    <w:rsid w:val="23E97DD8"/>
    <w:rsid w:val="23F81D1C"/>
    <w:rsid w:val="24004EF0"/>
    <w:rsid w:val="242552B4"/>
    <w:rsid w:val="242D23BA"/>
    <w:rsid w:val="24361C71"/>
    <w:rsid w:val="245222E6"/>
    <w:rsid w:val="2455798C"/>
    <w:rsid w:val="246851A0"/>
    <w:rsid w:val="246E4FE1"/>
    <w:rsid w:val="247771B1"/>
    <w:rsid w:val="24797436"/>
    <w:rsid w:val="24893698"/>
    <w:rsid w:val="248A0DA1"/>
    <w:rsid w:val="248B0DC9"/>
    <w:rsid w:val="24AC7248"/>
    <w:rsid w:val="24B228BF"/>
    <w:rsid w:val="24DE364C"/>
    <w:rsid w:val="24EF440E"/>
    <w:rsid w:val="25007ACF"/>
    <w:rsid w:val="25076767"/>
    <w:rsid w:val="25191A92"/>
    <w:rsid w:val="25290357"/>
    <w:rsid w:val="253C3B25"/>
    <w:rsid w:val="25513E86"/>
    <w:rsid w:val="255F5B0A"/>
    <w:rsid w:val="25664EB1"/>
    <w:rsid w:val="257302A1"/>
    <w:rsid w:val="2573629D"/>
    <w:rsid w:val="257B7E43"/>
    <w:rsid w:val="25A7022D"/>
    <w:rsid w:val="25C32FD6"/>
    <w:rsid w:val="25C603D0"/>
    <w:rsid w:val="25E1520A"/>
    <w:rsid w:val="25E2513A"/>
    <w:rsid w:val="25F45922"/>
    <w:rsid w:val="25FD2F48"/>
    <w:rsid w:val="261E645E"/>
    <w:rsid w:val="262E21CA"/>
    <w:rsid w:val="26713F63"/>
    <w:rsid w:val="26753166"/>
    <w:rsid w:val="267B561B"/>
    <w:rsid w:val="267C5A99"/>
    <w:rsid w:val="2682148D"/>
    <w:rsid w:val="268D22B5"/>
    <w:rsid w:val="269240CC"/>
    <w:rsid w:val="269A47B4"/>
    <w:rsid w:val="269E759F"/>
    <w:rsid w:val="26A526DC"/>
    <w:rsid w:val="26A5448A"/>
    <w:rsid w:val="26BF5BA2"/>
    <w:rsid w:val="26CB1A16"/>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81A59"/>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1B36C2"/>
    <w:rsid w:val="2B3C1AAA"/>
    <w:rsid w:val="2B77216D"/>
    <w:rsid w:val="2B7A42C1"/>
    <w:rsid w:val="2B82668D"/>
    <w:rsid w:val="2B8C19B3"/>
    <w:rsid w:val="2B9A7EB4"/>
    <w:rsid w:val="2BB8407D"/>
    <w:rsid w:val="2BBE24DE"/>
    <w:rsid w:val="2BBF0C02"/>
    <w:rsid w:val="2BDD28EB"/>
    <w:rsid w:val="2BE5357A"/>
    <w:rsid w:val="2BEC66B7"/>
    <w:rsid w:val="2BF43094"/>
    <w:rsid w:val="2BF909AA"/>
    <w:rsid w:val="2BFC0D12"/>
    <w:rsid w:val="2C016606"/>
    <w:rsid w:val="2C0757B7"/>
    <w:rsid w:val="2C153E60"/>
    <w:rsid w:val="2C1E422F"/>
    <w:rsid w:val="2C3818FC"/>
    <w:rsid w:val="2C5950A4"/>
    <w:rsid w:val="2C660130"/>
    <w:rsid w:val="2C73502A"/>
    <w:rsid w:val="2CB9711D"/>
    <w:rsid w:val="2CEA52EC"/>
    <w:rsid w:val="2CF3363A"/>
    <w:rsid w:val="2D000C25"/>
    <w:rsid w:val="2D0F4DB4"/>
    <w:rsid w:val="2D2D36A5"/>
    <w:rsid w:val="2D365B16"/>
    <w:rsid w:val="2D4B38B1"/>
    <w:rsid w:val="2D5646DC"/>
    <w:rsid w:val="2D584691"/>
    <w:rsid w:val="2D6D2070"/>
    <w:rsid w:val="2D9D0838"/>
    <w:rsid w:val="2D9E1C33"/>
    <w:rsid w:val="2DB652A4"/>
    <w:rsid w:val="2DB943B8"/>
    <w:rsid w:val="2DBB2419"/>
    <w:rsid w:val="2DBF7001"/>
    <w:rsid w:val="2DC26166"/>
    <w:rsid w:val="2DD13DB6"/>
    <w:rsid w:val="2DD903A8"/>
    <w:rsid w:val="2DEA2F76"/>
    <w:rsid w:val="2DF041FF"/>
    <w:rsid w:val="2DF76E1B"/>
    <w:rsid w:val="2DFD2DFD"/>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7BE"/>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A0575D"/>
    <w:rsid w:val="38A14437"/>
    <w:rsid w:val="38AC16A8"/>
    <w:rsid w:val="38B577A9"/>
    <w:rsid w:val="38B74C05"/>
    <w:rsid w:val="38CC421D"/>
    <w:rsid w:val="38D16635"/>
    <w:rsid w:val="38D373E7"/>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814A4"/>
    <w:rsid w:val="3C3D7460"/>
    <w:rsid w:val="3C616C4D"/>
    <w:rsid w:val="3C6248AD"/>
    <w:rsid w:val="3C820BF8"/>
    <w:rsid w:val="3C9A772E"/>
    <w:rsid w:val="3CB974FB"/>
    <w:rsid w:val="3CD16A6C"/>
    <w:rsid w:val="3CFF2A56"/>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ED50AE"/>
    <w:rsid w:val="45FD0891"/>
    <w:rsid w:val="46185D52"/>
    <w:rsid w:val="46192347"/>
    <w:rsid w:val="46252A99"/>
    <w:rsid w:val="462C285E"/>
    <w:rsid w:val="4639249F"/>
    <w:rsid w:val="463A0304"/>
    <w:rsid w:val="464A4975"/>
    <w:rsid w:val="465670F7"/>
    <w:rsid w:val="4665558C"/>
    <w:rsid w:val="467C2D95"/>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8B2726"/>
    <w:rsid w:val="4F8B4457"/>
    <w:rsid w:val="4FA41146"/>
    <w:rsid w:val="4FA90297"/>
    <w:rsid w:val="4FD80B7D"/>
    <w:rsid w:val="4FDA01F8"/>
    <w:rsid w:val="4FE561E5"/>
    <w:rsid w:val="4FF221C3"/>
    <w:rsid w:val="4FF5172F"/>
    <w:rsid w:val="4FFA0634"/>
    <w:rsid w:val="500032A2"/>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1024103"/>
    <w:rsid w:val="51025571"/>
    <w:rsid w:val="51071719"/>
    <w:rsid w:val="510819A0"/>
    <w:rsid w:val="51200E5F"/>
    <w:rsid w:val="5123009E"/>
    <w:rsid w:val="512C2CA7"/>
    <w:rsid w:val="512D289E"/>
    <w:rsid w:val="514152FB"/>
    <w:rsid w:val="51434ED1"/>
    <w:rsid w:val="514D0397"/>
    <w:rsid w:val="51595CED"/>
    <w:rsid w:val="516445A0"/>
    <w:rsid w:val="518956A9"/>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8686F"/>
    <w:rsid w:val="59B86AAB"/>
    <w:rsid w:val="59BF5B8E"/>
    <w:rsid w:val="59D027D3"/>
    <w:rsid w:val="59DE0C7A"/>
    <w:rsid w:val="59F04D56"/>
    <w:rsid w:val="59FD5DAF"/>
    <w:rsid w:val="5A125C89"/>
    <w:rsid w:val="5A417D7A"/>
    <w:rsid w:val="5A4C2893"/>
    <w:rsid w:val="5A4F7A61"/>
    <w:rsid w:val="5A6279C1"/>
    <w:rsid w:val="5A690D4F"/>
    <w:rsid w:val="5A852ECF"/>
    <w:rsid w:val="5A9C1659"/>
    <w:rsid w:val="5AA026B8"/>
    <w:rsid w:val="5AA116D7"/>
    <w:rsid w:val="5AAC7C87"/>
    <w:rsid w:val="5ADA1FF9"/>
    <w:rsid w:val="5AE821DA"/>
    <w:rsid w:val="5AED557F"/>
    <w:rsid w:val="5AF20641"/>
    <w:rsid w:val="5AFD1904"/>
    <w:rsid w:val="5B1552F3"/>
    <w:rsid w:val="5B2B4256"/>
    <w:rsid w:val="5B2C0607"/>
    <w:rsid w:val="5B3034F1"/>
    <w:rsid w:val="5B424CC5"/>
    <w:rsid w:val="5B4672E2"/>
    <w:rsid w:val="5B57504B"/>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D1281"/>
    <w:rsid w:val="63921C8F"/>
    <w:rsid w:val="63974B7F"/>
    <w:rsid w:val="639F7B81"/>
    <w:rsid w:val="63A252D2"/>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29477F"/>
    <w:rsid w:val="682F4FA9"/>
    <w:rsid w:val="68310698"/>
    <w:rsid w:val="68323C50"/>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423186"/>
    <w:rsid w:val="69432BE1"/>
    <w:rsid w:val="694D728A"/>
    <w:rsid w:val="69594684"/>
    <w:rsid w:val="6988057F"/>
    <w:rsid w:val="699906A2"/>
    <w:rsid w:val="69A973BA"/>
    <w:rsid w:val="69AC12C2"/>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456F6D"/>
    <w:rsid w:val="7A5F16CA"/>
    <w:rsid w:val="7A710D8E"/>
    <w:rsid w:val="7AAA2F92"/>
    <w:rsid w:val="7AB1300F"/>
    <w:rsid w:val="7AB64E52"/>
    <w:rsid w:val="7ADA0EA4"/>
    <w:rsid w:val="7AE75FBC"/>
    <w:rsid w:val="7AFC56D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A73F44"/>
    <w:rsid w:val="7FAD2052"/>
    <w:rsid w:val="7FB0411E"/>
    <w:rsid w:val="7FCA5021"/>
    <w:rsid w:val="7FEA3B6F"/>
    <w:rsid w:val="7FEE5147"/>
    <w:rsid w:val="7FF32CE5"/>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image" Target="media/image1.png"/><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65</Pages>
  <Words>25481</Words>
  <Characters>30695</Characters>
  <Paragraphs>501</Paragraphs>
  <TotalTime>0</TotalTime>
  <ScaleCrop>false</ScaleCrop>
  <LinksUpToDate>false</LinksUpToDate>
  <CharactersWithSpaces>31563</CharactersWithSpaces>
  <Application>WPS Office_11.1.0.11830_F1E327BC-269C-435d-A152-05C5408002CA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2021-04-16T03:22:00Z</dcterms:created>
  <dc:creator>陈长军(本处室套红)</dc:creator>
  <cp:lastModifiedBy>Administrator</cp:lastModifiedBy>
  <dcterms:modified xsi:type="dcterms:W3CDTF">2022-08-01T09:02:52Z</dcterms:modified>
  <dc:title>部门决算公开</dc:title>
  <cp:revision>175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641D9E42C8894BB69E1811821768F1F8</vt:lpwstr>
  </property>
  <property fmtid="{D5CDD505-2E9C-101B-9397-08002B2CF9AE}" pid="5" name="KSOProductBuildVer">
    <vt:lpwstr>2052-11.1.0.11830</vt:lpwstr>
  </property>
  <property fmtid="{D5CDD505-2E9C-101B-9397-08002B2CF9AE}" pid="6" name="LastSaved">
    <vt:filetime>2021-04-15T00:00:00Z</vt:filetime>
  </property>
</Properties>
</file>