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40" w:lineRule="exact"/>
        <w:jc w:val="left"/>
        <w:rPr>
          <w:rFonts w:eastAsia="黑体"/>
          <w:color w:val="000000"/>
          <w:sz w:val="32"/>
          <w:szCs w:val="32"/>
        </w:rPr>
      </w:pPr>
      <w:bookmarkStart w:id="0" w:name="_GoBack"/>
      <w:bookmarkEnd w:id="0"/>
      <w:r>
        <w:rPr>
          <w:rFonts w:eastAsia="黑体"/>
          <w:color w:val="000000"/>
          <w:sz w:val="32"/>
          <w:szCs w:val="32"/>
        </w:rPr>
        <w:t>附件</w:t>
      </w:r>
    </w:p>
    <w:p>
      <w:pPr>
        <w:adjustRightInd w:val="0"/>
        <w:snapToGrid w:val="0"/>
        <w:spacing w:line="288" w:lineRule="auto"/>
        <w:jc w:val="center"/>
        <w:rPr>
          <w:rFonts w:eastAsia="方正小标宋简体"/>
          <w:color w:val="FF0000"/>
          <w:w w:val="90"/>
          <w:sz w:val="76"/>
          <w:szCs w:val="76"/>
        </w:rPr>
      </w:pPr>
      <w:r>
        <w:rPr>
          <w:rFonts w:eastAsia="方正小标宋简体"/>
          <w:color w:val="FF0000"/>
          <w:w w:val="90"/>
          <w:sz w:val="76"/>
          <w:szCs w:val="76"/>
        </w:rPr>
        <w:t>常州市公安局交通警察支队</w:t>
      </w:r>
    </w:p>
    <w:p>
      <w:pPr>
        <w:spacing w:line="560" w:lineRule="exact"/>
      </w:pPr>
      <w:r>
        <mc:AlternateContent>
          <mc:Choice Requires="wps">
            <w:drawing>
              <wp:anchor distT="0" distB="0" distL="114300" distR="114300" simplePos="0" relativeHeight="251659264" behindDoc="0" locked="0" layoutInCell="1" allowOverlap="1">
                <wp:simplePos x="0" y="0"/>
                <wp:positionH relativeFrom="column">
                  <wp:posOffset>-104775</wp:posOffset>
                </wp:positionH>
                <wp:positionV relativeFrom="paragraph">
                  <wp:posOffset>12700</wp:posOffset>
                </wp:positionV>
                <wp:extent cx="5544185" cy="0"/>
                <wp:effectExtent l="0" t="28575" r="18415" b="28575"/>
                <wp:wrapNone/>
                <wp:docPr id="1" name="Line 2"/>
                <wp:cNvGraphicFramePr/>
                <a:graphic xmlns:a="http://schemas.openxmlformats.org/drawingml/2006/main">
                  <a:graphicData uri="http://schemas.microsoft.com/office/word/2010/wordprocessingShape">
                    <wps:wsp>
                      <wps:cNvSpPr/>
                      <wps:spPr>
                        <a:xfrm>
                          <a:off x="0" y="0"/>
                          <a:ext cx="5544185" cy="0"/>
                        </a:xfrm>
                        <a:prstGeom prst="line">
                          <a:avLst/>
                        </a:prstGeom>
                        <a:ln w="57150" cap="flat" cmpd="thickThin">
                          <a:solidFill>
                            <a:srgbClr val="FF0000"/>
                          </a:solidFill>
                          <a:prstDash val="solid"/>
                          <a:headEnd type="none" w="med" len="med"/>
                          <a:tailEnd type="none" w="med" len="med"/>
                        </a:ln>
                      </wps:spPr>
                      <wps:bodyPr upright="1"/>
                    </wps:wsp>
                  </a:graphicData>
                </a:graphic>
              </wp:anchor>
            </w:drawing>
          </mc:Choice>
          <mc:Fallback>
            <w:pict>
              <v:line id="Line 2" o:spid="_x0000_s1026" o:spt="20" style="position:absolute;left:0pt;margin-left:-8.25pt;margin-top:1pt;height:0pt;width:436.55pt;z-index:251659264;mso-width-relative:page;mso-height-relative:page;" filled="f" stroked="t" coordsize="21600,21600" o:gfxdata="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ATnHS7SAAAABwEAAA8AAAAA&#10;AAAAAQAgAAAAIgAAAGRycy9kb3ducmV2LnhtbFBLAQIUABQAAAAIAIdO4kCGKjVX4QEAAOADAAAO&#10;AAAAAAAAAAEAIAAAACEBAABkcnMvZTJvRG9jLnhtbFBLBQYAAAAABgAGAFkBAAB0BQAAAAA=&#10;">
                <v:fill on="f" focussize="0,0"/>
                <v:stroke weight="4.5pt" color="#FF0000" linestyle="thickThin" joinstyle="round"/>
                <v:imagedata o:title=""/>
                <o:lock v:ext="edit" aspectratio="f"/>
              </v:line>
            </w:pict>
          </mc:Fallback>
        </mc:AlternateContent>
      </w:r>
    </w:p>
    <w:p>
      <w:pPr>
        <w:spacing w:line="560" w:lineRule="exact"/>
        <w:jc w:val="center"/>
        <w:rPr>
          <w:rFonts w:ascii="方正小标宋简体" w:eastAsia="方正小标宋简体"/>
          <w:b/>
          <w:sz w:val="44"/>
          <w:szCs w:val="44"/>
        </w:rPr>
      </w:pPr>
      <w:r>
        <w:rPr>
          <w:rFonts w:hint="eastAsia" w:ascii="方正小标宋简体" w:eastAsia="方正小标宋简体"/>
          <w:b/>
          <w:sz w:val="44"/>
          <w:szCs w:val="44"/>
        </w:rPr>
        <w:t>关于逾期不接受处理的机动车交通违法行为拟作出行政处罚的告知公告</w:t>
      </w:r>
    </w:p>
    <w:p>
      <w:pPr>
        <w:spacing w:line="560" w:lineRule="exact"/>
        <w:jc w:val="left"/>
        <w:rPr>
          <w:rFonts w:ascii="Times New Roman" w:hAnsi="Times New Roman" w:eastAsia="仿宋_GB2312"/>
          <w:snapToGrid w:val="0"/>
          <w:sz w:val="28"/>
          <w:szCs w:val="28"/>
        </w:rPr>
      </w:pPr>
      <w:r>
        <w:rPr>
          <w:rFonts w:hint="eastAsia" w:ascii="Times New Roman" w:hAnsi="Times New Roman" w:eastAsia="仿宋_GB2312"/>
          <w:snapToGrid w:val="0"/>
          <w:kern w:val="0"/>
          <w:sz w:val="28"/>
          <w:szCs w:val="28"/>
        </w:rPr>
        <w:t>郭东升</w:t>
      </w:r>
      <w:r>
        <w:rPr>
          <w:rFonts w:hint="eastAsia" w:ascii="Times New Roman" w:hAnsi="Times New Roman" w:eastAsia="仿宋_GB2312"/>
          <w:snapToGrid w:val="0"/>
          <w:sz w:val="28"/>
          <w:szCs w:val="28"/>
        </w:rPr>
        <w:t>：</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所有的号牌号码为苏D3NW38已有15处理道路交通安全违法行为。本大队于2022年7月22作出的编号为320401600000101《机动车未处理道路交通安全违法行为告知书》进行网络送达。在三十日内未申请延期处理、未接受处理，现依照《道路交通安全违法行为处理程序规定》第五十四条之规定，将拟作出的行政处罚决定的事实、理由、依据公告如下：</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一、</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15</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46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G15沈海往福建方向1444KM900M</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驾驶时拨打接听手持电话的</w:t>
      </w:r>
      <w:r>
        <w:rPr>
          <w:rFonts w:hint="eastAsia" w:ascii="Times New Roman" w:hAnsi="Times New Roman" w:eastAsia="仿宋_GB2312"/>
          <w:snapToGrid w:val="0"/>
          <w:sz w:val="28"/>
          <w:szCs w:val="28"/>
        </w:rPr>
        <w:t>违法行为（代码1223），违反了《中华人民共和国道路交通安全法实施条例》第六十二条第三项的规定，依据《中华人民共和国道路交通安全法》第一百一十四条、《浙江省实施&lt;中华人民共和国道路交通安全法&gt;办法》第七十四条第一款第九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color w:val="FF0000"/>
          <w:sz w:val="28"/>
          <w:szCs w:val="28"/>
        </w:rPr>
      </w:pPr>
      <w:r>
        <w:rPr>
          <w:rFonts w:hint="eastAsia" w:ascii="仿宋_GB2312" w:hAnsi="Times New Roman" w:eastAsia="仿宋_GB2312"/>
          <w:snapToGrid w:val="0"/>
          <w:sz w:val="28"/>
          <w:szCs w:val="28"/>
        </w:rPr>
        <w:t>二、</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22</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37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巢湖路（通江路至嵩山路）段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三、</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03</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52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hAnsi="Times New Roman" w:eastAsia="仿宋_GB2312"/>
          <w:snapToGrid w:val="0"/>
          <w:sz w:val="28"/>
          <w:szCs w:val="28"/>
          <w:u w:val="single"/>
        </w:rPr>
        <w:t>常武路长虹路段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驾驶时拨打接听手持电话的</w:t>
      </w:r>
      <w:r>
        <w:rPr>
          <w:rFonts w:hint="eastAsia" w:ascii="Times New Roman" w:hAnsi="Times New Roman" w:eastAsia="仿宋_GB2312"/>
          <w:snapToGrid w:val="0"/>
          <w:sz w:val="28"/>
          <w:szCs w:val="28"/>
        </w:rPr>
        <w:t>违法行为（代码1223），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四、</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08</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05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巨龙路同科西门</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五、</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10</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06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hAnsi="Times New Roman" w:eastAsia="仿宋_GB2312"/>
          <w:snapToGrid w:val="0"/>
          <w:sz w:val="28"/>
          <w:szCs w:val="28"/>
          <w:u w:val="single"/>
        </w:rPr>
        <w:t>武宜路武进大桥段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驾驶时拨打接听手持电话的</w:t>
      </w:r>
      <w:r>
        <w:rPr>
          <w:rFonts w:hint="eastAsia" w:ascii="Times New Roman" w:hAnsi="Times New Roman" w:eastAsia="仿宋_GB2312"/>
          <w:snapToGrid w:val="0"/>
          <w:sz w:val="28"/>
          <w:szCs w:val="28"/>
        </w:rPr>
        <w:t>违法行为（代码1223），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六、</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15</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36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林庄路林庄路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七、</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18</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47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盛兴路58号周边</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w:t>
      </w:r>
      <w:r>
        <w:rPr>
          <w:rFonts w:hint="eastAsia" w:ascii="Times New Roman" w:hAnsi="Times New Roman" w:eastAsia="仿宋_GB2312"/>
          <w:snapToGrid w:val="0"/>
          <w:sz w:val="28"/>
          <w:szCs w:val="28"/>
          <w:u w:val="single"/>
        </w:rPr>
        <w:t>不按</w:t>
      </w:r>
      <w:r>
        <w:rPr>
          <w:rFonts w:ascii="Times New Roman" w:hAnsi="Times New Roman" w:eastAsia="仿宋_GB2312"/>
          <w:snapToGrid w:val="0"/>
          <w:sz w:val="28"/>
          <w:szCs w:val="28"/>
          <w:u w:val="single"/>
        </w:rPr>
        <w:t>规定临时停车</w:t>
      </w:r>
      <w:r>
        <w:rPr>
          <w:rFonts w:hint="eastAsia" w:ascii="Times New Roman" w:hAnsi="Times New Roman" w:eastAsia="仿宋_GB2312"/>
          <w:snapToGrid w:val="0"/>
          <w:sz w:val="28"/>
          <w:szCs w:val="28"/>
          <w:u w:val="single"/>
        </w:rPr>
        <w:t>影响</w:t>
      </w:r>
      <w:r>
        <w:rPr>
          <w:rFonts w:ascii="Times New Roman" w:hAnsi="Times New Roman" w:eastAsia="仿宋_GB2312"/>
          <w:snapToGrid w:val="0"/>
          <w:sz w:val="28"/>
          <w:szCs w:val="28"/>
          <w:u w:val="single"/>
        </w:rPr>
        <w:t>其他车辆、行人通行的</w:t>
      </w:r>
      <w:r>
        <w:rPr>
          <w:rFonts w:hint="eastAsia" w:ascii="Times New Roman" w:hAnsi="Times New Roman" w:eastAsia="仿宋_GB2312"/>
          <w:snapToGrid w:val="0"/>
          <w:sz w:val="28"/>
          <w:szCs w:val="28"/>
        </w:rPr>
        <w:t>违法行为（代码10391），违反了《中华人民共和国道路交通安全法》第五十六条第二款、《中华人民共和国道路交通安全法实施条例》第六十三条的规定，依据《中华人民共和国道路交通安全法》第一百一十四条、《浙江省实施&lt;中华人民共和国道路交通安全法&gt;办法》第七十四条第一款第六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24</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40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北大街玉隆路路口</w:t>
      </w:r>
      <w:r>
        <w:rPr>
          <w:rFonts w:hint="eastAsia" w:ascii="仿宋_GB2312" w:eastAsia="仿宋_GB2312"/>
          <w:sz w:val="28"/>
          <w:szCs w:val="28"/>
        </w:rPr>
        <w:t>有</w:t>
      </w:r>
      <w:r>
        <w:rPr>
          <w:rFonts w:hint="eastAsia" w:ascii="仿宋_GB2312" w:eastAsia="仿宋_GB2312"/>
          <w:sz w:val="28"/>
          <w:szCs w:val="28"/>
          <w:u w:val="single"/>
        </w:rPr>
        <w:t>遇行人正在通过人行横道时未停车让行的</w:t>
      </w:r>
      <w:r>
        <w:rPr>
          <w:rFonts w:hint="eastAsia" w:ascii="Times New Roman" w:hAnsi="Times New Roman" w:eastAsia="仿宋_GB2312"/>
          <w:snapToGrid w:val="0"/>
          <w:sz w:val="28"/>
          <w:szCs w:val="28"/>
        </w:rPr>
        <w:t>违法行为（代码1357），违反了《中华人民共和国道路交通安全法》第四十七条第一款的规定，依据《中华人民共和国道路交通安全法》第九十条、《江苏省道路交通安全条例》第五十六条第一项，应当处以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九、</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31</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38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阜溧高速149公里900米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在高速公路上骑、轧车行道分界线的</w:t>
      </w:r>
      <w:r>
        <w:rPr>
          <w:rFonts w:hint="eastAsia" w:ascii="Times New Roman" w:hAnsi="Times New Roman" w:eastAsia="仿宋_GB2312"/>
          <w:snapToGrid w:val="0"/>
          <w:sz w:val="28"/>
          <w:szCs w:val="28"/>
        </w:rPr>
        <w:t>违法行为（代码4010），违反了《中华人民共和国道路交通安全法实施条例》第八十二条第三项的规定，依据《中华人民共和国道路交通安全法》第九十条、《江苏省道路交通安全条例》第五十九条第十一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十、</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31</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43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hAnsi="Times New Roman" w:eastAsia="仿宋_GB2312"/>
          <w:snapToGrid w:val="0"/>
          <w:sz w:val="28"/>
          <w:szCs w:val="28"/>
          <w:u w:val="single"/>
        </w:rPr>
        <w:t>淮北火车站落客平台路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十一、</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16</w:t>
      </w:r>
      <w:r>
        <w:rPr>
          <w:rFonts w:hint="eastAsia" w:ascii="仿宋_GB2312" w:eastAsia="仿宋_GB2312"/>
          <w:color w:val="000000"/>
          <w:sz w:val="28"/>
          <w:szCs w:val="28"/>
        </w:rPr>
        <w:t>日</w:t>
      </w:r>
      <w:r>
        <w:rPr>
          <w:rFonts w:hint="eastAsia" w:ascii="仿宋_GB2312" w:eastAsia="仿宋_GB2312"/>
          <w:color w:val="000000"/>
          <w:sz w:val="28"/>
          <w:szCs w:val="28"/>
          <w:u w:val="single"/>
        </w:rPr>
        <w:t>18</w:t>
      </w:r>
      <w:r>
        <w:rPr>
          <w:rFonts w:hint="eastAsia" w:ascii="仿宋_GB2312" w:eastAsia="仿宋_GB2312"/>
          <w:color w:val="000000"/>
          <w:sz w:val="28"/>
          <w:szCs w:val="28"/>
        </w:rPr>
        <w:t>时</w:t>
      </w:r>
      <w:r>
        <w:rPr>
          <w:rFonts w:hint="eastAsia" w:ascii="仿宋_GB2312" w:eastAsia="仿宋_GB2312"/>
          <w:color w:val="000000"/>
          <w:sz w:val="28"/>
          <w:szCs w:val="28"/>
          <w:u w:val="single"/>
        </w:rPr>
        <w:t>51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巢湖路（嵩山路至泰山路）段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十二、</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24</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56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武宜路（天宁区界-运河北路）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十三、</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28</w:t>
      </w:r>
      <w:r>
        <w:rPr>
          <w:rFonts w:hint="eastAsia" w:ascii="仿宋_GB2312" w:eastAsia="仿宋_GB2312"/>
          <w:color w:val="000000"/>
          <w:sz w:val="28"/>
          <w:szCs w:val="28"/>
        </w:rPr>
        <w:t>日</w:t>
      </w:r>
      <w:r>
        <w:rPr>
          <w:rFonts w:hint="eastAsia" w:ascii="仿宋_GB2312" w:eastAsia="仿宋_GB2312"/>
          <w:color w:val="000000"/>
          <w:sz w:val="28"/>
          <w:szCs w:val="28"/>
          <w:u w:val="single"/>
        </w:rPr>
        <w:t>20</w:t>
      </w:r>
      <w:r>
        <w:rPr>
          <w:rFonts w:hint="eastAsia" w:ascii="仿宋_GB2312" w:eastAsia="仿宋_GB2312"/>
          <w:color w:val="000000"/>
          <w:sz w:val="28"/>
          <w:szCs w:val="28"/>
        </w:rPr>
        <w:t>时</w:t>
      </w:r>
      <w:r>
        <w:rPr>
          <w:rFonts w:hint="eastAsia" w:ascii="仿宋_GB2312" w:eastAsia="仿宋_GB2312"/>
          <w:color w:val="000000"/>
          <w:sz w:val="28"/>
          <w:szCs w:val="28"/>
          <w:u w:val="single"/>
        </w:rPr>
        <w:t>42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昆仑路（龙城大道至飞龙西路）段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十四、</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20</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24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人民路金龙大酒店段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遇前方机动车停车排队等候时，在网状线区域内停车等候的</w:t>
      </w:r>
      <w:r>
        <w:rPr>
          <w:rFonts w:hint="eastAsia" w:ascii="Times New Roman" w:hAnsi="Times New Roman" w:eastAsia="仿宋_GB2312"/>
          <w:snapToGrid w:val="0"/>
          <w:sz w:val="28"/>
          <w:szCs w:val="28"/>
        </w:rPr>
        <w:t>违法行为（代码10252），违反了《中华人民共和国道路交通安全法实施条例》第五十三条第二款的规定，依据《中华人民共和国道路交通安全法》第一百一十四条、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仿宋_GB2312" w:hAnsi="Times New Roman" w:eastAsia="仿宋_GB2312"/>
          <w:snapToGrid w:val="0"/>
          <w:sz w:val="28"/>
          <w:szCs w:val="28"/>
        </w:rPr>
      </w:pPr>
      <w:r>
        <w:rPr>
          <w:rFonts w:hint="eastAsia" w:ascii="Times New Roman" w:hAnsi="Times New Roman" w:eastAsia="仿宋_GB2312"/>
          <w:snapToGrid w:val="0"/>
          <w:sz w:val="28"/>
          <w:szCs w:val="28"/>
        </w:rPr>
        <w:t>十五、</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22</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57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科二路衡山路路口</w:t>
      </w:r>
      <w:r>
        <w:rPr>
          <w:rFonts w:hint="eastAsia" w:ascii="仿宋_GB2312" w:eastAsia="仿宋_GB2312"/>
          <w:sz w:val="28"/>
          <w:szCs w:val="28"/>
        </w:rPr>
        <w:t>有</w:t>
      </w:r>
      <w:r>
        <w:rPr>
          <w:rFonts w:hint="eastAsia" w:ascii="仿宋_GB2312" w:eastAsia="仿宋_GB2312"/>
          <w:sz w:val="28"/>
          <w:szCs w:val="28"/>
          <w:u w:val="single"/>
        </w:rPr>
        <w:t>遇行人正在通过人行横道时未停车让行的</w:t>
      </w:r>
      <w:r>
        <w:rPr>
          <w:rFonts w:hint="eastAsia" w:ascii="Times New Roman" w:hAnsi="Times New Roman" w:eastAsia="仿宋_GB2312"/>
          <w:snapToGrid w:val="0"/>
          <w:sz w:val="28"/>
          <w:szCs w:val="28"/>
        </w:rPr>
        <w:t>违法行为（代码1357），违反了《中华人民共和国道路交通安全法》第四十七条第一款的规定，依据《中华人民共和国道路交通安全法》第九十条、《江苏省道路交通安全条例》第五十六条第一项，应当处以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根据《道路交通安全违法行为处理程序规定》第五十四条之规定，你有权自本公告公示7日内向本大队提出陈述申辩意见，如未提出陈述申辩意见的，公告期满后本大队将依法作出行政处罚决定，并制作行政处罚决定书。</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公安机关交通管理部门地址：常州市公安局交通警察支队车辆管理所（江苏省常州市天宁区中吴大道1519号）</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0519-86643679</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特此公告</w:t>
      </w:r>
    </w:p>
    <w:p>
      <w:pPr>
        <w:spacing w:line="560" w:lineRule="exact"/>
        <w:ind w:firstLine="560" w:firstLineChars="200"/>
        <w:jc w:val="left"/>
        <w:rPr>
          <w:rFonts w:ascii="Times New Roman" w:hAnsi="Times New Roman" w:eastAsia="仿宋_GB2312"/>
          <w:snapToGrid w:val="0"/>
          <w:sz w:val="28"/>
          <w:szCs w:val="28"/>
        </w:rPr>
      </w:pPr>
    </w:p>
    <w:p>
      <w:pPr>
        <w:spacing w:line="560" w:lineRule="exact"/>
        <w:ind w:firstLine="560" w:firstLineChars="200"/>
        <w:jc w:val="left"/>
        <w:rPr>
          <w:rFonts w:ascii="Times New Roman" w:hAnsi="Times New Roman" w:eastAsia="仿宋_GB2312"/>
          <w:snapToGrid w:val="0"/>
          <w:sz w:val="28"/>
          <w:szCs w:val="28"/>
        </w:rPr>
      </w:pPr>
    </w:p>
    <w:p>
      <w:pPr>
        <w:adjustRightInd w:val="0"/>
        <w:spacing w:line="560" w:lineRule="exact"/>
        <w:jc w:val="righ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常州市公安局交通警察支队机动（侦查）大队</w:t>
      </w:r>
    </w:p>
    <w:p>
      <w:pPr>
        <w:spacing w:line="560" w:lineRule="exact"/>
        <w:ind w:right="560" w:firstLine="4060" w:firstLineChars="14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2022年</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8月23日</w:t>
      </w:r>
    </w:p>
    <w:p>
      <w:pPr>
        <w:jc w:val="center"/>
        <w:rPr>
          <w:szCs w:val="28"/>
        </w:rPr>
      </w:pPr>
    </w:p>
    <w:p>
      <w:pPr>
        <w:jc w:val="center"/>
        <w:rPr>
          <w:szCs w:val="28"/>
        </w:rPr>
      </w:pPr>
    </w:p>
    <w:p>
      <w:pPr>
        <w:jc w:val="center"/>
        <w:rPr>
          <w:szCs w:val="28"/>
        </w:rPr>
      </w:pPr>
    </w:p>
    <w:p>
      <w:pPr>
        <w:jc w:val="center"/>
        <w:rPr>
          <w:szCs w:val="28"/>
        </w:rPr>
      </w:pPr>
    </w:p>
    <w:p>
      <w:pPr>
        <w:rPr>
          <w:szCs w:val="28"/>
        </w:rPr>
      </w:pP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kMWQzMzYxYzFiYzk5NDMwZjgyNDU3ZDdiM2NhNDYifQ=="/>
  </w:docVars>
  <w:rsids>
    <w:rsidRoot w:val="00D97A71"/>
    <w:rsid w:val="00091668"/>
    <w:rsid w:val="00094B26"/>
    <w:rsid w:val="000A6102"/>
    <w:rsid w:val="000A772B"/>
    <w:rsid w:val="000B7B19"/>
    <w:rsid w:val="000D253A"/>
    <w:rsid w:val="001120C2"/>
    <w:rsid w:val="001222DB"/>
    <w:rsid w:val="00142808"/>
    <w:rsid w:val="00162D8A"/>
    <w:rsid w:val="0016675F"/>
    <w:rsid w:val="00170848"/>
    <w:rsid w:val="00177198"/>
    <w:rsid w:val="001A7A3F"/>
    <w:rsid w:val="002912FF"/>
    <w:rsid w:val="002913E0"/>
    <w:rsid w:val="002B00AE"/>
    <w:rsid w:val="002E6B31"/>
    <w:rsid w:val="003066FB"/>
    <w:rsid w:val="00310548"/>
    <w:rsid w:val="00343251"/>
    <w:rsid w:val="00357D58"/>
    <w:rsid w:val="00392B2F"/>
    <w:rsid w:val="003A3B41"/>
    <w:rsid w:val="003B292A"/>
    <w:rsid w:val="003B3866"/>
    <w:rsid w:val="003E4C06"/>
    <w:rsid w:val="003E7FE6"/>
    <w:rsid w:val="004238DA"/>
    <w:rsid w:val="0044132D"/>
    <w:rsid w:val="00450CD8"/>
    <w:rsid w:val="00475D80"/>
    <w:rsid w:val="004A01C0"/>
    <w:rsid w:val="004D034A"/>
    <w:rsid w:val="004F7819"/>
    <w:rsid w:val="00536CE8"/>
    <w:rsid w:val="00562888"/>
    <w:rsid w:val="00575B41"/>
    <w:rsid w:val="00584AA4"/>
    <w:rsid w:val="00587C5D"/>
    <w:rsid w:val="0059197A"/>
    <w:rsid w:val="005B44AF"/>
    <w:rsid w:val="005E0C92"/>
    <w:rsid w:val="006216AA"/>
    <w:rsid w:val="00654F8C"/>
    <w:rsid w:val="0066141D"/>
    <w:rsid w:val="00673EC4"/>
    <w:rsid w:val="00696B37"/>
    <w:rsid w:val="006B666F"/>
    <w:rsid w:val="006C233E"/>
    <w:rsid w:val="006D19C0"/>
    <w:rsid w:val="006D4CCE"/>
    <w:rsid w:val="006E32D0"/>
    <w:rsid w:val="006F5367"/>
    <w:rsid w:val="006F70FF"/>
    <w:rsid w:val="00702CFB"/>
    <w:rsid w:val="00706D86"/>
    <w:rsid w:val="007078E6"/>
    <w:rsid w:val="00720D30"/>
    <w:rsid w:val="00724972"/>
    <w:rsid w:val="00755C23"/>
    <w:rsid w:val="007674DF"/>
    <w:rsid w:val="00782DCC"/>
    <w:rsid w:val="007E3D96"/>
    <w:rsid w:val="00816777"/>
    <w:rsid w:val="008301B6"/>
    <w:rsid w:val="008332EE"/>
    <w:rsid w:val="00842F73"/>
    <w:rsid w:val="00856F22"/>
    <w:rsid w:val="008C2D27"/>
    <w:rsid w:val="008C5563"/>
    <w:rsid w:val="008E5ECC"/>
    <w:rsid w:val="0090103A"/>
    <w:rsid w:val="009277DA"/>
    <w:rsid w:val="00951896"/>
    <w:rsid w:val="00980352"/>
    <w:rsid w:val="009A0A5B"/>
    <w:rsid w:val="009E4CE6"/>
    <w:rsid w:val="00A544A4"/>
    <w:rsid w:val="00A61360"/>
    <w:rsid w:val="00A777FA"/>
    <w:rsid w:val="00A95B6C"/>
    <w:rsid w:val="00AA0EDF"/>
    <w:rsid w:val="00AC2BB1"/>
    <w:rsid w:val="00AE2D2A"/>
    <w:rsid w:val="00B15D95"/>
    <w:rsid w:val="00B8653D"/>
    <w:rsid w:val="00C13F6D"/>
    <w:rsid w:val="00C161F4"/>
    <w:rsid w:val="00C677A0"/>
    <w:rsid w:val="00C8026E"/>
    <w:rsid w:val="00C825FF"/>
    <w:rsid w:val="00C935EC"/>
    <w:rsid w:val="00CC4A92"/>
    <w:rsid w:val="00CE55F8"/>
    <w:rsid w:val="00CF5326"/>
    <w:rsid w:val="00D43526"/>
    <w:rsid w:val="00D43697"/>
    <w:rsid w:val="00D6291A"/>
    <w:rsid w:val="00D736AD"/>
    <w:rsid w:val="00D80293"/>
    <w:rsid w:val="00D96A2B"/>
    <w:rsid w:val="00D97A71"/>
    <w:rsid w:val="00DA3A0E"/>
    <w:rsid w:val="00DB4869"/>
    <w:rsid w:val="00DD06AA"/>
    <w:rsid w:val="00DE5149"/>
    <w:rsid w:val="00E22C78"/>
    <w:rsid w:val="00E74EAA"/>
    <w:rsid w:val="00EC7C98"/>
    <w:rsid w:val="00ED23FD"/>
    <w:rsid w:val="00EE04F0"/>
    <w:rsid w:val="00F209B1"/>
    <w:rsid w:val="00F21F9D"/>
    <w:rsid w:val="00F404F6"/>
    <w:rsid w:val="00F84D39"/>
    <w:rsid w:val="00F86E69"/>
    <w:rsid w:val="00FA4237"/>
    <w:rsid w:val="00FE3CE4"/>
    <w:rsid w:val="798F57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0"/>
    <w:semiHidden/>
    <w:unhideWhenUsed/>
    <w:qFormat/>
    <w:uiPriority w:val="99"/>
    <w:rPr>
      <w:sz w:val="18"/>
      <w:szCs w:val="18"/>
    </w:rPr>
  </w:style>
  <w:style w:type="paragraph" w:styleId="4">
    <w:name w:val="footer"/>
    <w:basedOn w:val="1"/>
    <w:link w:val="9"/>
    <w:semiHidden/>
    <w:unhideWhenUsed/>
    <w:qFormat/>
    <w:uiPriority w:val="99"/>
    <w:pPr>
      <w:tabs>
        <w:tab w:val="center" w:pos="4153"/>
        <w:tab w:val="right" w:pos="8306"/>
      </w:tabs>
      <w:snapToGrid w:val="0"/>
      <w:jc w:val="left"/>
    </w:pPr>
    <w:rPr>
      <w:sz w:val="18"/>
      <w:szCs w:val="18"/>
    </w:rPr>
  </w:style>
  <w:style w:type="paragraph" w:styleId="5">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qFormat/>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qFormat/>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6</Pages>
  <Words>2787</Words>
  <Characters>3035</Characters>
  <Lines>22</Lines>
  <Paragraphs>6</Paragraphs>
  <TotalTime>125</TotalTime>
  <ScaleCrop>false</ScaleCrop>
  <LinksUpToDate>false</LinksUpToDate>
  <CharactersWithSpaces>3091</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2022-08-23T02:40:53Z</dcterms:modified>
  <cp:revision>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5026F20DB92C4DC8899880620F6276B0</vt:lpwstr>
  </property>
</Properties>
</file>