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70" w:lineRule="exact"/>
        <w:jc w:val="left"/>
        <w:rPr>
          <w:rFonts w:hint="eastAsia" w:ascii="Times New Roman" w:hAnsi="Times New Roman" w:eastAsia="黑体" w:cs="Times New Roman"/>
          <w:b w:val="0"/>
          <w:bCs w:val="0"/>
          <w:kern w:val="2"/>
          <w:sz w:val="32"/>
          <w:szCs w:val="32"/>
          <w:lang w:eastAsia="zh-CN"/>
        </w:rPr>
      </w:pPr>
      <w:r>
        <w:rPr>
          <w:rFonts w:ascii="Times New Roman" w:hAnsi="Times New Roman" w:eastAsia="黑体" w:cs="Times New Roman"/>
          <w:b w:val="0"/>
          <w:bCs w:val="0"/>
          <w:kern w:val="2"/>
          <w:sz w:val="32"/>
          <w:szCs w:val="32"/>
          <w:lang w:eastAsia="zh-CN"/>
        </w:rPr>
        <w:t>附件1</w:t>
      </w:r>
    </w:p>
    <w:p>
      <w:pPr>
        <w:pStyle w:val="2"/>
        <w:spacing w:line="570" w:lineRule="exact"/>
        <w:jc w:val="left"/>
        <w:rPr>
          <w:rFonts w:ascii="Times New Roman" w:hAnsi="Times New Roman" w:eastAsia="黑体" w:cs="Times New Roman"/>
          <w:b w:val="0"/>
          <w:bCs w:val="0"/>
          <w:kern w:val="2"/>
          <w:sz w:val="32"/>
          <w:szCs w:val="32"/>
          <w:lang w:eastAsia="zh-CN"/>
        </w:rPr>
      </w:pPr>
    </w:p>
    <w:p>
      <w:pPr>
        <w:pStyle w:val="2"/>
        <w:spacing w:line="570" w:lineRule="exact"/>
        <w:rPr>
          <w:rFonts w:hint="eastAsia" w:ascii="方正小标宋简体" w:hAnsi="Times New Roman" w:eastAsia="方正小标宋简体" w:cs="Times New Roman"/>
          <w:b w:val="0"/>
          <w:color w:val="000000"/>
          <w:sz w:val="44"/>
          <w:szCs w:val="44"/>
          <w:lang w:eastAsia="zh-CN"/>
        </w:rPr>
      </w:pPr>
      <w:r>
        <w:rPr>
          <w:rFonts w:hint="eastAsia" w:ascii="方正小标宋简体" w:hAnsi="Times New Roman" w:eastAsia="方正小标宋简体" w:cs="Times New Roman"/>
          <w:b w:val="0"/>
          <w:color w:val="000000"/>
          <w:sz w:val="44"/>
          <w:szCs w:val="44"/>
          <w:lang w:eastAsia="zh-CN"/>
        </w:rPr>
        <w:t>《常州市农业、林牧渔业、工业、服务业</w:t>
      </w:r>
    </w:p>
    <w:p>
      <w:pPr>
        <w:pStyle w:val="2"/>
        <w:spacing w:before="120" w:line="570" w:lineRule="exact"/>
        <w:rPr>
          <w:rFonts w:hint="eastAsia" w:ascii="方正小标宋简体" w:hAnsi="Times New Roman" w:eastAsia="方正小标宋简体" w:cs="Times New Roman"/>
          <w:b w:val="0"/>
          <w:color w:val="000000"/>
          <w:sz w:val="44"/>
          <w:szCs w:val="44"/>
          <w:lang w:eastAsia="zh-CN"/>
        </w:rPr>
      </w:pPr>
      <w:r>
        <w:rPr>
          <w:rFonts w:hint="eastAsia" w:ascii="方正小标宋简体" w:hAnsi="Times New Roman" w:eastAsia="方正小标宋简体" w:cs="Times New Roman"/>
          <w:b w:val="0"/>
          <w:color w:val="000000"/>
          <w:sz w:val="44"/>
          <w:szCs w:val="44"/>
          <w:lang w:eastAsia="zh-CN"/>
        </w:rPr>
        <w:t>和生活用水定额（2021年修订）》说明</w:t>
      </w:r>
    </w:p>
    <w:p>
      <w:pPr>
        <w:pStyle w:val="6"/>
        <w:spacing w:line="590" w:lineRule="exact"/>
        <w:ind w:firstLine="600" w:firstLineChars="200"/>
        <w:jc w:val="both"/>
        <w:rPr>
          <w:rFonts w:ascii="Times New Roman" w:hAnsi="Times New Roman" w:eastAsia="方正仿宋_GBK" w:cs="Times New Roman"/>
          <w:sz w:val="30"/>
          <w:szCs w:val="30"/>
          <w:lang w:eastAsia="zh-CN"/>
        </w:rPr>
      </w:pPr>
    </w:p>
    <w:p>
      <w:pPr>
        <w:pStyle w:val="6"/>
        <w:overflowPunct w:val="0"/>
        <w:adjustRightInd w:val="0"/>
        <w:snapToGrid w:val="0"/>
        <w:spacing w:line="590" w:lineRule="exact"/>
        <w:ind w:firstLine="641"/>
        <w:jc w:val="both"/>
        <w:rPr>
          <w:rFonts w:ascii="黑体" w:hAnsi="黑体" w:eastAsia="黑体" w:cs="Times New Roman"/>
          <w:lang w:eastAsia="zh-CN"/>
        </w:rPr>
      </w:pPr>
      <w:r>
        <w:rPr>
          <w:rFonts w:ascii="黑体" w:hAnsi="黑体" w:eastAsia="黑体" w:cs="Times New Roman"/>
          <w:lang w:eastAsia="zh-CN"/>
        </w:rPr>
        <w:t>一、适用范围</w:t>
      </w:r>
    </w:p>
    <w:p>
      <w:pPr>
        <w:pStyle w:val="6"/>
        <w:overflowPunct w:val="0"/>
        <w:adjustRightInd w:val="0"/>
        <w:snapToGrid w:val="0"/>
        <w:spacing w:line="59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本定额适用于制定水中长期供求规划等涉及用水的区域和行业发展规划，用水总量、效率、纳污控制指标，建设项目水资源论证和取水许可审批，编制年度用水计划、实施用（节）水评价、节水载体创建，收取超定额（计划）加价水资源费（水费）等工作。</w:t>
      </w:r>
    </w:p>
    <w:p>
      <w:pPr>
        <w:pStyle w:val="6"/>
        <w:overflowPunct w:val="0"/>
        <w:adjustRightInd w:val="0"/>
        <w:snapToGrid w:val="0"/>
        <w:spacing w:line="590" w:lineRule="exact"/>
        <w:ind w:firstLine="641"/>
        <w:jc w:val="both"/>
        <w:rPr>
          <w:rFonts w:ascii="黑体" w:hAnsi="黑体" w:eastAsia="黑体" w:cs="Times New Roman"/>
          <w:lang w:eastAsia="zh-CN"/>
        </w:rPr>
      </w:pPr>
      <w:r>
        <w:rPr>
          <w:rFonts w:ascii="黑体" w:hAnsi="黑体" w:eastAsia="黑体" w:cs="Times New Roman"/>
          <w:lang w:eastAsia="zh-CN"/>
        </w:rPr>
        <w:t>二、术语和定义</w:t>
      </w:r>
    </w:p>
    <w:p>
      <w:pPr>
        <w:pStyle w:val="6"/>
        <w:overflowPunct w:val="0"/>
        <w:adjustRightInd w:val="0"/>
        <w:snapToGrid w:val="0"/>
        <w:spacing w:line="59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1</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用水量</w:t>
      </w:r>
    </w:p>
    <w:p>
      <w:pPr>
        <w:pStyle w:val="6"/>
        <w:overflowPunct w:val="0"/>
        <w:adjustRightInd w:val="0"/>
        <w:snapToGrid w:val="0"/>
        <w:spacing w:line="59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用水户的取水量，包括从公共供水工程取水（含再生水、海水淡化水）、自取地表水（含雨水集蓄利用）、地下水、市场购得的水产品等，不包括重复利用水量。农业用水包含斗口（或井口）以下输水损失。工业用水量指与工业生产有直接关系的主要生产用水、辅助生产用水（包括辅助生产设施以及生活办公用水、食堂用水等）以及附属生产用水（包括基本建设和技改、科研用水等）等水量，不包括供给外部的水量。取自供水工程的工业和生活用水不包括供水工程的输水损失。</w:t>
      </w:r>
    </w:p>
    <w:p>
      <w:pPr>
        <w:pStyle w:val="6"/>
        <w:overflowPunct w:val="0"/>
        <w:adjustRightInd w:val="0"/>
        <w:snapToGrid w:val="0"/>
        <w:spacing w:line="590" w:lineRule="exact"/>
        <w:ind w:firstLine="641"/>
        <w:jc w:val="both"/>
        <w:rPr>
          <w:rFonts w:hint="eastAsia" w:ascii="楷体_GB2312" w:hAnsi="Times New Roman" w:eastAsia="楷体_GB2312" w:cs="Times New Roman"/>
          <w:b/>
          <w:bCs/>
          <w:lang w:eastAsia="zh-CN"/>
        </w:rPr>
      </w:pPr>
      <w:r>
        <w:rPr>
          <w:rFonts w:ascii="Times New Roman" w:hAnsi="Times New Roman" w:eastAsia="仿宋_GB2312" w:cs="Times New Roman"/>
          <w:b/>
          <w:bCs/>
          <w:lang w:eastAsia="zh-CN"/>
        </w:rPr>
        <w:t>2</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一定时期内用水户单位用水量的限定值。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3</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农业用水定额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一定时期内按相应核算单元确定的各类农业单位用水的限定值。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4</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林业用水定额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一般指在50%水文年型下，单位面积树木生长的灌溉用水量。</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5</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牲畜用水定额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某类牲畜每日每头（只）平均饮用和清洁卫生用水量的限定值。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6</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渔业用水定额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核算单元内单位养殖水面一年内维持适宜水深补水所需水量的限定值。渔业用水定额的制定主要考虑核算单元内养殖池塘的水面蒸发、保持适合养殖水质水深要求的补充水量、斗渠（或井口）及以下渠系输水损失和鱼塘渗漏损失。</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b/>
          <w:bCs/>
          <w:lang w:eastAsia="zh-CN"/>
        </w:rPr>
        <w:t>7</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工业用水定额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一定时期内工业企业生产单位产品或创造单位产值的取水量限定值。</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b/>
          <w:bCs/>
          <w:lang w:eastAsia="zh-CN"/>
        </w:rPr>
        <w:t>8</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服务业用水定额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一定时期内服务单位单个用水人员或者单个服务设施、单位服务面积、单个服务对象等单位时间用水量的限定值。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9</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建筑业用水定额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一定时期内建成单位建筑面积的用水量的限定值。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10</w:t>
      </w:r>
      <w:r>
        <w:rPr>
          <w:rFonts w:hint="eastAsia" w:ascii="Times New Roman" w:hAnsi="Times New Roman" w:eastAsia="仿宋_GB2312" w:cs="Times New Roman"/>
          <w:b/>
          <w:bCs/>
          <w:lang w:eastAsia="zh-CN"/>
        </w:rPr>
        <w:t>.</w:t>
      </w:r>
      <w:r>
        <w:rPr>
          <w:rFonts w:hint="eastAsia" w:ascii="楷体_GB2312" w:hAnsi="Times New Roman" w:eastAsia="楷体_GB2312" w:cs="Times New Roman"/>
          <w:b/>
          <w:bCs/>
          <w:lang w:eastAsia="zh-CN"/>
        </w:rPr>
        <w:t xml:space="preserve"> 城镇居民生活用水定额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城镇居民家庭生活每人每日合理用水量的限定值。</w:t>
      </w:r>
    </w:p>
    <w:p>
      <w:pPr>
        <w:pStyle w:val="6"/>
        <w:overflowPunct w:val="0"/>
        <w:adjustRightInd w:val="0"/>
        <w:snapToGrid w:val="0"/>
        <w:spacing w:line="570" w:lineRule="exact"/>
        <w:ind w:firstLine="641"/>
        <w:jc w:val="both"/>
        <w:rPr>
          <w:rFonts w:ascii="Times New Roman" w:hAnsi="Times New Roman" w:eastAsia="仿宋_GB2312" w:cs="Times New Roman"/>
          <w:b/>
          <w:bCs/>
          <w:lang w:eastAsia="zh-CN"/>
        </w:rPr>
      </w:pPr>
      <w:r>
        <w:rPr>
          <w:rFonts w:ascii="Times New Roman" w:hAnsi="Times New Roman" w:eastAsia="仿宋_GB2312" w:cs="Times New Roman"/>
          <w:b/>
          <w:bCs/>
          <w:lang w:eastAsia="zh-CN"/>
        </w:rPr>
        <w:t>11</w:t>
      </w:r>
      <w:r>
        <w:rPr>
          <w:rFonts w:hint="eastAsia" w:ascii="Times New Roman" w:hAnsi="Times New Roman" w:eastAsia="仿宋_GB2312" w:cs="Times New Roman"/>
          <w:b/>
          <w:bCs/>
          <w:lang w:eastAsia="zh-CN"/>
        </w:rPr>
        <w:t xml:space="preserve">. </w:t>
      </w:r>
      <w:r>
        <w:rPr>
          <w:rFonts w:hint="eastAsia" w:ascii="楷体_GB2312" w:hAnsi="Times New Roman" w:eastAsia="楷体_GB2312" w:cs="Times New Roman"/>
          <w:b/>
          <w:bCs/>
          <w:lang w:eastAsia="zh-CN"/>
        </w:rPr>
        <w:t>农村居民生活用水定额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农村居民家庭生活每人每日合理用水量的限定值。</w:t>
      </w:r>
    </w:p>
    <w:p>
      <w:pPr>
        <w:pStyle w:val="6"/>
        <w:overflowPunct w:val="0"/>
        <w:adjustRightInd w:val="0"/>
        <w:snapToGrid w:val="0"/>
        <w:spacing w:line="570" w:lineRule="exact"/>
        <w:ind w:firstLine="641"/>
        <w:jc w:val="both"/>
        <w:rPr>
          <w:rFonts w:ascii="黑体" w:hAnsi="黑体" w:eastAsia="黑体" w:cs="Times New Roman"/>
          <w:lang w:eastAsia="zh-CN"/>
        </w:rPr>
      </w:pPr>
      <w:r>
        <w:rPr>
          <w:rFonts w:ascii="黑体" w:hAnsi="黑体" w:eastAsia="黑体" w:cs="Times New Roman"/>
          <w:lang w:eastAsia="zh-CN"/>
        </w:rPr>
        <w:t>三、定额分类分级</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用水定额所涉及的行业分类按《国民经济行业分类》（GB/T4754—2017）（按第1号修改单修订）属性归类，无法确定产品属性时，按企业所属行业归类。</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农业的用水定额分别有灌溉基本用水定额、附加用水定额和灌溉用水综合定额。</w:t>
      </w:r>
    </w:p>
    <w:p>
      <w:pPr>
        <w:pStyle w:val="6"/>
        <w:overflowPunct w:val="0"/>
        <w:adjustRightInd w:val="0"/>
        <w:snapToGrid w:val="0"/>
        <w:spacing w:line="570" w:lineRule="exact"/>
        <w:ind w:firstLine="641"/>
        <w:jc w:val="both"/>
        <w:rPr>
          <w:rFonts w:ascii="Times New Roman" w:hAnsi="Times New Roman" w:eastAsia="仿宋_GB2312" w:cs="Times New Roman"/>
          <w:lang w:eastAsia="zh-CN"/>
        </w:rPr>
      </w:pPr>
      <w:r>
        <w:rPr>
          <w:rFonts w:ascii="Times New Roman" w:hAnsi="Times New Roman" w:eastAsia="仿宋_GB2312" w:cs="Times New Roman"/>
          <w:lang w:eastAsia="zh-CN"/>
        </w:rPr>
        <w:t>农业灌溉分区见表1-1。</w:t>
      </w:r>
    </w:p>
    <w:p>
      <w:pPr>
        <w:pStyle w:val="6"/>
        <w:spacing w:after="120" w:line="570" w:lineRule="exact"/>
        <w:jc w:val="center"/>
        <w:rPr>
          <w:rFonts w:ascii="Times New Roman" w:hAnsi="Times New Roman" w:eastAsia="仿宋_GB2312" w:cs="Times New Roman"/>
          <w:b/>
          <w:bCs/>
          <w:color w:val="000000"/>
          <w:sz w:val="28"/>
          <w:szCs w:val="28"/>
          <w:lang w:eastAsia="zh-CN"/>
        </w:rPr>
      </w:pPr>
      <w:r>
        <w:rPr>
          <w:rFonts w:ascii="Times New Roman" w:hAnsi="Times New Roman" w:eastAsia="仿宋_GB2312" w:cs="Times New Roman"/>
          <w:b/>
          <w:bCs/>
          <w:color w:val="000000"/>
          <w:sz w:val="28"/>
          <w:szCs w:val="28"/>
          <w:lang w:eastAsia="zh-CN"/>
        </w:rPr>
        <w:t>表1-1农业灌溉分区</w:t>
      </w:r>
    </w:p>
    <w:tbl>
      <w:tblPr>
        <w:tblStyle w:val="14"/>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72"/>
        <w:gridCol w:w="1884"/>
        <w:gridCol w:w="1894"/>
        <w:gridCol w:w="1833"/>
        <w:gridCol w:w="15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88" w:hRule="atLeast"/>
          <w:jc w:val="center"/>
        </w:trPr>
        <w:tc>
          <w:tcPr>
            <w:tcW w:w="1887"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分区名称</w:t>
            </w:r>
          </w:p>
        </w:tc>
        <w:tc>
          <w:tcPr>
            <w:tcW w:w="1899"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宁镇宜溧丘陵区</w:t>
            </w:r>
          </w:p>
        </w:tc>
        <w:tc>
          <w:tcPr>
            <w:tcW w:w="1909"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太湖湖西平原区</w:t>
            </w:r>
          </w:p>
        </w:tc>
        <w:tc>
          <w:tcPr>
            <w:tcW w:w="1848"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武澄锡虞平原区</w:t>
            </w:r>
          </w:p>
        </w:tc>
        <w:tc>
          <w:tcPr>
            <w:tcW w:w="1595"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太湖丘陵区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20" w:hRule="atLeast"/>
          <w:jc w:val="center"/>
        </w:trPr>
        <w:tc>
          <w:tcPr>
            <w:tcW w:w="1887" w:type="dxa"/>
            <w:shd w:val="clear" w:color="auto" w:fill="auto"/>
            <w:vAlign w:val="center"/>
          </w:tcPr>
          <w:p>
            <w:pPr>
              <w:widowControl/>
              <w:spacing w:line="360" w:lineRule="exact"/>
              <w:jc w:val="center"/>
              <w:rPr>
                <w:rFonts w:ascii="Times New Roman" w:hAnsi="Times New Roman"/>
                <w:b/>
                <w:bCs/>
                <w:color w:val="000000"/>
                <w:szCs w:val="21"/>
              </w:rPr>
            </w:pPr>
            <w:r>
              <w:rPr>
                <w:rFonts w:ascii="Times New Roman" w:hAnsi="Times New Roman"/>
                <w:b/>
                <w:bCs/>
                <w:color w:val="000000"/>
                <w:szCs w:val="21"/>
              </w:rPr>
              <w:t>辖市、区名称</w:t>
            </w:r>
          </w:p>
        </w:tc>
        <w:tc>
          <w:tcPr>
            <w:tcW w:w="1899" w:type="dxa"/>
            <w:shd w:val="clear" w:color="auto" w:fill="auto"/>
            <w:vAlign w:val="center"/>
          </w:tcPr>
          <w:p>
            <w:pPr>
              <w:widowControl/>
              <w:spacing w:line="360" w:lineRule="exact"/>
              <w:jc w:val="center"/>
              <w:rPr>
                <w:rFonts w:ascii="Times New Roman" w:hAnsi="Times New Roman"/>
                <w:color w:val="000000"/>
                <w:szCs w:val="21"/>
              </w:rPr>
            </w:pPr>
            <w:r>
              <w:rPr>
                <w:rFonts w:ascii="Times New Roman" w:hAnsi="Times New Roman"/>
                <w:color w:val="000000"/>
                <w:szCs w:val="21"/>
              </w:rPr>
              <w:t>金坛区、溧阳市</w:t>
            </w:r>
          </w:p>
        </w:tc>
        <w:tc>
          <w:tcPr>
            <w:tcW w:w="1909" w:type="dxa"/>
            <w:shd w:val="clear" w:color="auto" w:fill="auto"/>
            <w:vAlign w:val="center"/>
          </w:tcPr>
          <w:p>
            <w:pPr>
              <w:widowControl/>
              <w:spacing w:line="360" w:lineRule="exact"/>
              <w:jc w:val="center"/>
              <w:rPr>
                <w:rFonts w:hint="eastAsia" w:ascii="Times New Roman" w:hAnsi="Times New Roman"/>
                <w:color w:val="000000"/>
                <w:szCs w:val="21"/>
              </w:rPr>
            </w:pPr>
            <w:r>
              <w:rPr>
                <w:rFonts w:ascii="Times New Roman" w:hAnsi="Times New Roman"/>
                <w:color w:val="000000"/>
                <w:szCs w:val="21"/>
              </w:rPr>
              <w:t>金坛区、溧阳市、</w:t>
            </w:r>
          </w:p>
          <w:p>
            <w:pPr>
              <w:widowControl/>
              <w:spacing w:line="360" w:lineRule="exact"/>
              <w:jc w:val="center"/>
              <w:rPr>
                <w:rFonts w:ascii="Times New Roman" w:hAnsi="Times New Roman"/>
                <w:color w:val="000000"/>
                <w:szCs w:val="21"/>
              </w:rPr>
            </w:pPr>
            <w:r>
              <w:rPr>
                <w:rFonts w:ascii="Times New Roman" w:hAnsi="Times New Roman"/>
                <w:color w:val="000000"/>
                <w:szCs w:val="21"/>
              </w:rPr>
              <w:t>武进区、新北区</w:t>
            </w:r>
          </w:p>
        </w:tc>
        <w:tc>
          <w:tcPr>
            <w:tcW w:w="1848" w:type="dxa"/>
            <w:shd w:val="clear" w:color="auto" w:fill="auto"/>
            <w:vAlign w:val="center"/>
          </w:tcPr>
          <w:p>
            <w:pPr>
              <w:widowControl/>
              <w:spacing w:line="360" w:lineRule="exact"/>
              <w:jc w:val="center"/>
              <w:rPr>
                <w:rFonts w:ascii="Times New Roman" w:hAnsi="Times New Roman"/>
                <w:color w:val="000000"/>
                <w:szCs w:val="21"/>
              </w:rPr>
            </w:pPr>
            <w:r>
              <w:rPr>
                <w:rFonts w:ascii="Times New Roman" w:hAnsi="Times New Roman"/>
                <w:color w:val="000000"/>
                <w:szCs w:val="21"/>
              </w:rPr>
              <w:t>武进区、新北区</w:t>
            </w:r>
          </w:p>
        </w:tc>
        <w:tc>
          <w:tcPr>
            <w:tcW w:w="1595" w:type="dxa"/>
            <w:shd w:val="clear" w:color="auto" w:fill="auto"/>
            <w:vAlign w:val="center"/>
          </w:tcPr>
          <w:p>
            <w:pPr>
              <w:widowControl/>
              <w:spacing w:line="360" w:lineRule="exact"/>
              <w:jc w:val="center"/>
              <w:rPr>
                <w:rFonts w:ascii="Times New Roman" w:hAnsi="Times New Roman"/>
                <w:color w:val="000000"/>
                <w:szCs w:val="21"/>
              </w:rPr>
            </w:pPr>
            <w:r>
              <w:rPr>
                <w:rFonts w:ascii="Times New Roman" w:hAnsi="Times New Roman"/>
                <w:color w:val="000000"/>
                <w:szCs w:val="21"/>
              </w:rPr>
              <w:t>武进区</w:t>
            </w:r>
          </w:p>
        </w:tc>
      </w:tr>
    </w:tbl>
    <w:p>
      <w:pPr>
        <w:pStyle w:val="6"/>
        <w:spacing w:before="120" w:line="570" w:lineRule="exact"/>
        <w:ind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林牧渔业的用水定额分为先进值和通用值两级。先进值主要用于新建（改建、扩建）项目的取水许可审批、水资源论证、节水评价；通用值主要用于现有企业的日常节水管理和节水考核。</w:t>
      </w:r>
    </w:p>
    <w:p>
      <w:pPr>
        <w:pStyle w:val="6"/>
        <w:spacing w:line="570" w:lineRule="exact"/>
        <w:ind w:firstLine="640" w:firstLineChars="200"/>
        <w:jc w:val="both"/>
        <w:rPr>
          <w:rFonts w:ascii="Times New Roman" w:hAnsi="Times New Roman" w:eastAsia="仿宋_GB2312" w:cs="Times New Roman"/>
          <w:lang w:eastAsia="zh-CN"/>
        </w:rPr>
      </w:pPr>
      <w:r>
        <w:rPr>
          <w:rFonts w:ascii="Times New Roman" w:hAnsi="Times New Roman" w:eastAsia="仿宋_GB2312" w:cs="Times New Roman"/>
          <w:lang w:eastAsia="zh-CN"/>
        </w:rPr>
        <w:t>工业的用水定额分为Ⅰ级（领跑值）、Ⅱ级（先进值）和Ⅲ级（通用值）三级。Ⅰ级（领跑值）是节水标杆，用于引领企业节水技术进步和用水效率提升；Ⅱ级（先进值）主要用于新建（改建、扩建）项目的取水许可审批、水资源论证、节水评价；Ⅲ级（通用值）主要用于现有企业的日常用水管理和节水考核。</w:t>
      </w:r>
    </w:p>
    <w:p>
      <w:pPr>
        <w:pStyle w:val="6"/>
        <w:spacing w:line="570" w:lineRule="exact"/>
        <w:ind w:firstLine="640" w:firstLineChars="200"/>
        <w:jc w:val="both"/>
        <w:rPr>
          <w:rFonts w:ascii="方正仿宋_GBK" w:eastAsia="方正仿宋_GBK"/>
          <w:color w:val="000000" w:themeColor="text1"/>
          <w:sz w:val="32"/>
          <w:szCs w:val="32"/>
        </w:rPr>
      </w:pPr>
      <w:r>
        <w:rPr>
          <w:rFonts w:ascii="Times New Roman" w:hAnsi="Times New Roman" w:eastAsia="仿宋_GB2312" w:cs="Times New Roman"/>
          <w:lang w:eastAsia="zh-CN"/>
        </w:rPr>
        <w:t>服务业和生活的用水定额分为先进值和通用值两级。先进值用于新建（改建、扩建）项目的水资源论证、取水许可审批和节水评价；通用值用于现有单位的日常用水管理和节水考核。</w:t>
      </w:r>
      <w:bookmarkStart w:id="0" w:name="_GoBack"/>
      <w:bookmarkEnd w:id="0"/>
    </w:p>
    <w:sectPr>
      <w:footerReference r:id="rId5" w:type="default"/>
      <w:footerReference r:id="rId6" w:type="even"/>
      <w:pgSz w:w="11910" w:h="16840"/>
      <w:pgMar w:top="2098" w:right="1531" w:bottom="1985" w:left="1531" w:header="709" w:footer="1361" w:gutter="0"/>
      <w:cols w:space="425"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5246"/>
      <w:docPartObj>
        <w:docPartGallery w:val="autotext"/>
      </w:docPartObj>
    </w:sdtPr>
    <w:sdtEndPr>
      <w:rPr>
        <w:rFonts w:ascii="Times New Roman" w:hAnsi="Times New Roman" w:cs="Times New Roman"/>
      </w:rPr>
    </w:sdtEndPr>
    <w:sdtContent>
      <w:p>
        <w:pPr>
          <w:pStyle w:val="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33</w:t>
        </w:r>
        <w:r>
          <w:rPr>
            <w:rFonts w:ascii="Times New Roman" w:hAnsi="Times New Roman" w:cs="Times New Roman"/>
          </w:rPr>
          <w:fldChar w:fldCharType="end"/>
        </w:r>
      </w:p>
    </w:sdtContent>
  </w:sdt>
  <w:p>
    <w:pPr>
      <w:pStyle w:val="6"/>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582921"/>
      <w:docPartObj>
        <w:docPartGallery w:val="autotext"/>
      </w:docPartObj>
    </w:sdtPr>
    <w:sdtContent>
      <w:p>
        <w:pPr>
          <w:pStyle w:val="9"/>
          <w:ind w:firstLine="180"/>
        </w:pPr>
        <w:r>
          <w:rPr>
            <w:rFonts w:hint="eastAsia"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52</w:t>
        </w:r>
        <w:r>
          <w:rPr>
            <w:rFonts w:ascii="Times New Roman" w:hAnsi="Times New Roman" w:cs="Times New Roman"/>
            <w:sz w:val="28"/>
            <w:szCs w:val="28"/>
          </w:rPr>
          <w:fldChar w:fldCharType="end"/>
        </w:r>
        <w:r>
          <w:rPr>
            <w:rFonts w:hint="eastAsia" w:ascii="Times New Roman" w:hAnsi="Times New Roman" w:cs="Times New Roman"/>
            <w:sz w:val="28"/>
            <w:szCs w:val="28"/>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E5OGJiZTJiNzQ2OGIyMDY2Y2Y3ZDNlOGVhNzk0OTYifQ=="/>
  </w:docVars>
  <w:rsids>
    <w:rsidRoot w:val="00732893"/>
    <w:rsid w:val="000132BB"/>
    <w:rsid w:val="00047330"/>
    <w:rsid w:val="0005374D"/>
    <w:rsid w:val="0006110A"/>
    <w:rsid w:val="0006547F"/>
    <w:rsid w:val="0006662E"/>
    <w:rsid w:val="00076311"/>
    <w:rsid w:val="000B0CA5"/>
    <w:rsid w:val="000F6EC3"/>
    <w:rsid w:val="00130789"/>
    <w:rsid w:val="001578CA"/>
    <w:rsid w:val="00174399"/>
    <w:rsid w:val="00233E6D"/>
    <w:rsid w:val="0023741A"/>
    <w:rsid w:val="002828D1"/>
    <w:rsid w:val="00283511"/>
    <w:rsid w:val="002C5F24"/>
    <w:rsid w:val="002E5218"/>
    <w:rsid w:val="00327642"/>
    <w:rsid w:val="0033162B"/>
    <w:rsid w:val="00381D81"/>
    <w:rsid w:val="003951ED"/>
    <w:rsid w:val="003B7A43"/>
    <w:rsid w:val="003B7F33"/>
    <w:rsid w:val="003C753B"/>
    <w:rsid w:val="003D1293"/>
    <w:rsid w:val="003F5174"/>
    <w:rsid w:val="00400974"/>
    <w:rsid w:val="00413446"/>
    <w:rsid w:val="00422245"/>
    <w:rsid w:val="0044763A"/>
    <w:rsid w:val="00484703"/>
    <w:rsid w:val="004B67C5"/>
    <w:rsid w:val="004E4B4A"/>
    <w:rsid w:val="004F02A1"/>
    <w:rsid w:val="004F4FCD"/>
    <w:rsid w:val="004F561C"/>
    <w:rsid w:val="00512BB1"/>
    <w:rsid w:val="00513CFA"/>
    <w:rsid w:val="00547DEF"/>
    <w:rsid w:val="005C1A5B"/>
    <w:rsid w:val="005C3A6F"/>
    <w:rsid w:val="005F310C"/>
    <w:rsid w:val="00627EBE"/>
    <w:rsid w:val="006477B3"/>
    <w:rsid w:val="00680A57"/>
    <w:rsid w:val="006855D3"/>
    <w:rsid w:val="00691B7B"/>
    <w:rsid w:val="00730E37"/>
    <w:rsid w:val="00732893"/>
    <w:rsid w:val="00753308"/>
    <w:rsid w:val="00762C66"/>
    <w:rsid w:val="00793FC0"/>
    <w:rsid w:val="007B659C"/>
    <w:rsid w:val="007C73E9"/>
    <w:rsid w:val="007E637A"/>
    <w:rsid w:val="0081068B"/>
    <w:rsid w:val="00824796"/>
    <w:rsid w:val="008515FE"/>
    <w:rsid w:val="00863A8C"/>
    <w:rsid w:val="00894DA0"/>
    <w:rsid w:val="00896139"/>
    <w:rsid w:val="008A14EA"/>
    <w:rsid w:val="008D2669"/>
    <w:rsid w:val="00975596"/>
    <w:rsid w:val="00977A9B"/>
    <w:rsid w:val="009B1EDE"/>
    <w:rsid w:val="009C173E"/>
    <w:rsid w:val="009E22B5"/>
    <w:rsid w:val="009F59C9"/>
    <w:rsid w:val="00A260A4"/>
    <w:rsid w:val="00A56198"/>
    <w:rsid w:val="00A8753B"/>
    <w:rsid w:val="00AB4434"/>
    <w:rsid w:val="00AB6E3D"/>
    <w:rsid w:val="00AC17B7"/>
    <w:rsid w:val="00AC4071"/>
    <w:rsid w:val="00B15219"/>
    <w:rsid w:val="00B36FBD"/>
    <w:rsid w:val="00BC3CEB"/>
    <w:rsid w:val="00C344E5"/>
    <w:rsid w:val="00C37DD6"/>
    <w:rsid w:val="00CB7AC6"/>
    <w:rsid w:val="00CC4DEB"/>
    <w:rsid w:val="00CE32D3"/>
    <w:rsid w:val="00D04EB6"/>
    <w:rsid w:val="00D307A1"/>
    <w:rsid w:val="00D45743"/>
    <w:rsid w:val="00D50C85"/>
    <w:rsid w:val="00D704E3"/>
    <w:rsid w:val="00D96A90"/>
    <w:rsid w:val="00DA6552"/>
    <w:rsid w:val="00DE3358"/>
    <w:rsid w:val="00DF5691"/>
    <w:rsid w:val="00E41A77"/>
    <w:rsid w:val="00E80C68"/>
    <w:rsid w:val="00E856FC"/>
    <w:rsid w:val="00E9584F"/>
    <w:rsid w:val="00EA59A0"/>
    <w:rsid w:val="00EC4845"/>
    <w:rsid w:val="00EE0128"/>
    <w:rsid w:val="00F27BD2"/>
    <w:rsid w:val="00F3601A"/>
    <w:rsid w:val="00FA0041"/>
    <w:rsid w:val="00FD1179"/>
    <w:rsid w:val="1140187E"/>
    <w:rsid w:val="1B726D8D"/>
    <w:rsid w:val="3C4B30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70" w:lineRule="exact"/>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autoSpaceDE w:val="0"/>
      <w:autoSpaceDN w:val="0"/>
      <w:spacing w:line="240" w:lineRule="auto"/>
      <w:jc w:val="center"/>
      <w:outlineLvl w:val="0"/>
    </w:pPr>
    <w:rPr>
      <w:rFonts w:ascii="Microsoft JhengHei" w:hAnsi="Microsoft JhengHei" w:eastAsia="宋体" w:cs="Microsoft JhengHei"/>
      <w:b/>
      <w:bCs/>
      <w:kern w:val="0"/>
      <w:sz w:val="36"/>
      <w:szCs w:val="40"/>
      <w:lang w:eastAsia="en-US"/>
    </w:rPr>
  </w:style>
  <w:style w:type="paragraph" w:styleId="3">
    <w:name w:val="heading 2"/>
    <w:basedOn w:val="1"/>
    <w:next w:val="1"/>
    <w:link w:val="21"/>
    <w:unhideWhenUsed/>
    <w:qFormat/>
    <w:uiPriority w:val="9"/>
    <w:pPr>
      <w:autoSpaceDE w:val="0"/>
      <w:autoSpaceDN w:val="0"/>
      <w:spacing w:line="240" w:lineRule="auto"/>
      <w:jc w:val="center"/>
      <w:outlineLvl w:val="1"/>
    </w:pPr>
    <w:rPr>
      <w:rFonts w:ascii="Microsoft JhengHei" w:hAnsi="Microsoft JhengHei" w:eastAsia="宋体" w:cs="Microsoft JhengHei"/>
      <w:bCs/>
      <w:kern w:val="0"/>
      <w:sz w:val="30"/>
      <w:szCs w:val="32"/>
      <w:lang w:eastAsia="en-US"/>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index 8"/>
    <w:basedOn w:val="1"/>
    <w:next w:val="1"/>
    <w:qFormat/>
    <w:uiPriority w:val="0"/>
    <w:pPr>
      <w:spacing w:line="240" w:lineRule="auto"/>
      <w:ind w:left="1680" w:hanging="210"/>
      <w:jc w:val="left"/>
    </w:pPr>
    <w:rPr>
      <w:rFonts w:ascii="Calibri" w:hAnsi="Calibri" w:eastAsia="宋体" w:cs="Times New Roman"/>
      <w:sz w:val="20"/>
      <w:szCs w:val="20"/>
    </w:rPr>
  </w:style>
  <w:style w:type="paragraph" w:styleId="5">
    <w:name w:val="annotation text"/>
    <w:basedOn w:val="1"/>
    <w:link w:val="26"/>
    <w:semiHidden/>
    <w:unhideWhenUsed/>
    <w:qFormat/>
    <w:uiPriority w:val="99"/>
    <w:pPr>
      <w:autoSpaceDE w:val="0"/>
      <w:autoSpaceDN w:val="0"/>
      <w:spacing w:line="240" w:lineRule="auto"/>
      <w:jc w:val="left"/>
    </w:pPr>
    <w:rPr>
      <w:rFonts w:ascii="宋体" w:hAnsi="宋体" w:eastAsia="宋体" w:cs="宋体"/>
      <w:kern w:val="0"/>
      <w:sz w:val="22"/>
      <w:lang w:eastAsia="en-US"/>
    </w:rPr>
  </w:style>
  <w:style w:type="paragraph" w:styleId="6">
    <w:name w:val="Body Text"/>
    <w:basedOn w:val="1"/>
    <w:link w:val="22"/>
    <w:qFormat/>
    <w:uiPriority w:val="1"/>
    <w:pPr>
      <w:autoSpaceDE w:val="0"/>
      <w:autoSpaceDN w:val="0"/>
      <w:spacing w:line="240" w:lineRule="auto"/>
      <w:jc w:val="left"/>
    </w:pPr>
    <w:rPr>
      <w:rFonts w:ascii="宋体" w:hAnsi="宋体" w:eastAsia="宋体" w:cs="宋体"/>
      <w:kern w:val="0"/>
      <w:sz w:val="32"/>
      <w:szCs w:val="32"/>
      <w:lang w:eastAsia="en-US"/>
    </w:rPr>
  </w:style>
  <w:style w:type="paragraph" w:styleId="7">
    <w:name w:val="Date"/>
    <w:basedOn w:val="1"/>
    <w:next w:val="1"/>
    <w:link w:val="17"/>
    <w:semiHidden/>
    <w:unhideWhenUsed/>
    <w:qFormat/>
    <w:uiPriority w:val="99"/>
    <w:pPr>
      <w:ind w:left="100" w:leftChars="2500"/>
    </w:pPr>
  </w:style>
  <w:style w:type="paragraph" w:styleId="8">
    <w:name w:val="Balloon Text"/>
    <w:basedOn w:val="1"/>
    <w:link w:val="30"/>
    <w:semiHidden/>
    <w:unhideWhenUsed/>
    <w:qFormat/>
    <w:uiPriority w:val="99"/>
    <w:pPr>
      <w:autoSpaceDE w:val="0"/>
      <w:autoSpaceDN w:val="0"/>
      <w:spacing w:line="240" w:lineRule="auto"/>
      <w:jc w:val="left"/>
    </w:pPr>
    <w:rPr>
      <w:rFonts w:ascii="宋体" w:hAnsi="宋体" w:eastAsia="宋体" w:cs="宋体"/>
      <w:kern w:val="0"/>
      <w:sz w:val="18"/>
      <w:szCs w:val="18"/>
      <w:lang w:eastAsia="en-US"/>
    </w:rPr>
  </w:style>
  <w:style w:type="paragraph" w:styleId="9">
    <w:name w:val="footer"/>
    <w:basedOn w:val="1"/>
    <w:link w:val="19"/>
    <w:unhideWhenUsed/>
    <w:qFormat/>
    <w:uiPriority w:val="99"/>
    <w:pPr>
      <w:tabs>
        <w:tab w:val="center" w:pos="4153"/>
        <w:tab w:val="right" w:pos="8306"/>
      </w:tabs>
      <w:snapToGrid w:val="0"/>
      <w:spacing w:line="240" w:lineRule="atLeast"/>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1">
    <w:name w:val="toc 1"/>
    <w:basedOn w:val="1"/>
    <w:next w:val="1"/>
    <w:unhideWhenUsed/>
    <w:qFormat/>
    <w:uiPriority w:val="39"/>
    <w:pPr>
      <w:autoSpaceDE w:val="0"/>
      <w:autoSpaceDN w:val="0"/>
      <w:spacing w:line="360" w:lineRule="auto"/>
    </w:pPr>
    <w:rPr>
      <w:rFonts w:ascii="Times New Roman" w:hAnsi="Times New Roman" w:eastAsia="宋体" w:cs="宋体"/>
      <w:kern w:val="0"/>
      <w:sz w:val="24"/>
      <w:lang w:eastAsia="en-US"/>
    </w:rPr>
  </w:style>
  <w:style w:type="paragraph" w:styleId="12">
    <w:name w:val="toc 2"/>
    <w:basedOn w:val="1"/>
    <w:next w:val="1"/>
    <w:unhideWhenUsed/>
    <w:qFormat/>
    <w:uiPriority w:val="39"/>
    <w:pPr>
      <w:autoSpaceDE w:val="0"/>
      <w:autoSpaceDN w:val="0"/>
      <w:spacing w:line="360" w:lineRule="auto"/>
      <w:ind w:left="420" w:leftChars="200"/>
    </w:pPr>
    <w:rPr>
      <w:rFonts w:ascii="Times New Roman" w:hAnsi="Times New Roman" w:eastAsia="宋体" w:cs="宋体"/>
      <w:kern w:val="0"/>
      <w:sz w:val="24"/>
      <w:lang w:eastAsia="en-US"/>
    </w:rPr>
  </w:style>
  <w:style w:type="paragraph" w:styleId="13">
    <w:name w:val="annotation subject"/>
    <w:basedOn w:val="5"/>
    <w:next w:val="5"/>
    <w:link w:val="28"/>
    <w:semiHidden/>
    <w:unhideWhenUsed/>
    <w:qFormat/>
    <w:uiPriority w:val="99"/>
    <w:rPr>
      <w:b/>
      <w:bCs/>
    </w:rPr>
  </w:style>
  <w:style w:type="character" w:styleId="16">
    <w:name w:val="Hyperlink"/>
    <w:basedOn w:val="15"/>
    <w:unhideWhenUsed/>
    <w:qFormat/>
    <w:uiPriority w:val="99"/>
    <w:rPr>
      <w:color w:val="0000FF" w:themeColor="hyperlink"/>
      <w:u w:val="single"/>
    </w:rPr>
  </w:style>
  <w:style w:type="character" w:customStyle="1" w:styleId="17">
    <w:name w:val="日期 Char"/>
    <w:basedOn w:val="15"/>
    <w:link w:val="7"/>
    <w:semiHidden/>
    <w:qFormat/>
    <w:uiPriority w:val="99"/>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character" w:customStyle="1" w:styleId="20">
    <w:name w:val="标题 1 Char"/>
    <w:basedOn w:val="15"/>
    <w:link w:val="2"/>
    <w:qFormat/>
    <w:uiPriority w:val="9"/>
    <w:rPr>
      <w:rFonts w:ascii="Microsoft JhengHei" w:hAnsi="Microsoft JhengHei" w:eastAsia="宋体" w:cs="Microsoft JhengHei"/>
      <w:b/>
      <w:bCs/>
      <w:kern w:val="0"/>
      <w:sz w:val="36"/>
      <w:szCs w:val="40"/>
      <w:lang w:eastAsia="en-US"/>
    </w:rPr>
  </w:style>
  <w:style w:type="character" w:customStyle="1" w:styleId="21">
    <w:name w:val="标题 2 Char"/>
    <w:basedOn w:val="15"/>
    <w:link w:val="3"/>
    <w:qFormat/>
    <w:uiPriority w:val="9"/>
    <w:rPr>
      <w:rFonts w:ascii="Microsoft JhengHei" w:hAnsi="Microsoft JhengHei" w:eastAsia="宋体" w:cs="Microsoft JhengHei"/>
      <w:bCs/>
      <w:kern w:val="0"/>
      <w:sz w:val="30"/>
      <w:szCs w:val="32"/>
      <w:lang w:eastAsia="en-US"/>
    </w:rPr>
  </w:style>
  <w:style w:type="character" w:customStyle="1" w:styleId="22">
    <w:name w:val="正文文本 Char"/>
    <w:basedOn w:val="15"/>
    <w:link w:val="6"/>
    <w:qFormat/>
    <w:uiPriority w:val="1"/>
    <w:rPr>
      <w:rFonts w:ascii="宋体" w:hAnsi="宋体" w:eastAsia="宋体" w:cs="宋体"/>
      <w:kern w:val="0"/>
      <w:sz w:val="32"/>
      <w:szCs w:val="32"/>
      <w:lang w:eastAsia="en-US"/>
    </w:rPr>
  </w:style>
  <w:style w:type="paragraph" w:styleId="23">
    <w:name w:val="List Paragraph"/>
    <w:basedOn w:val="1"/>
    <w:qFormat/>
    <w:uiPriority w:val="1"/>
    <w:pPr>
      <w:autoSpaceDE w:val="0"/>
      <w:autoSpaceDN w:val="0"/>
      <w:spacing w:line="240" w:lineRule="auto"/>
      <w:jc w:val="left"/>
    </w:pPr>
    <w:rPr>
      <w:rFonts w:ascii="宋体" w:hAnsi="宋体" w:eastAsia="宋体" w:cs="宋体"/>
      <w:kern w:val="0"/>
      <w:sz w:val="22"/>
      <w:lang w:eastAsia="en-US"/>
    </w:rPr>
  </w:style>
  <w:style w:type="paragraph" w:customStyle="1" w:styleId="24">
    <w:name w:val="Table Paragraph"/>
    <w:basedOn w:val="1"/>
    <w:qFormat/>
    <w:uiPriority w:val="1"/>
    <w:pPr>
      <w:autoSpaceDE w:val="0"/>
      <w:autoSpaceDN w:val="0"/>
      <w:spacing w:line="240" w:lineRule="auto"/>
      <w:jc w:val="left"/>
    </w:pPr>
    <w:rPr>
      <w:rFonts w:ascii="宋体" w:hAnsi="宋体" w:eastAsia="宋体" w:cs="宋体"/>
      <w:kern w:val="0"/>
      <w:sz w:val="22"/>
      <w:lang w:eastAsia="en-US"/>
    </w:rPr>
  </w:style>
  <w:style w:type="paragraph" w:customStyle="1" w:styleId="25">
    <w:name w:val="TOC Heading"/>
    <w:basedOn w:val="2"/>
    <w:next w:val="1"/>
    <w:unhideWhenUsed/>
    <w:qFormat/>
    <w:uiPriority w:val="39"/>
    <w:pPr>
      <w:keepNext/>
      <w:keepLines/>
      <w:widowControl/>
      <w:autoSpaceDE/>
      <w:autoSpaceDN/>
      <w:spacing w:before="240" w:line="259" w:lineRule="auto"/>
      <w:outlineLvl w:val="9"/>
    </w:pPr>
    <w:rPr>
      <w:rFonts w:asciiTheme="majorHAnsi" w:hAnsiTheme="majorHAnsi" w:eastAsiaTheme="majorEastAsia" w:cstheme="majorBidi"/>
      <w:b w:val="0"/>
      <w:bCs w:val="0"/>
      <w:color w:val="366091" w:themeColor="accent1" w:themeShade="BF"/>
      <w:sz w:val="32"/>
      <w:szCs w:val="32"/>
      <w:lang w:eastAsia="zh-CN"/>
    </w:rPr>
  </w:style>
  <w:style w:type="character" w:customStyle="1" w:styleId="26">
    <w:name w:val="批注文字 Char"/>
    <w:basedOn w:val="15"/>
    <w:link w:val="5"/>
    <w:semiHidden/>
    <w:qFormat/>
    <w:uiPriority w:val="99"/>
    <w:rPr>
      <w:rFonts w:ascii="宋体" w:hAnsi="宋体" w:eastAsia="宋体" w:cs="宋体"/>
      <w:kern w:val="0"/>
      <w:sz w:val="22"/>
      <w:lang w:eastAsia="en-US"/>
    </w:rPr>
  </w:style>
  <w:style w:type="character" w:customStyle="1" w:styleId="27">
    <w:name w:val="批注主题 Char"/>
    <w:basedOn w:val="26"/>
    <w:link w:val="13"/>
    <w:semiHidden/>
    <w:qFormat/>
    <w:uiPriority w:val="99"/>
    <w:rPr>
      <w:b/>
      <w:bCs/>
    </w:rPr>
  </w:style>
  <w:style w:type="character" w:customStyle="1" w:styleId="28">
    <w:name w:val="批注主题 Char1"/>
    <w:basedOn w:val="26"/>
    <w:link w:val="13"/>
    <w:semiHidden/>
    <w:qFormat/>
    <w:uiPriority w:val="99"/>
    <w:rPr>
      <w:b/>
      <w:bCs/>
    </w:rPr>
  </w:style>
  <w:style w:type="character" w:customStyle="1" w:styleId="29">
    <w:name w:val="批注框文本 Char"/>
    <w:basedOn w:val="15"/>
    <w:link w:val="8"/>
    <w:semiHidden/>
    <w:qFormat/>
    <w:uiPriority w:val="99"/>
    <w:rPr>
      <w:rFonts w:ascii="宋体" w:hAnsi="宋体" w:eastAsia="宋体" w:cs="宋体"/>
      <w:kern w:val="0"/>
      <w:sz w:val="18"/>
      <w:szCs w:val="18"/>
      <w:lang w:eastAsia="en-US"/>
    </w:rPr>
  </w:style>
  <w:style w:type="character" w:customStyle="1" w:styleId="30">
    <w:name w:val="批注框文本 Char1"/>
    <w:basedOn w:val="15"/>
    <w:link w:val="8"/>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95682B4-78FC-404C-AB32-04D2399A08D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16202</Words>
  <Characters>22352</Characters>
  <Lines>262</Lines>
  <Paragraphs>73</Paragraphs>
  <TotalTime>140</TotalTime>
  <ScaleCrop>false</ScaleCrop>
  <LinksUpToDate>false</LinksUpToDate>
  <CharactersWithSpaces>23265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2022-09-05T00:57:00Z</dcterms:created>
  <dc:creator>lenovo</dc:creator>
  <cp:lastModifiedBy>常州市水利局本级</cp:lastModifiedBy>
  <cp:lastPrinted>2022-08-11T01:06:00Z</cp:lastPrinted>
  <dcterms:modified xsi:type="dcterms:W3CDTF">2022-09-09T06:06:25Z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6C5AAB06FDB9482DA65A8005734ABF4E</vt:lpwstr>
  </property>
</Properties>
</file>