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left"/>
        <w:rPr>
          <w:rFonts w:ascii="Times New Roman" w:hAnsi="Times New Roman" w:eastAsia="黑体" w:cs="Times New Roman"/>
          <w:b w:val="0"/>
          <w:bCs w:val="0"/>
          <w:sz w:val="32"/>
          <w:szCs w:val="32"/>
          <w:lang w:eastAsia="zh-CN"/>
        </w:rPr>
      </w:pPr>
      <w:bookmarkStart w:id="0" w:name="_Toc90739437"/>
      <w:r>
        <w:rPr>
          <w:rFonts w:ascii="Times New Roman" w:hAnsi="Times New Roman" w:eastAsia="黑体" w:cs="Times New Roman"/>
          <w:b w:val="0"/>
          <w:bCs w:val="0"/>
          <w:sz w:val="32"/>
          <w:szCs w:val="32"/>
          <w:lang w:eastAsia="zh-CN"/>
        </w:rPr>
        <w:t>附件2</w:t>
      </w:r>
    </w:p>
    <w:p>
      <w:pPr>
        <w:pStyle w:val="2"/>
        <w:spacing w:before="120" w:after="120" w:line="560" w:lineRule="exact"/>
        <w:rPr>
          <w:rFonts w:hint="eastAsia" w:ascii="方正小标宋简体" w:hAnsi="Times New Roman" w:eastAsia="方正小标宋简体" w:cs="Times New Roman"/>
          <w:b w:val="0"/>
          <w:sz w:val="44"/>
          <w:szCs w:val="44"/>
          <w:lang w:eastAsia="zh-CN"/>
        </w:rPr>
      </w:pPr>
      <w:r>
        <w:rPr>
          <w:rFonts w:hint="eastAsia" w:ascii="方正小标宋简体" w:hAnsi="Times New Roman" w:eastAsia="方正小标宋简体" w:cs="Times New Roman"/>
          <w:b w:val="0"/>
          <w:sz w:val="44"/>
          <w:szCs w:val="44"/>
          <w:lang w:eastAsia="zh-CN"/>
        </w:rPr>
        <w:t>常州市农业、林牧渔业、工业、服务业和生活用水定额（2021年修订）</w:t>
      </w:r>
      <w:bookmarkEnd w:id="0"/>
    </w:p>
    <w:p>
      <w:pPr>
        <w:pStyle w:val="6"/>
        <w:spacing w:before="4"/>
        <w:jc w:val="center"/>
        <w:rPr>
          <w:rFonts w:ascii="Times New Roman" w:hAnsi="Times New Roman" w:cs="Times New Roman"/>
          <w:b/>
          <w:lang w:eastAsia="zh-CN"/>
        </w:rPr>
      </w:pPr>
    </w:p>
    <w:p>
      <w:pPr>
        <w:pStyle w:val="3"/>
        <w:rPr>
          <w:rFonts w:ascii="Times New Roman" w:hAnsi="Times New Roman" w:eastAsia="仿宋_GB2312" w:cs="Times New Roman"/>
          <w:b/>
          <w:bCs w:val="0"/>
          <w:sz w:val="32"/>
          <w:lang w:eastAsia="zh-CN"/>
        </w:rPr>
      </w:pPr>
      <w:bookmarkStart w:id="1" w:name="_Toc90739438"/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1.</w:t>
      </w:r>
      <w:r>
        <w:rPr>
          <w:rFonts w:hint="eastAsia" w:ascii="Times New Roman" w:hAnsi="Times New Roman" w:eastAsia="仿宋_GB2312" w:cs="Times New Roman"/>
          <w:b/>
          <w:bCs w:val="0"/>
          <w:sz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常州市农业用水定额（2021年修订）</w:t>
      </w:r>
      <w:bookmarkEnd w:id="1"/>
    </w:p>
    <w:p>
      <w:pPr>
        <w:pStyle w:val="6"/>
        <w:spacing w:after="120"/>
        <w:jc w:val="center"/>
        <w:rPr>
          <w:rFonts w:ascii="Times New Roman" w:hAnsi="Times New Roman" w:eastAsia="仿宋_GB2312" w:cs="Times New Roman"/>
          <w:b/>
          <w:color w:val="000000"/>
          <w:lang w:eastAsia="zh-CN"/>
        </w:rPr>
      </w:pPr>
      <w:r>
        <w:rPr>
          <w:rFonts w:ascii="Times New Roman" w:hAnsi="Times New Roman" w:eastAsia="仿宋_GB2312" w:cs="Times New Roman"/>
          <w:b/>
          <w:color w:val="000000"/>
          <w:lang w:eastAsia="zh-CN"/>
        </w:rPr>
        <w:t>1.1 水稻灌溉基本用水定额与附加用水定额</w:t>
      </w:r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1474"/>
        <w:gridCol w:w="1148"/>
        <w:gridCol w:w="1148"/>
        <w:gridCol w:w="1148"/>
        <w:gridCol w:w="2871"/>
        <w:gridCol w:w="1005"/>
        <w:gridCol w:w="1005"/>
        <w:gridCol w:w="1006"/>
        <w:gridCol w:w="1005"/>
        <w:gridCol w:w="107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145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类别名称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分类代码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分类名称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作物名称</w:t>
            </w:r>
          </w:p>
        </w:tc>
        <w:tc>
          <w:tcPr>
            <w:tcW w:w="283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分区（灌溉设计保证率）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典型县</w:t>
            </w:r>
          </w:p>
        </w:tc>
        <w:tc>
          <w:tcPr>
            <w:tcW w:w="1985" w:type="dxa"/>
            <w:gridSpan w:val="2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基本用水定额</w:t>
            </w:r>
          </w:p>
        </w:tc>
        <w:tc>
          <w:tcPr>
            <w:tcW w:w="2057" w:type="dxa"/>
            <w:gridSpan w:val="2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附加用水定额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9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平水年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设计年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平水年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设计年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</w:t>
            </w:r>
          </w:p>
        </w:tc>
        <w:tc>
          <w:tcPr>
            <w:tcW w:w="145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谷物种植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0111</w:t>
            </w:r>
          </w:p>
        </w:tc>
        <w:tc>
          <w:tcPr>
            <w:tcW w:w="1134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稻谷种植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水稻</w:t>
            </w:r>
          </w:p>
        </w:tc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510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560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495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495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515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470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105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540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485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1092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455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4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835" w:type="dxa"/>
            <w:shd w:val="clear" w:color="auto" w:fill="auto"/>
            <w:noWrap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520</w:t>
            </w:r>
          </w:p>
        </w:tc>
        <w:tc>
          <w:tcPr>
            <w:tcW w:w="993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565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065" w:type="dxa"/>
            <w:shd w:val="clear" w:color="auto" w:fill="auto"/>
            <w:vAlign w:val="center"/>
          </w:tcPr>
          <w:p>
            <w:pPr>
              <w:widowControl/>
              <w:spacing w:line="3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</w:tr>
    </w:tbl>
    <w:p>
      <w:pPr>
        <w:rPr>
          <w:rFonts w:ascii="Times New Roman" w:hAnsi="Times New Roman" w:eastAsia="宋体" w:cs="Times New Roman"/>
        </w:rPr>
      </w:pPr>
      <w:r>
        <w:rPr>
          <w:rFonts w:ascii="Times New Roman" w:hAnsi="宋体" w:eastAsia="宋体" w:cs="Times New Roman"/>
        </w:rPr>
        <w:t>注：平水年是指</w:t>
      </w:r>
      <w:r>
        <w:rPr>
          <w:rFonts w:ascii="Times New Roman" w:hAnsi="Times New Roman" w:eastAsia="宋体" w:cs="Times New Roman"/>
        </w:rPr>
        <w:t>P=50%</w:t>
      </w:r>
      <w:r>
        <w:rPr>
          <w:rFonts w:ascii="Times New Roman" w:hAnsi="宋体" w:eastAsia="宋体" w:cs="Times New Roman"/>
        </w:rPr>
        <w:t>年型，设计年是指设计灌溉设计保证率下的年型，下同。</w:t>
      </w:r>
    </w:p>
    <w:p>
      <w:pPr>
        <w:rPr>
          <w:rFonts w:ascii="Times New Roman" w:hAnsi="Times New Roman" w:eastAsia="宋体" w:cs="Times New Roman"/>
        </w:rPr>
        <w:sectPr>
          <w:footerReference r:id="rId5" w:type="default"/>
          <w:footerReference r:id="rId6" w:type="even"/>
          <w:pgSz w:w="16840" w:h="11910" w:orient="landscape"/>
          <w:pgMar w:top="1531" w:right="1531" w:bottom="1701" w:left="1531" w:header="709" w:footer="1361" w:gutter="0"/>
          <w:cols w:space="720" w:num="1"/>
          <w:docGrid w:linePitch="299" w:charSpace="0"/>
        </w:sectPr>
      </w:pPr>
    </w:p>
    <w:p>
      <w:pPr>
        <w:pStyle w:val="6"/>
        <w:spacing w:after="120"/>
        <w:jc w:val="center"/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lang w:eastAsia="zh-CN"/>
        </w:rPr>
      </w:pPr>
      <w:r>
        <w:rPr>
          <w:rFonts w:ascii="Times New Roman" w:hAnsi="Times New Roman" w:eastAsia="仿宋_GB2312" w:cs="Times New Roman"/>
          <w:b/>
          <w:bCs/>
          <w:color w:val="000000"/>
          <w:sz w:val="28"/>
          <w:szCs w:val="28"/>
          <w:lang w:eastAsia="zh-CN"/>
        </w:rPr>
        <w:t>1.2 小麦、玉米、油料、辣椒、番茄、小白菜和其他叶菜灌溉基本用水定额</w:t>
      </w:r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99"/>
        <w:gridCol w:w="2067"/>
        <w:gridCol w:w="1299"/>
        <w:gridCol w:w="1299"/>
        <w:gridCol w:w="1299"/>
        <w:gridCol w:w="3335"/>
        <w:gridCol w:w="1432"/>
        <w:gridCol w:w="1146"/>
        <w:gridCol w:w="118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20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类别名称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分类代码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分类名称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作物名称</w:t>
            </w:r>
          </w:p>
        </w:tc>
        <w:tc>
          <w:tcPr>
            <w:tcW w:w="333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分区（灌溉设计保证率）</w:t>
            </w:r>
          </w:p>
        </w:tc>
        <w:tc>
          <w:tcPr>
            <w:tcW w:w="1432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典型县</w:t>
            </w:r>
          </w:p>
        </w:tc>
        <w:tc>
          <w:tcPr>
            <w:tcW w:w="2326" w:type="dxa"/>
            <w:gridSpan w:val="2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基本用水定额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1432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黑体" w:hAnsi="黑体" w:eastAsia="黑体"/>
                <w:bCs/>
                <w:color w:val="000000"/>
              </w:rPr>
            </w:pP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平水年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</w:rPr>
            </w:pPr>
            <w:r>
              <w:rPr>
                <w:rFonts w:ascii="黑体" w:hAnsi="黑体" w:eastAsia="黑体"/>
                <w:bCs/>
                <w:color w:val="000000"/>
              </w:rPr>
              <w:t>设计年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</w:t>
            </w:r>
          </w:p>
        </w:tc>
        <w:tc>
          <w:tcPr>
            <w:tcW w:w="20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谷物种植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0112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小麦种植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小麦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8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0113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玉米种植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玉米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012</w:t>
            </w:r>
          </w:p>
        </w:tc>
        <w:tc>
          <w:tcPr>
            <w:tcW w:w="20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豆类、油料和薯类</w:t>
            </w:r>
          </w:p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种植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0122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油料种植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油料（花生、大豆、菜籽油等）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</w:t>
            </w:r>
          </w:p>
        </w:tc>
        <w:tc>
          <w:tcPr>
            <w:tcW w:w="20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蔬菜、食用菌及园艺作物种植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0141</w:t>
            </w:r>
          </w:p>
        </w:tc>
        <w:tc>
          <w:tcPr>
            <w:tcW w:w="1299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辣椒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番茄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140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</w:t>
            </w:r>
          </w:p>
        </w:tc>
        <w:tc>
          <w:tcPr>
            <w:tcW w:w="206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蔬菜、食用菌及园艺作物种植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蔬菜种植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小白菜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其他叶菜</w:t>
            </w: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宁镇宜溧丘陵区（P=90%）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太湖湖西平原区（P=95%）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溧阳市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武澄锡虞平原区（P=95%）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新北区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067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3335" w:type="dxa"/>
            <w:shd w:val="clear" w:color="auto" w:fill="auto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太湖丘陵区（P=90%）</w:t>
            </w:r>
          </w:p>
        </w:tc>
        <w:tc>
          <w:tcPr>
            <w:tcW w:w="1432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武进区</w:t>
            </w:r>
          </w:p>
        </w:tc>
        <w:tc>
          <w:tcPr>
            <w:tcW w:w="1146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180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</w:tr>
    </w:tbl>
    <w:p>
      <w:pPr>
        <w:rPr>
          <w:rFonts w:ascii="Times New Roman" w:hAnsi="Times New Roman"/>
        </w:rPr>
        <w:sectPr>
          <w:pgSz w:w="16840" w:h="11910" w:orient="landscape"/>
          <w:pgMar w:top="1260" w:right="1360" w:bottom="1198" w:left="1340" w:header="0" w:footer="1157" w:gutter="0"/>
          <w:cols w:space="720" w:num="1"/>
          <w:docGrid w:linePitch="299" w:charSpace="0"/>
        </w:sectPr>
      </w:pPr>
      <w:r>
        <w:rPr>
          <w:rFonts w:ascii="Times New Roman" w:hAnsi="Times New Roman"/>
          <w:color w:val="000000"/>
        </w:rPr>
        <w:t>注</w:t>
      </w:r>
      <w:r>
        <w:rPr>
          <w:rFonts w:ascii="Times New Roman" w:hAnsi="Times New Roman"/>
        </w:rPr>
        <w:t>：表中数据为单季作物灌溉用水量，下同。</w:t>
      </w:r>
    </w:p>
    <w:p>
      <w:pPr>
        <w:pStyle w:val="6"/>
        <w:spacing w:after="120"/>
        <w:jc w:val="center"/>
        <w:rPr>
          <w:rFonts w:ascii="Times New Roman" w:hAnsi="Times New Roman" w:eastAsia="仿宋_GB2312" w:cs="Times New Roman"/>
          <w:b/>
          <w:bCs/>
          <w:color w:val="000000"/>
          <w:lang w:eastAsia="zh-CN"/>
        </w:rPr>
      </w:pPr>
      <w:r>
        <w:rPr>
          <w:rFonts w:ascii="Times New Roman" w:hAnsi="Times New Roman" w:eastAsia="仿宋_GB2312" w:cs="Times New Roman"/>
          <w:b/>
          <w:bCs/>
          <w:color w:val="000000"/>
          <w:lang w:eastAsia="zh-CN"/>
        </w:rPr>
        <w:t>1.3</w:t>
      </w:r>
      <w:r>
        <w:rPr>
          <w:rFonts w:hint="eastAsia" w:ascii="Times New Roman" w:hAnsi="Times New Roman" w:eastAsia="仿宋_GB2312" w:cs="Times New Roman"/>
          <w:b/>
          <w:bCs/>
          <w:color w:val="000000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b/>
          <w:bCs/>
          <w:color w:val="000000"/>
          <w:lang w:eastAsia="zh-CN"/>
        </w:rPr>
        <w:t>主要作物灌溉用水综合定额</w:t>
      </w:r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2"/>
        <w:gridCol w:w="1368"/>
        <w:gridCol w:w="1368"/>
        <w:gridCol w:w="1540"/>
        <w:gridCol w:w="1540"/>
        <w:gridCol w:w="2566"/>
        <w:gridCol w:w="1368"/>
        <w:gridCol w:w="1195"/>
        <w:gridCol w:w="1195"/>
        <w:gridCol w:w="85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tblHeader/>
          <w:jc w:val="center"/>
        </w:trPr>
        <w:tc>
          <w:tcPr>
            <w:tcW w:w="1362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13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类别名称</w:t>
            </w:r>
          </w:p>
        </w:tc>
        <w:tc>
          <w:tcPr>
            <w:tcW w:w="13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分类代码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分类名称</w:t>
            </w:r>
          </w:p>
        </w:tc>
        <w:tc>
          <w:tcPr>
            <w:tcW w:w="1540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作物名称</w:t>
            </w:r>
          </w:p>
        </w:tc>
        <w:tc>
          <w:tcPr>
            <w:tcW w:w="256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分区</w:t>
            </w:r>
          </w:p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（灌溉设计保证率）</w:t>
            </w:r>
          </w:p>
        </w:tc>
        <w:tc>
          <w:tcPr>
            <w:tcW w:w="1368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单位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分级</w:t>
            </w:r>
          </w:p>
        </w:tc>
        <w:tc>
          <w:tcPr>
            <w:tcW w:w="1195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定额</w:t>
            </w:r>
          </w:p>
        </w:tc>
        <w:tc>
          <w:tcPr>
            <w:tcW w:w="854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</w:t>
            </w: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谷物种植</w:t>
            </w: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0111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稻谷种植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水稻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8850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590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7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9150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610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0112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小麦种植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麦类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1125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0113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玉米种植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玉米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930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62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012</w:t>
            </w:r>
          </w:p>
        </w:tc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豆类、油料和薯类种植</w:t>
            </w: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0122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油料种植</w:t>
            </w:r>
          </w:p>
        </w:tc>
        <w:tc>
          <w:tcPr>
            <w:tcW w:w="1540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油料（花生、大豆、菜籽油等）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1200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80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</w:t>
            </w:r>
          </w:p>
        </w:tc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蔬菜、食用菌及园艺作物种植</w:t>
            </w:r>
          </w:p>
        </w:tc>
        <w:tc>
          <w:tcPr>
            <w:tcW w:w="1368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0141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蔬菜种植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辣椒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2325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155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2550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170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2400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番茄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2025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1950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130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</w:t>
            </w:r>
          </w:p>
        </w:tc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蔬菜、食用菌及园艺作物种植</w:t>
            </w:r>
          </w:p>
        </w:tc>
        <w:tc>
          <w:tcPr>
            <w:tcW w:w="1368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0141</w:t>
            </w:r>
          </w:p>
        </w:tc>
        <w:tc>
          <w:tcPr>
            <w:tcW w:w="1540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蔬菜种植</w:t>
            </w: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小白菜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40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525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35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restart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其他叶菜</w:t>
            </w: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宁镇宜溧丘陵区（P=90%）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900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60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太湖湖西平原区（P=95%）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restart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武澄锡虞平原区（P=95%）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1050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/667m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70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1362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368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1540" w:type="dxa"/>
            <w:vMerge w:val="continue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rPr>
                <w:rFonts w:ascii="Times New Roman" w:hAnsi="Times New Roman"/>
                <w:color w:val="000000"/>
              </w:rPr>
            </w:pPr>
          </w:p>
        </w:tc>
        <w:tc>
          <w:tcPr>
            <w:tcW w:w="2566" w:type="dxa"/>
            <w:shd w:val="clear" w:color="auto" w:fill="auto"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太湖丘陵区（P=90%）</w:t>
            </w:r>
          </w:p>
        </w:tc>
        <w:tc>
          <w:tcPr>
            <w:tcW w:w="1368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</w:rPr>
              <w:t>/hm</w:t>
            </w:r>
            <w:r>
              <w:rPr>
                <w:rFonts w:ascii="Times New Roman" w:hAnsi="Times New Roman"/>
                <w:color w:val="000000"/>
                <w:vertAlign w:val="superscript"/>
              </w:rPr>
              <w:t>2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通用值</w:t>
            </w:r>
          </w:p>
        </w:tc>
        <w:tc>
          <w:tcPr>
            <w:tcW w:w="1195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975</w:t>
            </w:r>
          </w:p>
        </w:tc>
        <w:tc>
          <w:tcPr>
            <w:tcW w:w="854" w:type="dxa"/>
            <w:shd w:val="clear" w:color="auto" w:fill="auto"/>
            <w:noWrap/>
            <w:vAlign w:val="center"/>
          </w:tcPr>
          <w:p>
            <w:pPr>
              <w:widowControl/>
              <w:adjustRightInd w:val="0"/>
              <w:snapToGrid w:val="0"/>
              <w:spacing w:line="300" w:lineRule="exact"/>
              <w:jc w:val="center"/>
              <w:rPr>
                <w:rFonts w:ascii="Times New Roman" w:hAnsi="Times New Roman"/>
                <w:color w:val="000000"/>
              </w:rPr>
            </w:pPr>
            <w:r>
              <w:rPr>
                <w:rFonts w:ascii="Times New Roman" w:hAnsi="Times New Roman"/>
                <w:color w:val="000000"/>
              </w:rPr>
              <w:t>　</w:t>
            </w:r>
          </w:p>
        </w:tc>
      </w:tr>
    </w:tbl>
    <w:p>
      <w:pPr>
        <w:rPr>
          <w:rFonts w:ascii="Times New Roman" w:hAnsi="Times New Roman"/>
        </w:rPr>
        <w:sectPr>
          <w:pgSz w:w="16840" w:h="11910" w:orient="landscape"/>
          <w:pgMar w:top="1260" w:right="1360" w:bottom="1198" w:left="1340" w:header="0" w:footer="1157" w:gutter="0"/>
          <w:cols w:space="720" w:num="1"/>
          <w:docGrid w:linePitch="299" w:charSpace="0"/>
        </w:sectPr>
      </w:pPr>
    </w:p>
    <w:p>
      <w:pPr>
        <w:pStyle w:val="3"/>
        <w:spacing w:after="120"/>
        <w:rPr>
          <w:rFonts w:ascii="Times New Roman" w:hAnsi="Times New Roman" w:eastAsia="仿宋_GB2312" w:cs="Times New Roman"/>
          <w:b/>
          <w:bCs w:val="0"/>
          <w:sz w:val="32"/>
          <w:lang w:eastAsia="zh-CN"/>
        </w:rPr>
      </w:pPr>
      <w:bookmarkStart w:id="2" w:name="_Toc90739439"/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2. 常州市林牧渔业用水定额（2021年修订）</w:t>
      </w:r>
      <w:bookmarkEnd w:id="2"/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93"/>
        <w:gridCol w:w="1247"/>
        <w:gridCol w:w="1067"/>
        <w:gridCol w:w="1038"/>
        <w:gridCol w:w="1067"/>
        <w:gridCol w:w="1321"/>
        <w:gridCol w:w="1038"/>
        <w:gridCol w:w="822"/>
        <w:gridCol w:w="771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1375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分类代码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产品名称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单位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分级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定额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015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水果种植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0151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仁果类和核果类水果种植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仁、核果树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016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坚果、含油果、香料和饮料作物种植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0161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坚果种植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银杏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021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林木育种和育苗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0164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茶叶种植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茶叶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0212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林木育苗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苗木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77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771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031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牲畜饲养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0311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牛的饲养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奶牛</w:t>
            </w:r>
          </w:p>
        </w:tc>
        <w:tc>
          <w:tcPr>
            <w:tcW w:w="1417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升/头日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7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0313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猪的饲养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生猪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升/头日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0314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羊的饲养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羊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升/头日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032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家禽饲养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0321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鸡的饲养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鸡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升/只日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0322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鸭的饲养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鸭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升/只日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0323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鹅的饲养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鹅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升/只日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041</w:t>
            </w:r>
          </w:p>
        </w:tc>
        <w:tc>
          <w:tcPr>
            <w:tcW w:w="1375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水产养殖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0412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内陆养殖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四大家鱼（青鱼、草鱼、鲢鱼、鳙鱼）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立方米/亩·年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鲫鱼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立方米/亩·年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1000</w:t>
            </w:r>
          </w:p>
        </w:tc>
        <w:tc>
          <w:tcPr>
            <w:tcW w:w="77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青虾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立方米/亩·年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1232</w:t>
            </w:r>
          </w:p>
        </w:tc>
        <w:tc>
          <w:tcPr>
            <w:tcW w:w="771" w:type="dxa"/>
            <w:shd w:val="clear" w:color="auto" w:fill="auto"/>
            <w:noWrap/>
            <w:vAlign w:val="bottom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718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375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vAlign w:val="center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大闸蟹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立方米/亩·年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51" w:type="dxa"/>
            <w:shd w:val="clear" w:color="auto" w:fill="auto"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1504</w:t>
            </w:r>
          </w:p>
        </w:tc>
        <w:tc>
          <w:tcPr>
            <w:tcW w:w="771" w:type="dxa"/>
            <w:shd w:val="clear" w:color="auto" w:fill="auto"/>
            <w:noWrap/>
            <w:vAlign w:val="bottom"/>
          </w:tcPr>
          <w:p>
            <w:pPr>
              <w:widowControl/>
              <w:spacing w:line="320" w:lineRule="exact"/>
              <w:rPr>
                <w:rFonts w:ascii="Times New Roman" w:hAnsi="Times New Roman"/>
                <w:color w:val="000000"/>
              </w:rPr>
            </w:pPr>
          </w:p>
        </w:tc>
      </w:tr>
    </w:tbl>
    <w:p>
      <w:pPr>
        <w:widowControl/>
        <w:rPr>
          <w:rFonts w:ascii="Times New Roman" w:hAnsi="Times New Roman" w:eastAsia="宋体" w:cs="Times New Roman"/>
          <w:b/>
          <w:kern w:val="0"/>
          <w:sz w:val="30"/>
          <w:szCs w:val="32"/>
        </w:rPr>
      </w:pPr>
      <w:bookmarkStart w:id="3" w:name="_Toc90739440"/>
      <w:r>
        <w:rPr>
          <w:rFonts w:ascii="Times New Roman" w:hAnsi="Times New Roman" w:cs="Times New Roman"/>
          <w:b/>
          <w:bCs/>
        </w:rPr>
        <w:br w:type="page"/>
      </w:r>
    </w:p>
    <w:p>
      <w:pPr>
        <w:pStyle w:val="3"/>
        <w:spacing w:after="120"/>
        <w:rPr>
          <w:rFonts w:ascii="Times New Roman" w:hAnsi="Times New Roman" w:eastAsia="仿宋_GB2312" w:cs="Times New Roman"/>
          <w:b/>
          <w:bCs w:val="0"/>
          <w:sz w:val="32"/>
          <w:lang w:eastAsia="zh-CN"/>
        </w:rPr>
      </w:pPr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3.</w:t>
      </w:r>
      <w:r>
        <w:rPr>
          <w:rFonts w:hint="eastAsia" w:ascii="Times New Roman" w:hAnsi="Times New Roman" w:eastAsia="仿宋_GB2312" w:cs="Times New Roman"/>
          <w:b/>
          <w:bCs w:val="0"/>
          <w:sz w:val="32"/>
          <w:lang w:eastAsia="zh-CN"/>
        </w:rPr>
        <w:t xml:space="preserve"> </w:t>
      </w:r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常州市工业用水定额（2021年修订）</w:t>
      </w:r>
      <w:bookmarkEnd w:id="3"/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9"/>
        <w:gridCol w:w="1029"/>
        <w:gridCol w:w="636"/>
        <w:gridCol w:w="1424"/>
        <w:gridCol w:w="1411"/>
        <w:gridCol w:w="1144"/>
        <w:gridCol w:w="766"/>
        <w:gridCol w:w="716"/>
        <w:gridCol w:w="129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名称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代码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名称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产品</w:t>
            </w:r>
          </w:p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名称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单位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定额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土砂石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开采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1019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粘土及其他土砂石开采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采盐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采盐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井盐采盐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谷物磨制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稻谷加工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大米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小麦加工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面粉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饲料加工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1329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其他饲料加工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饲料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植物油加工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食用植物油加工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食用植物油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制糖业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制糖业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食糖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甘蔗糖厂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甜菜糖厂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炼糖厂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屠宰及肉类加工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牲畜屠宰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生猪屠宰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m³/头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1352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禽类屠宰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禽类屠宰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1353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肉制品及副产品加工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肉制品加工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蔬菜、菌类、水果和坚果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1371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蔬菜加工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冷冻蔬菜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脱水蔬菜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1373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水果和坚果加工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坚果加工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139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其他农副食品加工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1391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淀粉及淀粉制品制造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淀粉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粉丝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结晶葡萄糖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葡萄糖浆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结晶麦芽糖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麦芽糖浆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F55果葡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糖浆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F42果葡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糖浆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1392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豆制品制造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豆制品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焙烤食品制造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糕点、面包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糕点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1419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饼干及其他焙烤食品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饼干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1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142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糖果、巧克力及蜜饯制造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1421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糖果、巧克力制造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糖果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方便食品制造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1431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米、面制品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挂面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1432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速冻食品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速冻食品制造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1433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方便面制造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方便面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1439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其他方便食品制造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其他方便食品制造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乳制品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1441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液体乳制造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酸牛奶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鲜奶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1442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乳粉制造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奶粉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罐头食品制造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肉、禽类罐头制造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肉、禽类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罐头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1453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蔬菜、水果罐头制造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蔬菜、水果罐头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1459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其他罐头食品制造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其他罐头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食品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调味品、发酵制品制造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味精制造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味精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1462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酱油、食醋及类似制品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酱油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醋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149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其他食品制造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1493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冷冻饮品及食用冰制造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冷饮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1494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盐加工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食用盐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1499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其他未列明食品制造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酵母制品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酵母衍生制品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酒的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酒精制造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无水乙醇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pacing w:val="-4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4"/>
                <w:szCs w:val="21"/>
              </w:rPr>
              <w:t>原料为谷类（以薯类为原料时，用水定额系数为1.1；以糖蜜为原料时，用水定额系数为1.2）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 w:themeColor="text1"/>
                <w:spacing w:val="-6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pacing w:val="-6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pacing w:val="-6"/>
                <w:szCs w:val="21"/>
              </w:rPr>
              <w:t>普通级食用酒精及工业酒精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优级食用酒精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特级食用酒精及中性酒精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白酒制造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原酒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原料为粮谷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成品酒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原酒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采用大曲酱香工艺生产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51.6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成品酒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啤酒制造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啤酒制造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啤酒是指以麦芽、水为主要原料，加啤酒花（包括啤酒花制品），经酵母发酵酿制而成的、含二氧化碳并可形成泡沫的发酵酒</w:t>
            </w:r>
          </w:p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（包括无醇啤酒）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8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1514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黄酒制造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黄酒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m³/kL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酿造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灌装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饮料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碳酸饮料制造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碳酸饮料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瓶（罐）装饮用水制造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纯净水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矿泉水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果菜汁及果菜汁饮料制造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果蔬汁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浓缩果汁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含乳饮料和植物蛋白饮料制造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植物蛋白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饮料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6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复合蛋白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饮料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含乳饮料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咖啡饮料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奶茶饮料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固体饮料制造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速溶茶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1529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茶饮料及其他饮料制造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茶饮料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卷烟制造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卷烟制造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卷烟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棉纺织及印染精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棉纺纱加工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棉麻化纤及混纺纱线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棉织造加工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棉麻化纤及混纺机织物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棉印染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精加工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棉及棉混纺机织物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棉纺织及印染精加工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棉印染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精加工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棉及棉混纺纱线、针织物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苎麻精干麻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漂白布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色织布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印花布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印染帆布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脱脂纱布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色织布大整理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毛纺织和染整精加工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毛条和毛纱线加工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洗净毛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原毛-洗净毛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炭化毛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洗净毛-炭</w:t>
            </w:r>
          </w:p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色毛条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白毛条-色</w:t>
            </w:r>
          </w:p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色毛及其他纤维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洗净毛-色毛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色纱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白纱-色纱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毛织造加工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毛纱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毛针织品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45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整理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70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羊绒制品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300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hint="eastAsia"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原绒-羊绒</w:t>
            </w:r>
          </w:p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制品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330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360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精梳毛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1）白毛条-精梳毛织物；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2）精梳毛织物标准品重量为30.0kg/100m时取水量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1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粗梳毛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1）洗净毛-粗梳毛织物；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2）粗梳毛织物标准品重量为60.0kg/100m时取水量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8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毛纺织和染整精加工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毛织造加工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花色线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染线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1723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毛染整精加工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毛纱染整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麻纺织及染整精加工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麻纤维纺前加工和纺纱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精干麻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打成麻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1732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麻织造加工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麻纱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麻纤维— 干纺—麻纱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麻纤维— 湿纺—麻纱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麻机织坯布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1733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麻染整精加工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麻针织物及纱线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麻机织物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丝绢纺织及印染精加工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1742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绢纺和丝织加工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真丝绸机织物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真丝绸针织物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化纤织造及印染精加工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化纤织造加工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涤纶长丝织物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绵纶长丝织物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人造丝织物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化纤织物染整精加工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化纤机织物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化纤纱、针织物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针织或钩针编织物及其制品制造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针织或钩针编织物织造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针织布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针织服装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495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针织内衣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m³/件纱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棉内衣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m³/件纱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化纤内衣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m³/件纱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羊毛衫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涤纶化纤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1763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针织或钩针编织品制造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丝织品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袜子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家用纺织制成品制造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1771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床上用品制造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阔幅床单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棉毯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1772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毛巾类制品制造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毛巾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1773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窗帘、布艺类产品制造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窗帘、布艺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窗帘、布艺织造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1779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其他家用纺织制成品制造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丝光棉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丝光棉线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丝光棉布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178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产业用纺织制成品制造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1781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非织造布制造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水刺无纺布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针刺无纺布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m³/100m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1789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其他产业用纺织制成品制造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医用纱布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机织服装制造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机织服装制造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梭织服装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pacing w:val="-8"/>
                <w:szCs w:val="21"/>
              </w:rPr>
            </w:pPr>
            <w:r>
              <w:rPr>
                <w:rFonts w:ascii="Times New Roman" w:hAnsi="Times New Roman"/>
                <w:color w:val="000000"/>
                <w:spacing w:val="-8"/>
                <w:szCs w:val="21"/>
              </w:rPr>
              <w:t>针织或钩针编织服装制造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针织或钩针编织服装制造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针织服装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服装制造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服装制造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衬衫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皮革制品制造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皮箱、包（袋）制造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箱包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194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ind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羽毛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（</w:t>
            </w:r>
            <w:r>
              <w:rPr>
                <w:rFonts w:ascii="Times New Roman" w:hAnsi="Times New Roman"/>
                <w:color w:val="000000"/>
                <w:szCs w:val="21"/>
              </w:rPr>
              <w:t>绒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）</w:t>
            </w:r>
            <w:r>
              <w:rPr>
                <w:rFonts w:ascii="Times New Roman" w:hAnsi="Times New Roman"/>
                <w:color w:val="000000"/>
                <w:szCs w:val="21"/>
              </w:rPr>
              <w:t>加工及制品制造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1942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羽毛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（</w:t>
            </w:r>
            <w:r>
              <w:rPr>
                <w:rFonts w:ascii="Times New Roman" w:hAnsi="Times New Roman"/>
                <w:color w:val="000000"/>
                <w:szCs w:val="21"/>
              </w:rPr>
              <w:t>绒</w:t>
            </w:r>
            <w:r>
              <w:rPr>
                <w:rFonts w:hint="eastAsia" w:ascii="Times New Roman" w:hAnsi="Times New Roman"/>
                <w:color w:val="000000"/>
                <w:szCs w:val="21"/>
              </w:rPr>
              <w:t>）</w:t>
            </w:r>
            <w:r>
              <w:rPr>
                <w:rFonts w:ascii="Times New Roman" w:hAnsi="Times New Roman"/>
                <w:color w:val="000000"/>
                <w:szCs w:val="21"/>
              </w:rPr>
              <w:t>制品加工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羽绒服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制鞋业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1952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皮鞋制造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皮鞋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1954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橡胶鞋制造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布胶鞋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全胶鞋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人造板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胶合板制造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胶合板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纤维板制造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纤维板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2023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刨花板制造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刨花板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木质制品制造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2034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木地板制造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复合木地板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实木地板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木质家具制造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木质家具制造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木质家具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竹、藤家具制造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竹、藤家具</w:t>
            </w:r>
          </w:p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竹、藤家具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金属家具制造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金属家具制造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金属家具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塑料家具制造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塑料家具制造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塑料家具制造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木竹浆制造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漂白硫酸盐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本色硫酸盐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木浆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漂白化学非木（麦草、芦苇、甘蔗渣）浆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化学机械木浆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非木竹浆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脱墨废纸浆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未脱墨废纸浆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m³/Adt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纸浆计量单位为吨干风浆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造纸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机制纸及纸板制造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新闻纸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印刷书写纸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生活用纸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白纸板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箱纸板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涂布纸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瓦楞原纸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2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223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纸制品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2231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纸和纸板容器的制造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纸箱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印刷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书、报刊印刷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报刊印刷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书印刷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m³/万册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记录媒介复制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记录媒介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复制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光盘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m³/万张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文教办公用品制造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文具制造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文件夹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笔的制造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铅笔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毛笔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蜡笔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精炼石油产品的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原油加工及石油制品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原（料）油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油品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煤炭加工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2523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煤制液体燃料生产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煤液化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煤间接液化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煤直接液化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煤制甲醇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煤制甲醇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煤制乙二醇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煤制乙二醇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合成气制乙二醇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基础化学原料制造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无机酸制造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硫酸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硫磺制酸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盐酸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浓硝酸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稀硝酸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湿法磷酸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二水物法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半水物法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柠檬酸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基础化学原料制造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无机碱制造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轻质纯碱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联碱法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氨碱法（使用海水）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氨碱法（不用海水）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重质纯碱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联碱法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氨碱法（使用海水）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12.8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氨碱法（不用海水）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 w:themeColor="text1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无机碱制造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烧碱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30%离子膜法烧碱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45%离子膜法烧碱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98%离子膜法烧碱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无机盐制造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二氧化硅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三氯氢硅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次氯酸钠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无水硫酸钠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有机化学原料制造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甲萘酚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烷基苯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氯仿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苯胺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基础化学原料制造</w:t>
            </w: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甲萘胺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羟胺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硝基苯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优氯净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氯化苯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咪唑烷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顺酐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精萘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乙烯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对二甲苯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精对苯二甲酸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非海水冷却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2619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其他基础化学原料制造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赖氨酸盐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酸盐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赖氨酸硫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酸盐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氢气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氧气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液氯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肥料制造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氮肥制造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合成氨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原料为</w:t>
            </w:r>
          </w:p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天然气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原料为无烟煤块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原料为烟煤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原料为褐煤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尿素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气提法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水溶液全循环法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磷肥制造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磷肥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高浓度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低浓度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2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2624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复混肥料制造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复合肥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2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农药制造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化学农药制造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草甘膦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菊酯类农药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甲萘威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扑虱灵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丁酰氯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苄磺隆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丙草胺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涂料、油墨、颜料及类似产品制造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2641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涂料制造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水性涂料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有机颜料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2642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油墨及类似产品制造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油漆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油墨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2643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工业颜料制造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钛白粉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合成材料制造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初级形态塑料及合成树脂制造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聚苯乙烯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聚乙烯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聚氯乙烯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乙烯氧氯化法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电石法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醋酸乙烯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可发性聚苯乙烯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聚酯树脂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聚酰胺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电玉粉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DMC材料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ABS合成数值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2652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合成橡胶制造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硅橡胶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2653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合成纤维单（聚合）体制造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聚酯切片（PET）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2659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其他合成材料制造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有机硅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专用化学产品制造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化学试剂和助剂制造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纺织助剂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15 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增塑剂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7 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增白剂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20 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双氧水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 xml:space="preserve">15 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2662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专项化学用品制造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螯合剂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2669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其他专用化学用品制造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粘合剂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268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日用化学产品制造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2681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肥皂及洗涤剂制造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洗涤剂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肥皂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香皂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洗衣粉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甘油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洗发水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2682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化妆品制造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化妆品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2683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口腔清洁用品制造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牙膏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化学药品原料药制造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化学药品原料药制造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氯霉素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罗红霉素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头孢类原料药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青霉素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维生素C（化学原材料）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氨基酸原料药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洛美沙星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维生素B10（叶酸）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化学药品制剂制造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化学药品制剂制造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片剂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m³/万片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胶囊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m³/万粒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软膏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糖浆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口服液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中成药生产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中成药生产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片剂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m³/万片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冲剂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兽用药品制造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2750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兽用药品制造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防疫制药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生物药品制品制造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生物药品制造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狂犬疫苗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纤维素纤维原料及纤维制造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人造纤维（维生素纤维）</w:t>
            </w:r>
          </w:p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粘胶长丝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溶解浆-黄化、纺丝-产品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粘胶短纤维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溶解浆-黄化、纺丝-产品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合成纤维制造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锦纶纤维制造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锦纶6切片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民用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2.9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锦纶6长丝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民用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聚酯熔体或切片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PTA-PET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锦纶纤维制造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熔体纺长丝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熔体-长丝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切片纺长丝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切片-长丝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 xml:space="preserve"> *2</w:t>
            </w:r>
            <w:r>
              <w:rPr>
                <w:rFonts w:ascii="Times New Roman" w:hAnsi="Times New Roman"/>
                <w:color w:val="000000"/>
                <w:szCs w:val="21"/>
              </w:rPr>
              <w:t>工业长丝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熔体或切片-工业长丝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短纤维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熔体或切片-短纤维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hint="eastAsia" w:ascii="Times New Roman" w:hAnsi="Times New Roman"/>
                <w:color w:val="000000"/>
                <w:szCs w:val="21"/>
              </w:rPr>
              <w:t>282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合成纤维制造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涤纶纤维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再生涤纶聚酯（PET）泡料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清洗、造粒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再生涤纶聚酯（PET）瓶片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破碎、材质分选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再生涤纶POY长丝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干燥、纺丝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再生涤纶FDY长丝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再生涤纶短纤维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干燥、纺丝、后加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腈纶纤维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腈纶纤维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维纶纤维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聚乙烯醇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高强高模聚乙烯醇纤维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水溶性聚乙烯醇纤维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丙纶纤维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丙纶纤维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2826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氨纶纤维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氨纶丝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橡胶</w:t>
            </w:r>
          </w:p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制品业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轮胎制造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轮内胎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汽车轮胎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力车胎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橡胶板、管、带制造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输送带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胶管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m³/千米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7" w:hRule="atLeast"/>
          <w:jc w:val="center"/>
        </w:trPr>
        <w:tc>
          <w:tcPr>
            <w:tcW w:w="639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291</w:t>
            </w:r>
          </w:p>
        </w:tc>
        <w:tc>
          <w:tcPr>
            <w:tcW w:w="1029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橡胶</w:t>
            </w:r>
          </w:p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制品业</w:t>
            </w:r>
          </w:p>
        </w:tc>
        <w:tc>
          <w:tcPr>
            <w:tcW w:w="63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2915</w:t>
            </w:r>
          </w:p>
        </w:tc>
        <w:tc>
          <w:tcPr>
            <w:tcW w:w="1424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日用及医用橡胶制品制造</w:t>
            </w:r>
          </w:p>
        </w:tc>
        <w:tc>
          <w:tcPr>
            <w:tcW w:w="1411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乳胶手套</w:t>
            </w:r>
          </w:p>
        </w:tc>
        <w:tc>
          <w:tcPr>
            <w:tcW w:w="1144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m³/万双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制品业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塑料薄膜制造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薄膜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共挤流延膜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镀铝膜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PE吹膜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PP工膜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OPE扭法膜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微膜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塑料板、管、型材的制造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ABS板材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共挤板材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BOPS片版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硬板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4㎜铝塑板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3㎜铝塑板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6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塑料丝、绳及编织品的制造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塑料编丝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泡沫塑料制造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泡沫塑料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塑料人造革、合成革制造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人造革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干法及干法复合生产工艺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压延、流延、涂覆等复合工艺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湿法工艺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ind w:right="-113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2927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日用塑料制品制造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2929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塑料零件及其他塑料制品制造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汽车仪表台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汽车塑件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水泥、石灰和石膏的制造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水泥制造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水泥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0.195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适用于采用新型干法工艺的现有水泥熟料和水泥产品（不含水泥粉磨站）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水泥熟料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石灰和石膏制造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石灰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石膏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水泥及石膏制品制造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水泥制品制造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商品混凝土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预拌混凝土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纤维增强水泥板/硅钙板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混凝土桩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混凝土电杆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混凝土输水管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预制构件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砖瓦、石材等建筑材料制造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粘土砖瓦及建筑砌块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电杆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m³/根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红标砖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m³/万块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304　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玻璃制造　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3041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平板玻璃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浮法玻璃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m³/重箱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普通玻璃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m³/重箱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3042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特种玻璃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光伏玻璃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技术玻璃制品制造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幕墙玻璃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钢化玻璃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玻璃仪器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药用玻管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日用玻璃制品制造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日用玻璃制品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玻璃包装仪器制造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器皿玻璃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3056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玻璃保温容器制造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保温瓶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玻璃纤维和玻璃纤维增强塑料制品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玻璃纤维及制品制造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针织复合毡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玻璃纤维土工栅格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m³/万㎡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玻纤纱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3062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玻璃纤维增强塑料制品制造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玻璃纤维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陶瓷制品制造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3071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建筑陶瓷制品制造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陶瓷砖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3072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卫生陶瓷制品制造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*5</w:t>
            </w:r>
            <w:r>
              <w:rPr>
                <w:rFonts w:ascii="Times New Roman" w:hAnsi="Times New Roman"/>
                <w:color w:val="000000"/>
                <w:szCs w:val="21"/>
              </w:rPr>
              <w:t>卫生陶瓷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3073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特种陶瓷制品制造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工业陶瓷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308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耐火材料制品制造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3081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石棉制品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3089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耐火陶瓷制品及其他耐火材料制造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耐火器材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309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石墨及其他非金属矿物制品制造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3091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石墨及碳素制品制造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石墨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3099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其他非金属矿物制品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石英砂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炼铁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炼铁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生铁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烧结矿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球团矿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炼钢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炼钢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电炉钢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转炉钢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粗钢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含焦化生产、含冷轧生产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含焦化生产、不含冷轧生产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不含焦化生产、含冷轧生产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不含焦化生产、不含冷轧生产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烧结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球团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钢压延加工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钢压延加工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 w:themeColor="text1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 w:themeColor="text1"/>
                <w:szCs w:val="21"/>
              </w:rPr>
              <w:t>棒材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线材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型钢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0.29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中厚板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热轧板带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镀锌铁塔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冷轧板带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无缝钢管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铁合金</w:t>
            </w:r>
          </w:p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冶炼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3140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铁合金冶炼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铁合金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常用有色金属冶炼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铜冶炼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阴极铜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铜精矿制阴极铜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含铜二次资源制阴极铜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3212</w:t>
            </w:r>
          </w:p>
        </w:tc>
        <w:tc>
          <w:tcPr>
            <w:tcW w:w="1424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铅锌冶炼</w:t>
            </w:r>
          </w:p>
        </w:tc>
        <w:tc>
          <w:tcPr>
            <w:tcW w:w="1411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粗铅</w:t>
            </w:r>
          </w:p>
        </w:tc>
        <w:tc>
          <w:tcPr>
            <w:tcW w:w="1144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铅精矿制粗铅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电解铅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铅精矿制电解铅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拜耳法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烧结法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4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常用有色金属冶炼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3216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铝冶炼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氧化铝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联结法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电解原铝液</w:t>
            </w:r>
          </w:p>
        </w:tc>
        <w:tc>
          <w:tcPr>
            <w:tcW w:w="1144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tcBorders>
              <w:bottom w:val="single" w:color="auto" w:sz="6" w:space="0"/>
            </w:tcBorders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重熔用铝锭</w:t>
            </w:r>
          </w:p>
        </w:tc>
        <w:tc>
          <w:tcPr>
            <w:tcW w:w="1144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299" w:type="dxa"/>
            <w:vMerge w:val="restart"/>
            <w:tcBorders>
              <w:bottom w:val="single" w:color="auto" w:sz="6" w:space="0"/>
            </w:tcBorders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稀有稀土金属冶炼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3232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稀土金属冶炼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稀土矿冶炼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 /t-REO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产品纯度≥99%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产品种类≥10种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1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产品纯度≥99%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5种≤产品种类＜10种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1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324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有色金属合金业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3240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有色金属合金业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铝合金型材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有色金属压延加工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铜压延加工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铜型材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3252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铝压延加工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铝型材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铝制件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结构性金属制品</w:t>
            </w:r>
          </w:p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金属结构制造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钢结构件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压力钢管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金属门窗制造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铝合金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金属工具制造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3321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切削工具制造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刃具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3322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手工具制造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锤具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集装箱及金属包装容器制造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3331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集装箱制造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罐式集装箱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3332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金属压力容器制造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400升钢瓶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3333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金属包装容器及材料制造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>
              <w:rPr>
                <w:rFonts w:ascii="Times New Roman" w:hAnsi="Times New Roman"/>
                <w:b/>
                <w:bCs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金属丝绳及其制品的制造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金属丝绳及其制品的制造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钢丝绳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钢丝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钢帘线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硅晶片切割线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建筑、安全用金属制品制造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建筑、家具用金属配件制造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彩钢板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金属表面处理及热处理加工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3360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金属表面处理及热处理加工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金属配件电镀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339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铸造及其他金属制品制造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3391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黑色金属铸造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铸铁件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铸钢件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3393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锻件及粉末冶金制品制造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锻件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3394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交通及公共管理用金属标牌制造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标牌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3399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其他未列明的金属制品制造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焊条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锅炉及原动设备制造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锅炉及辅助设备制造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锅炉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m³/蒸吨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内燃机及配件制造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柴油机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金属加工制造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3421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金属切削机床制造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机床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金属成形机床制造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锻压设备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3424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金属切割及焊接设备制造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焊接管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焊管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物料搬运设备制造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轻小型起重设备制造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千斤顶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3432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起重机制造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装载机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起重机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3433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生产专用车辆制造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挖掘机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3435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电梯、自动扶梯及升降机制造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电梯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泵、阀门、压缩机及类似机械的制造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3441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泵及真空设备制造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水泵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真空泵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3442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气体压缩机械制造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空压机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3443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阀门和旋塞的制造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阀门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3444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液压动力机械及元件制造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液压机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8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轴承、齿轮和传动部件制造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3451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滚动轴承制造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轴承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m³/万套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6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3452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滑动轴承制造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回转支承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3453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齿轮及齿轮减、变速箱制造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齿轮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减速机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7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346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烘炉、风机、包装等设备制造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3465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风动和电动工具制造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电动工具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m³/千台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35.21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348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通用零部件制造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3484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机械零部件加工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标准件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3489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其他通用零部件制造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锻件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铸件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铸铁件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蒸压釜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m³/标准台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采矿、冶金、建筑专用设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备制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3514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建筑工程用机械制造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压路机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混凝土机械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平地机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冶金专业设备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化工、木材、非金属加工专用设备制造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3523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塑料加工专用设备制造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注塑机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355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纺织、服装和皮革工业专用设备制造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3551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纺织专用设备制造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纺纱机、织布机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农、林、牧、渔、专用机械制造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3571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拖拉机制造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拖拉机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5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358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医疗仪器设备及其器械制造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3584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医疗外科及兽医器械制造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手术器械制造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汽车整车制造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汽柴油车整车制造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客车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轿车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载货汽车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道路抢修车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底盘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新能源车整车制造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新能源汽车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3615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汽车零部件及配套制造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汽车配套管件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m³/百根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防震橡胶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3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铁路运输设备制造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3711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铁路机车车辆及动车组制造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内燃机车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工矿有轨专用车辆制造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工矿电机车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矿车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3715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铁路机车车辆配件织造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机车配件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3716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铁路专用设备及器材、配件制造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弹条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道岔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m³/组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船舶及相关装置制造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金属船舶制造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*1</w:t>
            </w:r>
            <w:r>
              <w:rPr>
                <w:rFonts w:ascii="Times New Roman" w:hAnsi="Times New Roman"/>
                <w:color w:val="000000"/>
                <w:szCs w:val="21"/>
              </w:rPr>
              <w:t>金属船舶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</w:t>
            </w:r>
          </w:p>
          <w:p>
            <w:pPr>
              <w:widowControl/>
              <w:spacing w:line="26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（载重吨）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摩托车制造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3751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摩托车整车制造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摩托车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376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自行车和残疾人座车建造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3761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自行车制造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自行车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m³/百辆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助动车制造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3770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助动车制造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电动车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m³/百辆</w:t>
            </w:r>
          </w:p>
        </w:tc>
        <w:tc>
          <w:tcPr>
            <w:tcW w:w="76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1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电车制造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电动机制造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干线电机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工矿电机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工程电机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叉车电机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电动装置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2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输配电及控制设备制造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3821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变压器、整流器和电感器制造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变压器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m³/万kw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3822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电容器及其配套设备制造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电容器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3823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配电开关控制设备制造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断路器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开关系列品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m³/百件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工矿电控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m³/万元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电线、电缆、光缆及电工器材制造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3831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电线、电缆制造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电磁线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电线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通讯电缆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m³/千米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电力电缆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m³/千米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镀锡铜线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镀锡引线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合金线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3832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光纤制造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光纤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m³/千米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3833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光缆制造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m³/km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电池制造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3841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锂离子电池制造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锂离子电池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m³/万Ah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3843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铅蓄电池制造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起动型铅蓄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m³/KVA·h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动力用铅蓄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m³/KVA·h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工业用铅蓄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m³/KVA·h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3844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锌锰电池制造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糊式锌锰</w:t>
            </w:r>
          </w:p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纸板锌锰电池、碱锰电池、叠层电池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扣式碱锰电池、扣式氧化银电池、扣式锌空气电池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3849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其他电池制造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组装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m³/KVA·h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6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太阳能电池片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m³/kw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家用电力器具制造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家用制冷电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电冰箱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家用空气调节器制造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空调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家用厨房电器具制造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微波炉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3855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家用清洁卫生电器具制造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洗衣机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3857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4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家用电力器具专用配件制度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电冰箱用蒸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发器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照明器具制造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3871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电光源制造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灯泡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荧光灯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计算机制造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计算机零部件制造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显示器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大尺寸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中尺寸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小尺寸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计算机外围设备制造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摄像头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闪存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通信设备制造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3922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通信终端设备制造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移动通信持机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395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视听设备制造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3951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电视机制造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彩电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397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电子器件制造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3972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半导体分立器件制造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半导体分立功率器件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4.07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3973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集成电路制造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集成电路—8寸芯片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m³/片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3.38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398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电子元件及电子专用材料制造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3981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电阻电容电感元件制造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电子元件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3982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电子电路制造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PCB（印刷线路板）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双面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1.06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多层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3984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电声器件及零件制造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录音机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3985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电子专用材料制造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多晶硅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单晶硅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m³/万片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电子铜箔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60.26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通用仪器仪表制造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4014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实验分析仪器制造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流量计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温度计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m³/百支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专用仪器仪表制造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4023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导航、测绘、气象及海洋专用仪器制造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激光测距仪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m³/套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4027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核子及核辐射测量仪器制造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FH702型核</w:t>
            </w:r>
          </w:p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爆车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m³/辆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FJJ03型剂量仪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m³/套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4029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其他专用仪器制造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026织物强力机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m³/标台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8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电子清纱机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m³/套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403</w:t>
            </w:r>
          </w:p>
        </w:tc>
        <w:tc>
          <w:tcPr>
            <w:tcW w:w="102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钟表与计时仪器</w:t>
            </w:r>
          </w:p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4030</w:t>
            </w:r>
          </w:p>
        </w:tc>
        <w:tc>
          <w:tcPr>
            <w:tcW w:w="142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钟表与计时仪器制造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钟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m³/百只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404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光学仪器制造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4040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光学仪器制造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光学镜片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m³/万片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405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衡器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制造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4050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衡器制造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电子测量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仪器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称重测力传</w:t>
            </w:r>
          </w:p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感器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m³/台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411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其他制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造业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4119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其他日用杂品制造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晴雨伞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m³/万把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金属废料和碎屑加工处理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金属废料和碎屑加工处理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废钢（铁）铸造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非金属废料和碎屑加工处理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4220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非金属废料和碎屑加工处理</w:t>
            </w: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再生碳化硅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再生聚乙</w:t>
            </w:r>
          </w:p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二醇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3.9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电力生产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火力发电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火力发电循环冷却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机组容量＜300MW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1.54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1.65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2.35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火力发电直流冷却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机组容量＜300MW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0.24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6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26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电力生产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4411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火力发电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火力发电空气冷却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机组容量＜300MW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0.23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0.22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600MW级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0.27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燃气-蒸汽联合循环冷却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机组容量＜300MW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300MW级及以上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0.9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*2</w:t>
            </w:r>
            <w:r>
              <w:rPr>
                <w:rFonts w:ascii="Times New Roman" w:hAnsi="Times New Roman"/>
                <w:color w:val="000000"/>
                <w:szCs w:val="21"/>
              </w:rPr>
              <w:t>燃气-蒸汽联合直流与空气冷却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0.17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背压式机组</w:t>
            </w:r>
          </w:p>
        </w:tc>
        <w:tc>
          <w:tcPr>
            <w:tcW w:w="114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热电联产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6.7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4417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生物质能发电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m³/Mwh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Ⅰ级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垃圾焚烧发电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7.5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29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443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热力生产和供应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4430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热力生产和供应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供热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燃气生产和供应业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4512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液化石油气生产和供应业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瓶装液化气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m³/t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4513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煤气生产和供应业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煤气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34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461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自来水生产和供应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4610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自来水生产和供应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自来水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t/m³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1.02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1.08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63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462</w:t>
            </w:r>
          </w:p>
        </w:tc>
        <w:tc>
          <w:tcPr>
            <w:tcW w:w="10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污水处理及其再生利用</w:t>
            </w:r>
          </w:p>
        </w:tc>
        <w:tc>
          <w:tcPr>
            <w:tcW w:w="63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4620</w:t>
            </w:r>
          </w:p>
        </w:tc>
        <w:tc>
          <w:tcPr>
            <w:tcW w:w="142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污水处理及其再生利用</w:t>
            </w:r>
          </w:p>
        </w:tc>
        <w:tc>
          <w:tcPr>
            <w:tcW w:w="1411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污水处理</w:t>
            </w:r>
          </w:p>
        </w:tc>
        <w:tc>
          <w:tcPr>
            <w:tcW w:w="114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m³/万m³</w:t>
            </w: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Ⅱ级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3.93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  <w:jc w:val="center"/>
        </w:trPr>
        <w:tc>
          <w:tcPr>
            <w:tcW w:w="63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0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63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2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1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4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76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Ⅲ级</w:t>
            </w:r>
          </w:p>
        </w:tc>
        <w:tc>
          <w:tcPr>
            <w:tcW w:w="716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7.26</w:t>
            </w:r>
          </w:p>
        </w:tc>
        <w:tc>
          <w:tcPr>
            <w:tcW w:w="1299" w:type="dxa"/>
            <w:shd w:val="clear" w:color="auto" w:fill="auto"/>
            <w:vAlign w:val="center"/>
          </w:tcPr>
          <w:p>
            <w:pPr>
              <w:widowControl/>
              <w:spacing w:line="28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64" w:hRule="atLeast"/>
          <w:jc w:val="center"/>
        </w:trPr>
        <w:tc>
          <w:tcPr>
            <w:tcW w:w="9064" w:type="dxa"/>
            <w:gridSpan w:val="9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</w:rPr>
              <w:t>注</w:t>
            </w:r>
            <w:r>
              <w:rPr>
                <w:rFonts w:ascii="Times New Roman" w:hAnsi="Times New Roman"/>
                <w:color w:val="000000"/>
                <w:szCs w:val="21"/>
              </w:rPr>
              <w:t>：标注*1采用GB/T 18916取水定额系列标准定额；</w:t>
            </w:r>
          </w:p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标注*2采用水利部水节约〔2019〕373号文件用水定额；</w:t>
            </w:r>
          </w:p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标注*3采用水利部水节约〔2019〕9号文件用水定额；</w:t>
            </w:r>
          </w:p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标注*5采用水利部水节约〔2020〕290号文件用水定额。</w:t>
            </w:r>
          </w:p>
        </w:tc>
      </w:tr>
    </w:tbl>
    <w:p>
      <w:pPr>
        <w:spacing w:before="5"/>
        <w:ind w:left="2532"/>
        <w:rPr>
          <w:rFonts w:ascii="Times New Roman" w:hAnsi="Times New Roman" w:eastAsia="方正姚体"/>
          <w:sz w:val="30"/>
        </w:rPr>
        <w:sectPr>
          <w:pgSz w:w="11910" w:h="16840"/>
          <w:pgMar w:top="2098" w:right="1531" w:bottom="1985" w:left="1531" w:header="709" w:footer="1361" w:gutter="0"/>
          <w:cols w:space="720" w:num="1"/>
        </w:sectPr>
      </w:pPr>
    </w:p>
    <w:p>
      <w:pPr>
        <w:pStyle w:val="3"/>
        <w:spacing w:after="120"/>
        <w:rPr>
          <w:rFonts w:ascii="Times New Roman" w:hAnsi="Times New Roman" w:eastAsia="仿宋_GB2312" w:cs="Times New Roman"/>
          <w:b/>
          <w:bCs w:val="0"/>
          <w:sz w:val="32"/>
          <w:lang w:eastAsia="zh-CN"/>
        </w:rPr>
      </w:pPr>
      <w:bookmarkStart w:id="4" w:name="_Toc90739441"/>
      <w:r>
        <w:rPr>
          <w:rFonts w:ascii="Times New Roman" w:hAnsi="Times New Roman" w:eastAsia="仿宋_GB2312" w:cs="Times New Roman"/>
          <w:b/>
          <w:bCs w:val="0"/>
          <w:sz w:val="32"/>
          <w:lang w:eastAsia="zh-CN"/>
        </w:rPr>
        <w:t>4. 常州市服务业和生活用水定额（2021年修订）</w:t>
      </w:r>
      <w:bookmarkEnd w:id="4"/>
    </w:p>
    <w:tbl>
      <w:tblPr>
        <w:tblStyle w:val="14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8"/>
        <w:gridCol w:w="1093"/>
        <w:gridCol w:w="1093"/>
        <w:gridCol w:w="1229"/>
        <w:gridCol w:w="1364"/>
        <w:gridCol w:w="957"/>
        <w:gridCol w:w="835"/>
        <w:gridCol w:w="140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tblHeader/>
          <w:jc w:val="center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行业代码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类别名称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分类代码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分类名称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定额单位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分级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市定额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黑体" w:hAnsi="黑体" w:eastAsia="黑体"/>
                <w:bCs/>
                <w:color w:val="000000"/>
                <w:szCs w:val="21"/>
              </w:rPr>
            </w:pPr>
            <w:r>
              <w:rPr>
                <w:rFonts w:ascii="黑体" w:hAnsi="黑体" w:eastAsia="黑体"/>
                <w:bCs/>
                <w:color w:val="000000"/>
                <w:szCs w:val="21"/>
              </w:rPr>
              <w:t>备注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910-970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公共管理、社会保障和社会组织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9100-9700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党政机关办公楼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m³/（人·a）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470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房屋建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筑业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4710-4790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建筑施工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商品砼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商品砼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现浇砼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0.8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现浇砼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砖混结构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501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建筑装饰和装修业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5013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建筑幕墙装饰和装修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0.06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建筑装饰、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装修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综合零售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商场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5212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超级市场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食品、饮料及烟草专门零售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5221-5229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集贸市场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3.6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533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铁路运输辅助活动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5331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客运火车站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不包括机车清洗用水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544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道路运输辅助活动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5449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高速公路服务区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L/（车·次）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561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航空客货运输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5611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机场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运营服务用水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611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旅游饭店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6110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四、五星级宾馆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m³/（床·a）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216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用水定额范围包括客房、餐饮、洗衣房、娱乐健身、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景观绿化、附属设备等与宾馆服务相关的用水量；有对外正餐服务的，餐饮用水量另计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57" w:right="-57"/>
              <w:jc w:val="center"/>
              <w:rPr>
                <w:rFonts w:hint="eastAsia"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三星级</w:t>
            </w:r>
          </w:p>
          <w:p>
            <w:pPr>
              <w:widowControl/>
              <w:spacing w:line="300" w:lineRule="exact"/>
              <w:ind w:left="-57" w:right="-57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宾馆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m³/（床·a）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146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256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一、二星级宾馆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3</w:t>
            </w:r>
            <w:r>
              <w:rPr>
                <w:rFonts w:ascii="Times New Roman" w:hAnsi="Times New Roman"/>
                <w:color w:val="000000"/>
                <w:szCs w:val="21"/>
              </w:rPr>
              <w:t>/（床·a）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180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无星级的宾馆、招待所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m³/（床·a）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正餐服务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6210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正餐服务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面积＞500㎡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面积≤500㎡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快餐服务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6220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快餐服务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23.6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623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饮料及冷饮服务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6231-6233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茶馆服务、咖啡馆服务和酒吧服务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3.7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9.7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629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其他餐饮业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6291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其他餐饮业服务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721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组织管理服务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7211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商贸办公写字楼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有水冷中央空调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无水冷中央空调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环境卫生管理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7820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公共厕所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道路、场地浇洒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·d）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784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绿化管理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7840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草坪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0.2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785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城市公园管理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7850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城市公园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786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游览景区管理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07861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名胜风景区管理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0.3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803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洗染服务</w:t>
            </w:r>
          </w:p>
        </w:tc>
        <w:tc>
          <w:tcPr>
            <w:tcW w:w="113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8030</w:t>
            </w: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洗染店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L/kg干衣物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804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理发及美容服务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8040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理发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美容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805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洗浴和保健养生服务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8051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洗浴服务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≤2000㎡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7.5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2000-5000㎡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5.5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2.5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＞5000㎡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4.5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809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其他居民服务业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8090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居民住宅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L/（人·d）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城市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150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农村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811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汽车、摩托车修理与维护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8111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小型车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（自动洗车）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L/（辆·次）</w:t>
            </w: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24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1）小型车指≤5座以下轿车和SUV等车型；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2）中型车指＞5座以上SUV及≤7座以下车型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33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小型车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（手工洗车）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26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中型车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（自动洗车）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28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中型车</w:t>
            </w:r>
            <w:r>
              <w:rPr>
                <w:rFonts w:ascii="Times New Roman" w:hAnsi="Times New Roman"/>
                <w:color w:val="000000"/>
                <w:szCs w:val="21"/>
              </w:rPr>
              <w:br w:type="textWrapping"/>
            </w:r>
            <w:r>
              <w:rPr>
                <w:rFonts w:ascii="Times New Roman" w:hAnsi="Times New Roman"/>
                <w:color w:val="000000"/>
                <w:szCs w:val="21"/>
              </w:rPr>
              <w:t>（手工洗车）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38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学前教育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8310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学前教育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m³/（人·a）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19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初等教育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8321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小学教育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m³/（人·a）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不包括实验用水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17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833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中等教育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8331-8335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中等教育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m³/（人·a）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14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834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高等教育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8341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*4</w:t>
            </w:r>
            <w:r>
              <w:rPr>
                <w:rFonts w:ascii="Times New Roman" w:hAnsi="Times New Roman"/>
                <w:color w:val="000000"/>
                <w:szCs w:val="21"/>
              </w:rPr>
              <w:t>高等教育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m³/（人·a）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85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841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医院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8411-8415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病房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L/（床·d）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550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三级医院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800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L/（床·d）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400</w:t>
            </w:r>
          </w:p>
        </w:tc>
        <w:tc>
          <w:tcPr>
            <w:tcW w:w="1460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一、二级医院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600</w:t>
            </w:r>
          </w:p>
        </w:tc>
        <w:tc>
          <w:tcPr>
            <w:tcW w:w="1460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门诊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36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876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电影放映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8760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电影放映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2.6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3.7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881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文艺创作与表演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8810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剧院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2.6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3.7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883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图书馆与档案馆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8831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图书馆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1.3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8832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档案馆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0.7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1.1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885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博物馆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8850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*3</w:t>
            </w:r>
            <w:r>
              <w:rPr>
                <w:rFonts w:ascii="Times New Roman" w:hAnsi="Times New Roman"/>
                <w:color w:val="000000"/>
                <w:szCs w:val="21"/>
              </w:rPr>
              <w:t>博物馆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m³/（m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·a）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1.8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2.2</w:t>
            </w:r>
          </w:p>
        </w:tc>
        <w:tc>
          <w:tcPr>
            <w:tcW w:w="1460" w:type="dxa"/>
            <w:shd w:val="clear" w:color="auto" w:fill="auto"/>
            <w:noWrap/>
            <w:vAlign w:val="bottom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892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体育场地设施管理</w:t>
            </w:r>
          </w:p>
        </w:tc>
        <w:tc>
          <w:tcPr>
            <w:tcW w:w="1134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8921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游泳池补水及其他杂用水（室内）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L/m³·d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60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ind w:left="-113" w:right="-113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游泳池补水及其他杂用水（室外）</w:t>
            </w: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110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*6</w:t>
            </w:r>
            <w:r>
              <w:rPr>
                <w:rFonts w:ascii="Times New Roman" w:hAnsi="Times New Roman"/>
                <w:color w:val="000000"/>
                <w:szCs w:val="21"/>
              </w:rPr>
              <w:t>淋浴</w:t>
            </w: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L/（人·次）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先进值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134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276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1418" w:type="dxa"/>
            <w:vMerge w:val="continue"/>
            <w:shd w:val="clear" w:color="auto" w:fill="auto"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  <w:color w:val="000000"/>
                <w:szCs w:val="21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40</w:t>
            </w:r>
          </w:p>
        </w:tc>
        <w:tc>
          <w:tcPr>
            <w:tcW w:w="1460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129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902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游乐园</w:t>
            </w:r>
          </w:p>
        </w:tc>
        <w:tc>
          <w:tcPr>
            <w:tcW w:w="113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9020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游乐园</w:t>
            </w:r>
          </w:p>
        </w:tc>
        <w:tc>
          <w:tcPr>
            <w:tcW w:w="1418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L/m</w:t>
            </w:r>
            <w:r>
              <w:rPr>
                <w:rFonts w:ascii="Times New Roman" w:hAnsi="Times New Roman"/>
                <w:color w:val="000000"/>
                <w:szCs w:val="21"/>
                <w:vertAlign w:val="superscript"/>
              </w:rPr>
              <w:t>2</w:t>
            </w:r>
            <w:r>
              <w:rPr>
                <w:rFonts w:ascii="Times New Roman" w:hAnsi="Times New Roman"/>
                <w:color w:val="000000"/>
                <w:szCs w:val="21"/>
              </w:rPr>
              <w:t>·d</w:t>
            </w:r>
          </w:p>
        </w:tc>
        <w:tc>
          <w:tcPr>
            <w:tcW w:w="992" w:type="dxa"/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通用值</w:t>
            </w:r>
          </w:p>
        </w:tc>
        <w:tc>
          <w:tcPr>
            <w:tcW w:w="864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25</w:t>
            </w:r>
          </w:p>
        </w:tc>
        <w:tc>
          <w:tcPr>
            <w:tcW w:w="1460" w:type="dxa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>
              <w:rPr>
                <w:rFonts w:ascii="Times New Roman" w:hAnsi="Times New Roman"/>
                <w:color w:val="000000"/>
                <w:szCs w:val="21"/>
              </w:rPr>
              <w:t>　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3" w:hRule="atLeast"/>
          <w:jc w:val="center"/>
        </w:trPr>
        <w:tc>
          <w:tcPr>
            <w:tcW w:w="9407" w:type="dxa"/>
            <w:gridSpan w:val="8"/>
            <w:shd w:val="clear" w:color="auto" w:fill="auto"/>
            <w:noWrap/>
            <w:vAlign w:val="center"/>
          </w:tcPr>
          <w:p>
            <w:pPr>
              <w:widowControl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注：标注*3采用水利部水节约〔2020〕9号文件用水定额；</w:t>
            </w:r>
          </w:p>
          <w:p>
            <w:pPr>
              <w:widowControl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标注*4采用水利部水节约</w:t>
            </w:r>
            <w:bookmarkStart w:id="5" w:name="_Hlk92812053"/>
            <w:r>
              <w:rPr>
                <w:rFonts w:ascii="Times New Roman" w:hAnsi="Times New Roman"/>
              </w:rPr>
              <w:t>〔2019〕284号</w:t>
            </w:r>
            <w:bookmarkEnd w:id="5"/>
            <w:r>
              <w:rPr>
                <w:rFonts w:ascii="Times New Roman" w:hAnsi="Times New Roman"/>
              </w:rPr>
              <w:t>文件用水定额；</w:t>
            </w:r>
          </w:p>
          <w:p>
            <w:pPr>
              <w:widowControl/>
              <w:spacing w:line="300" w:lineRule="exact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标注*6采用水利部水节约</w:t>
            </w:r>
            <w:bookmarkStart w:id="6" w:name="_Hlk92812062"/>
            <w:r>
              <w:rPr>
                <w:rFonts w:ascii="Times New Roman" w:hAnsi="Times New Roman"/>
              </w:rPr>
              <w:t>〔2021〕107号</w:t>
            </w:r>
            <w:bookmarkEnd w:id="6"/>
            <w:r>
              <w:rPr>
                <w:rFonts w:ascii="Times New Roman" w:hAnsi="Times New Roman"/>
              </w:rPr>
              <w:t>文件用水定额。</w:t>
            </w:r>
          </w:p>
        </w:tc>
      </w:tr>
    </w:tbl>
    <w:p>
      <w:pPr>
        <w:rPr>
          <w:rFonts w:ascii="Times New Roman" w:hAnsi="Times New Roman" w:eastAsia="仿宋"/>
          <w:szCs w:val="21"/>
        </w:rPr>
      </w:pPr>
    </w:p>
    <w:p>
      <w:pPr>
        <w:rPr>
          <w:rFonts w:ascii="Times New Roman" w:hAnsi="Times New Roman" w:eastAsia="方正仿宋_GBK"/>
          <w:sz w:val="32"/>
          <w:szCs w:val="32"/>
        </w:rPr>
      </w:pPr>
      <w:bookmarkStart w:id="7" w:name="_GoBack"/>
      <w:bookmarkEnd w:id="7"/>
    </w:p>
    <w:sectPr>
      <w:footerReference r:id="rId7" w:type="even"/>
      <w:pgSz w:w="11910" w:h="16840"/>
      <w:pgMar w:top="2098" w:right="1531" w:bottom="1985" w:left="1531" w:header="709" w:footer="1361" w:gutter="0"/>
      <w:cols w:space="425" w:num="1"/>
      <w:docGrid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Microsoft JhengHei">
    <w:panose1 w:val="020B0604030504040204"/>
    <w:charset w:val="88"/>
    <w:family w:val="swiss"/>
    <w:pitch w:val="default"/>
    <w:sig w:usb0="00000087" w:usb1="28AF4000" w:usb2="00000016" w:usb3="00000000" w:csb0="00100009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5246"/>
      <w:docPartObj>
        <w:docPartGallery w:val="autotext"/>
      </w:docPartObj>
    </w:sdtPr>
    <w:sdtEndPr>
      <w:rPr>
        <w:rFonts w:ascii="Times New Roman" w:hAnsi="Times New Roman" w:cs="Times New Roman"/>
      </w:rPr>
    </w:sdtEndPr>
    <w:sdtContent>
      <w:p>
        <w:pPr>
          <w:pStyle w:val="9"/>
          <w:jc w:val="center"/>
          <w:rPr>
            <w:rFonts w:ascii="Times New Roman" w:hAnsi="Times New Roman" w:cs="Times New Roman"/>
          </w:rPr>
        </w:pPr>
        <w:r>
          <w:rPr>
            <w:rFonts w:ascii="Times New Roman" w:hAnsi="Times New Roman" w:cs="Times New Roman"/>
          </w:rPr>
          <w:fldChar w:fldCharType="begin"/>
        </w:r>
        <w:r>
          <w:rPr>
            <w:rFonts w:ascii="Times New Roman" w:hAnsi="Times New Roman" w:cs="Times New Roman"/>
          </w:rPr>
          <w:instrText xml:space="preserve">PAGE   \* MERGEFORMAT</w:instrText>
        </w:r>
        <w:r>
          <w:rPr>
            <w:rFonts w:ascii="Times New Roman" w:hAnsi="Times New Roman" w:cs="Times New Roman"/>
          </w:rPr>
          <w:fldChar w:fldCharType="separate"/>
        </w:r>
        <w:r>
          <w:rPr>
            <w:rFonts w:ascii="Times New Roman" w:hAnsi="Times New Roman" w:cs="Times New Roman"/>
            <w:lang w:val="zh-CN"/>
          </w:rPr>
          <w:t>33</w:t>
        </w:r>
        <w:r>
          <w:rPr>
            <w:rFonts w:ascii="Times New Roman" w:hAnsi="Times New Roman" w:cs="Times New Roman"/>
          </w:rPr>
          <w:fldChar w:fldCharType="end"/>
        </w:r>
      </w:p>
    </w:sdtContent>
  </w:sdt>
  <w:p>
    <w:pPr>
      <w:pStyle w:val="6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spacing w:line="14" w:lineRule="auto"/>
      <w:rPr>
        <w:sz w:val="20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582921"/>
      <w:docPartObj>
        <w:docPartGallery w:val="autotext"/>
      </w:docPartObj>
    </w:sdtPr>
    <w:sdtContent>
      <w:p>
        <w:pPr>
          <w:pStyle w:val="9"/>
          <w:ind w:firstLine="180"/>
        </w:pPr>
        <w:r>
          <w:rPr>
            <w:rFonts w:hint="eastAsia" w:ascii="Times New Roman" w:hAnsi="Times New Roman" w:cs="Times New Roman"/>
            <w:sz w:val="28"/>
            <w:szCs w:val="28"/>
          </w:rPr>
          <w:t xml:space="preserve">— </w:t>
        </w:r>
        <w:r>
          <w:rPr>
            <w:rFonts w:ascii="Times New Roman" w:hAnsi="Times New Roman" w:cs="Times New Roman"/>
            <w:sz w:val="28"/>
            <w:szCs w:val="28"/>
          </w:rPr>
          <w:fldChar w:fldCharType="begin"/>
        </w:r>
        <w:r>
          <w:rPr>
            <w:rFonts w:ascii="Times New Roman" w:hAnsi="Times New Roman" w:cs="Times New Roman"/>
            <w:sz w:val="28"/>
            <w:szCs w:val="28"/>
          </w:rPr>
          <w:instrText xml:space="preserve"> PAGE   \* MERGEFORMAT </w:instrText>
        </w:r>
        <w:r>
          <w:rPr>
            <w:rFonts w:ascii="Times New Roman" w:hAnsi="Times New Roman" w:cs="Times New Roman"/>
            <w:sz w:val="28"/>
            <w:szCs w:val="28"/>
          </w:rPr>
          <w:fldChar w:fldCharType="separate"/>
        </w:r>
        <w:r>
          <w:rPr>
            <w:rFonts w:ascii="Times New Roman" w:hAnsi="Times New Roman" w:cs="Times New Roman"/>
            <w:sz w:val="28"/>
            <w:szCs w:val="28"/>
            <w:lang w:val="zh-CN"/>
          </w:rPr>
          <w:t>52</w:t>
        </w:r>
        <w:r>
          <w:rPr>
            <w:rFonts w:ascii="Times New Roman" w:hAnsi="Times New Roman" w:cs="Times New Roman"/>
            <w:sz w:val="28"/>
            <w:szCs w:val="28"/>
          </w:rPr>
          <w:fldChar w:fldCharType="end"/>
        </w:r>
        <w:r>
          <w:rPr>
            <w:rFonts w:hint="eastAsia" w:ascii="Times New Roman" w:hAnsi="Times New Roman" w:cs="Times New Roman"/>
            <w:sz w:val="28"/>
            <w:szCs w:val="28"/>
          </w:rPr>
          <w:t xml:space="preserve"> —</w: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hideSpellingErrors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NTE5OGJiZTJiNzQ2OGIyMDY2Y2Y3ZDNlOGVhNzk0OTYifQ=="/>
  </w:docVars>
  <w:rsids>
    <w:rsidRoot w:val="00732893"/>
    <w:rsid w:val="000132BB"/>
    <w:rsid w:val="00047330"/>
    <w:rsid w:val="0005374D"/>
    <w:rsid w:val="0006110A"/>
    <w:rsid w:val="0006547F"/>
    <w:rsid w:val="0006662E"/>
    <w:rsid w:val="00076311"/>
    <w:rsid w:val="000B0CA5"/>
    <w:rsid w:val="000F6EC3"/>
    <w:rsid w:val="00130789"/>
    <w:rsid w:val="001578CA"/>
    <w:rsid w:val="00174399"/>
    <w:rsid w:val="00233E6D"/>
    <w:rsid w:val="0023741A"/>
    <w:rsid w:val="002828D1"/>
    <w:rsid w:val="00283511"/>
    <w:rsid w:val="002C5F24"/>
    <w:rsid w:val="002E5218"/>
    <w:rsid w:val="00327642"/>
    <w:rsid w:val="0033162B"/>
    <w:rsid w:val="00381D81"/>
    <w:rsid w:val="003951ED"/>
    <w:rsid w:val="003B7A43"/>
    <w:rsid w:val="003B7F33"/>
    <w:rsid w:val="003C753B"/>
    <w:rsid w:val="003D1293"/>
    <w:rsid w:val="003F5174"/>
    <w:rsid w:val="00400974"/>
    <w:rsid w:val="00413446"/>
    <w:rsid w:val="00422245"/>
    <w:rsid w:val="0044763A"/>
    <w:rsid w:val="00484703"/>
    <w:rsid w:val="004B67C5"/>
    <w:rsid w:val="004E4B4A"/>
    <w:rsid w:val="004F02A1"/>
    <w:rsid w:val="004F4FCD"/>
    <w:rsid w:val="004F561C"/>
    <w:rsid w:val="00512BB1"/>
    <w:rsid w:val="00513CFA"/>
    <w:rsid w:val="00547DEF"/>
    <w:rsid w:val="005C1A5B"/>
    <w:rsid w:val="005C3A6F"/>
    <w:rsid w:val="005F310C"/>
    <w:rsid w:val="00627EBE"/>
    <w:rsid w:val="006477B3"/>
    <w:rsid w:val="00680A57"/>
    <w:rsid w:val="006855D3"/>
    <w:rsid w:val="00691B7B"/>
    <w:rsid w:val="00730E37"/>
    <w:rsid w:val="00732893"/>
    <w:rsid w:val="00753308"/>
    <w:rsid w:val="00762C66"/>
    <w:rsid w:val="00793FC0"/>
    <w:rsid w:val="007B659C"/>
    <w:rsid w:val="007C73E9"/>
    <w:rsid w:val="007E637A"/>
    <w:rsid w:val="0081068B"/>
    <w:rsid w:val="00824796"/>
    <w:rsid w:val="008515FE"/>
    <w:rsid w:val="00863A8C"/>
    <w:rsid w:val="00894DA0"/>
    <w:rsid w:val="00896139"/>
    <w:rsid w:val="008A14EA"/>
    <w:rsid w:val="008D2669"/>
    <w:rsid w:val="00975596"/>
    <w:rsid w:val="00977A9B"/>
    <w:rsid w:val="009B1EDE"/>
    <w:rsid w:val="009C173E"/>
    <w:rsid w:val="009E22B5"/>
    <w:rsid w:val="009F59C9"/>
    <w:rsid w:val="00A260A4"/>
    <w:rsid w:val="00A56198"/>
    <w:rsid w:val="00A8753B"/>
    <w:rsid w:val="00AB4434"/>
    <w:rsid w:val="00AB6E3D"/>
    <w:rsid w:val="00AC17B7"/>
    <w:rsid w:val="00AC4071"/>
    <w:rsid w:val="00B15219"/>
    <w:rsid w:val="00B36FBD"/>
    <w:rsid w:val="00BC3CEB"/>
    <w:rsid w:val="00C344E5"/>
    <w:rsid w:val="00C37DD6"/>
    <w:rsid w:val="00CB7AC6"/>
    <w:rsid w:val="00CC4DEB"/>
    <w:rsid w:val="00CE32D3"/>
    <w:rsid w:val="00D04EB6"/>
    <w:rsid w:val="00D307A1"/>
    <w:rsid w:val="00D45743"/>
    <w:rsid w:val="00D50C85"/>
    <w:rsid w:val="00D704E3"/>
    <w:rsid w:val="00D96A90"/>
    <w:rsid w:val="00DA6552"/>
    <w:rsid w:val="00DE3358"/>
    <w:rsid w:val="00DF5691"/>
    <w:rsid w:val="00E41A77"/>
    <w:rsid w:val="00E80C68"/>
    <w:rsid w:val="00E856FC"/>
    <w:rsid w:val="00E9584F"/>
    <w:rsid w:val="00EA59A0"/>
    <w:rsid w:val="00EC4845"/>
    <w:rsid w:val="00EE0128"/>
    <w:rsid w:val="00F27BD2"/>
    <w:rsid w:val="00F3601A"/>
    <w:rsid w:val="00FA0041"/>
    <w:rsid w:val="00FD1179"/>
    <w:rsid w:val="1140187E"/>
    <w:rsid w:val="1B726D8D"/>
    <w:rsid w:val="3E332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qFormat="1" w:unhideWhenUsed="0" w:uiPriority="0" w:semiHidden="0" w:name="index 8"/>
    <w:lsdException w:uiPriority="99" w:name="index 9"/>
    <w:lsdException w:uiPriority="39" w:semiHidden="0" w:name="toc 1"/>
    <w:lsdException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570" w:lineRule="exact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autoSpaceDE w:val="0"/>
      <w:autoSpaceDN w:val="0"/>
      <w:spacing w:line="240" w:lineRule="auto"/>
      <w:jc w:val="center"/>
      <w:outlineLvl w:val="0"/>
    </w:pPr>
    <w:rPr>
      <w:rFonts w:ascii="Microsoft JhengHei" w:hAnsi="Microsoft JhengHei" w:eastAsia="宋体" w:cs="Microsoft JhengHei"/>
      <w:b/>
      <w:bCs/>
      <w:kern w:val="0"/>
      <w:sz w:val="36"/>
      <w:szCs w:val="40"/>
      <w:lang w:eastAsia="en-US"/>
    </w:rPr>
  </w:style>
  <w:style w:type="paragraph" w:styleId="3">
    <w:name w:val="heading 2"/>
    <w:basedOn w:val="1"/>
    <w:next w:val="1"/>
    <w:link w:val="21"/>
    <w:unhideWhenUsed/>
    <w:qFormat/>
    <w:uiPriority w:val="9"/>
    <w:pPr>
      <w:autoSpaceDE w:val="0"/>
      <w:autoSpaceDN w:val="0"/>
      <w:spacing w:line="240" w:lineRule="auto"/>
      <w:jc w:val="center"/>
      <w:outlineLvl w:val="1"/>
    </w:pPr>
    <w:rPr>
      <w:rFonts w:ascii="Microsoft JhengHei" w:hAnsi="Microsoft JhengHei" w:eastAsia="宋体" w:cs="Microsoft JhengHei"/>
      <w:bCs/>
      <w:kern w:val="0"/>
      <w:sz w:val="30"/>
      <w:szCs w:val="32"/>
      <w:lang w:eastAsia="en-US"/>
    </w:rPr>
  </w:style>
  <w:style w:type="character" w:default="1" w:styleId="15">
    <w:name w:val="Default Paragraph Font"/>
    <w:semiHidden/>
    <w:unhideWhenUsed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index 8"/>
    <w:basedOn w:val="1"/>
    <w:next w:val="1"/>
    <w:qFormat/>
    <w:uiPriority w:val="0"/>
    <w:pPr>
      <w:spacing w:line="240" w:lineRule="auto"/>
      <w:ind w:left="1680" w:hanging="210"/>
      <w:jc w:val="left"/>
    </w:pPr>
    <w:rPr>
      <w:rFonts w:ascii="Calibri" w:hAnsi="Calibri" w:eastAsia="宋体" w:cs="Times New Roman"/>
      <w:sz w:val="20"/>
      <w:szCs w:val="20"/>
    </w:rPr>
  </w:style>
  <w:style w:type="paragraph" w:styleId="5">
    <w:name w:val="annotation text"/>
    <w:basedOn w:val="1"/>
    <w:link w:val="26"/>
    <w:semiHidden/>
    <w:unhideWhenUsed/>
    <w:uiPriority w:val="99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22"/>
      <w:lang w:eastAsia="en-US"/>
    </w:rPr>
  </w:style>
  <w:style w:type="paragraph" w:styleId="6">
    <w:name w:val="Body Text"/>
    <w:basedOn w:val="1"/>
    <w:link w:val="22"/>
    <w:qFormat/>
    <w:uiPriority w:val="1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7">
    <w:name w:val="Date"/>
    <w:basedOn w:val="1"/>
    <w:next w:val="1"/>
    <w:link w:val="17"/>
    <w:semiHidden/>
    <w:unhideWhenUsed/>
    <w:uiPriority w:val="99"/>
    <w:pPr>
      <w:ind w:left="100" w:leftChars="2500"/>
    </w:pPr>
  </w:style>
  <w:style w:type="paragraph" w:styleId="8">
    <w:name w:val="Balloon Text"/>
    <w:basedOn w:val="1"/>
    <w:link w:val="30"/>
    <w:semiHidden/>
    <w:unhideWhenUsed/>
    <w:uiPriority w:val="99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18"/>
      <w:szCs w:val="18"/>
      <w:lang w:eastAsia="en-US"/>
    </w:rPr>
  </w:style>
  <w:style w:type="paragraph" w:styleId="9">
    <w:name w:val="footer"/>
    <w:basedOn w:val="1"/>
    <w:link w:val="19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1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11">
    <w:name w:val="toc 1"/>
    <w:basedOn w:val="1"/>
    <w:next w:val="1"/>
    <w:unhideWhenUsed/>
    <w:uiPriority w:val="39"/>
    <w:pPr>
      <w:autoSpaceDE w:val="0"/>
      <w:autoSpaceDN w:val="0"/>
      <w:spacing w:line="360" w:lineRule="auto"/>
    </w:pPr>
    <w:rPr>
      <w:rFonts w:ascii="Times New Roman" w:hAnsi="Times New Roman" w:eastAsia="宋体" w:cs="宋体"/>
      <w:kern w:val="0"/>
      <w:sz w:val="24"/>
      <w:lang w:eastAsia="en-US"/>
    </w:rPr>
  </w:style>
  <w:style w:type="paragraph" w:styleId="12">
    <w:name w:val="toc 2"/>
    <w:basedOn w:val="1"/>
    <w:next w:val="1"/>
    <w:unhideWhenUsed/>
    <w:uiPriority w:val="39"/>
    <w:pPr>
      <w:autoSpaceDE w:val="0"/>
      <w:autoSpaceDN w:val="0"/>
      <w:spacing w:line="360" w:lineRule="auto"/>
      <w:ind w:left="420" w:leftChars="200"/>
    </w:pPr>
    <w:rPr>
      <w:rFonts w:ascii="Times New Roman" w:hAnsi="Times New Roman" w:eastAsia="宋体" w:cs="宋体"/>
      <w:kern w:val="0"/>
      <w:sz w:val="24"/>
      <w:lang w:eastAsia="en-US"/>
    </w:rPr>
  </w:style>
  <w:style w:type="paragraph" w:styleId="13">
    <w:name w:val="annotation subject"/>
    <w:basedOn w:val="5"/>
    <w:next w:val="5"/>
    <w:link w:val="28"/>
    <w:semiHidden/>
    <w:unhideWhenUsed/>
    <w:uiPriority w:val="99"/>
    <w:rPr>
      <w:b/>
      <w:bCs/>
    </w:rPr>
  </w:style>
  <w:style w:type="character" w:styleId="16">
    <w:name w:val="Hyperlink"/>
    <w:basedOn w:val="15"/>
    <w:unhideWhenUsed/>
    <w:uiPriority w:val="99"/>
    <w:rPr>
      <w:color w:val="0000FF" w:themeColor="hyperlink"/>
      <w:u w:val="single"/>
    </w:rPr>
  </w:style>
  <w:style w:type="character" w:customStyle="1" w:styleId="17">
    <w:name w:val="日期 Char"/>
    <w:basedOn w:val="15"/>
    <w:link w:val="7"/>
    <w:semiHidden/>
    <w:uiPriority w:val="99"/>
  </w:style>
  <w:style w:type="character" w:customStyle="1" w:styleId="18">
    <w:name w:val="页眉 Char"/>
    <w:basedOn w:val="15"/>
    <w:link w:val="10"/>
    <w:uiPriority w:val="99"/>
    <w:rPr>
      <w:sz w:val="18"/>
      <w:szCs w:val="18"/>
    </w:rPr>
  </w:style>
  <w:style w:type="character" w:customStyle="1" w:styleId="19">
    <w:name w:val="页脚 Char"/>
    <w:basedOn w:val="15"/>
    <w:link w:val="9"/>
    <w:uiPriority w:val="99"/>
    <w:rPr>
      <w:sz w:val="18"/>
      <w:szCs w:val="18"/>
    </w:rPr>
  </w:style>
  <w:style w:type="character" w:customStyle="1" w:styleId="20">
    <w:name w:val="标题 1 Char"/>
    <w:basedOn w:val="15"/>
    <w:link w:val="2"/>
    <w:uiPriority w:val="9"/>
    <w:rPr>
      <w:rFonts w:ascii="Microsoft JhengHei" w:hAnsi="Microsoft JhengHei" w:eastAsia="宋体" w:cs="Microsoft JhengHei"/>
      <w:b/>
      <w:bCs/>
      <w:kern w:val="0"/>
      <w:sz w:val="36"/>
      <w:szCs w:val="40"/>
      <w:lang w:eastAsia="en-US"/>
    </w:rPr>
  </w:style>
  <w:style w:type="character" w:customStyle="1" w:styleId="21">
    <w:name w:val="标题 2 Char"/>
    <w:basedOn w:val="15"/>
    <w:link w:val="3"/>
    <w:uiPriority w:val="9"/>
    <w:rPr>
      <w:rFonts w:ascii="Microsoft JhengHei" w:hAnsi="Microsoft JhengHei" w:eastAsia="宋体" w:cs="Microsoft JhengHei"/>
      <w:bCs/>
      <w:kern w:val="0"/>
      <w:sz w:val="30"/>
      <w:szCs w:val="32"/>
      <w:lang w:eastAsia="en-US"/>
    </w:rPr>
  </w:style>
  <w:style w:type="character" w:customStyle="1" w:styleId="22">
    <w:name w:val="正文文本 Char"/>
    <w:basedOn w:val="15"/>
    <w:link w:val="6"/>
    <w:uiPriority w:val="1"/>
    <w:rPr>
      <w:rFonts w:ascii="宋体" w:hAnsi="宋体" w:eastAsia="宋体" w:cs="宋体"/>
      <w:kern w:val="0"/>
      <w:sz w:val="32"/>
      <w:szCs w:val="32"/>
      <w:lang w:eastAsia="en-US"/>
    </w:rPr>
  </w:style>
  <w:style w:type="paragraph" w:styleId="23">
    <w:name w:val="List Paragraph"/>
    <w:basedOn w:val="1"/>
    <w:qFormat/>
    <w:uiPriority w:val="1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22"/>
      <w:lang w:eastAsia="en-US"/>
    </w:rPr>
  </w:style>
  <w:style w:type="paragraph" w:customStyle="1" w:styleId="24">
    <w:name w:val="Table Paragraph"/>
    <w:basedOn w:val="1"/>
    <w:qFormat/>
    <w:uiPriority w:val="1"/>
    <w:pPr>
      <w:autoSpaceDE w:val="0"/>
      <w:autoSpaceDN w:val="0"/>
      <w:spacing w:line="240" w:lineRule="auto"/>
      <w:jc w:val="left"/>
    </w:pPr>
    <w:rPr>
      <w:rFonts w:ascii="宋体" w:hAnsi="宋体" w:eastAsia="宋体" w:cs="宋体"/>
      <w:kern w:val="0"/>
      <w:sz w:val="22"/>
      <w:lang w:eastAsia="en-US"/>
    </w:rPr>
  </w:style>
  <w:style w:type="paragraph" w:customStyle="1" w:styleId="25">
    <w:name w:val="TOC Heading"/>
    <w:basedOn w:val="2"/>
    <w:next w:val="1"/>
    <w:unhideWhenUsed/>
    <w:qFormat/>
    <w:uiPriority w:val="39"/>
    <w:pPr>
      <w:keepNext/>
      <w:keepLines/>
      <w:widowControl/>
      <w:autoSpaceDE/>
      <w:autoSpaceDN/>
      <w:spacing w:before="240" w:line="259" w:lineRule="auto"/>
      <w:outlineLvl w:val="9"/>
    </w:pPr>
    <w:rPr>
      <w:rFonts w:asciiTheme="majorHAnsi" w:hAnsiTheme="majorHAnsi" w:eastAsiaTheme="majorEastAsia" w:cstheme="majorBidi"/>
      <w:b w:val="0"/>
      <w:bCs w:val="0"/>
      <w:color w:val="366091" w:themeColor="accent1" w:themeShade="BF"/>
      <w:sz w:val="32"/>
      <w:szCs w:val="32"/>
      <w:lang w:eastAsia="zh-CN"/>
    </w:rPr>
  </w:style>
  <w:style w:type="character" w:customStyle="1" w:styleId="26">
    <w:name w:val="批注文字 Char"/>
    <w:basedOn w:val="15"/>
    <w:link w:val="5"/>
    <w:semiHidden/>
    <w:uiPriority w:val="99"/>
    <w:rPr>
      <w:rFonts w:ascii="宋体" w:hAnsi="宋体" w:eastAsia="宋体" w:cs="宋体"/>
      <w:kern w:val="0"/>
      <w:sz w:val="22"/>
      <w:lang w:eastAsia="en-US"/>
    </w:rPr>
  </w:style>
  <w:style w:type="character" w:customStyle="1" w:styleId="27">
    <w:name w:val="批注主题 Char"/>
    <w:basedOn w:val="26"/>
    <w:link w:val="13"/>
    <w:semiHidden/>
    <w:uiPriority w:val="99"/>
    <w:rPr>
      <w:b/>
      <w:bCs/>
    </w:rPr>
  </w:style>
  <w:style w:type="character" w:customStyle="1" w:styleId="28">
    <w:name w:val="批注主题 Char1"/>
    <w:basedOn w:val="26"/>
    <w:link w:val="13"/>
    <w:semiHidden/>
    <w:uiPriority w:val="99"/>
    <w:rPr>
      <w:b/>
      <w:bCs/>
    </w:rPr>
  </w:style>
  <w:style w:type="character" w:customStyle="1" w:styleId="29">
    <w:name w:val="批注框文本 Char"/>
    <w:basedOn w:val="15"/>
    <w:link w:val="8"/>
    <w:semiHidden/>
    <w:uiPriority w:val="99"/>
    <w:rPr>
      <w:rFonts w:ascii="宋体" w:hAnsi="宋体" w:eastAsia="宋体" w:cs="宋体"/>
      <w:kern w:val="0"/>
      <w:sz w:val="18"/>
      <w:szCs w:val="18"/>
      <w:lang w:eastAsia="en-US"/>
    </w:rPr>
  </w:style>
  <w:style w:type="character" w:customStyle="1" w:styleId="30">
    <w:name w:val="批注框文本 Char1"/>
    <w:basedOn w:val="15"/>
    <w:link w:val="8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A95682B4-78FC-404C-AB32-04D2399A08D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52</Pages>
  <Words>16202</Words>
  <Characters>22352</Characters>
  <Lines>262</Lines>
  <Paragraphs>73</Paragraphs>
  <TotalTime>139</TotalTime>
  <ScaleCrop>false</ScaleCrop>
  <LinksUpToDate>false</LinksUpToDate>
  <CharactersWithSpaces>23265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2022-09-05T00:57:00Z</dcterms:created>
  <dc:creator>lenovo</dc:creator>
  <cp:lastModifiedBy>常州市水利局本级</cp:lastModifiedBy>
  <cp:lastPrinted>2022-08-11T01:06:00Z</cp:lastPrinted>
  <dcterms:modified xsi:type="dcterms:W3CDTF">2022-09-09T06:07:15Z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6C5AAB06FDB9482DA65A8005734ABF4E</vt:lpwstr>
  </property>
</Properties>
</file>