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uppressLineNumbers/>
        <w:adjustRightInd w:val="0"/>
        <w:snapToGrid w:val="0"/>
        <w:spacing w:before="0" w:after="0" w:line="500" w:lineRule="exact"/>
        <w:jc w:val="center"/>
        <w:rPr>
          <w:rFonts w:hint="eastAsia" w:ascii="方正小标宋简体" w:eastAsia="方正小标宋简体" w:hAnsiTheme="minorEastAsia"/>
          <w:bCs w:val="0"/>
          <w:kern w:val="2"/>
          <w:sz w:val="32"/>
          <w:szCs w:val="32"/>
        </w:rPr>
      </w:pPr>
      <w:r>
        <w:rPr>
          <w:rFonts w:hint="eastAsia" w:ascii="方正小标宋简体" w:eastAsia="方正小标宋简体" w:hAnsiTheme="minorEastAsia"/>
          <w:bCs w:val="0"/>
          <w:kern w:val="2"/>
          <w:sz w:val="32"/>
          <w:szCs w:val="32"/>
        </w:rPr>
        <w:t>常州市城市绿地建设规范</w:t>
      </w:r>
    </w:p>
    <w:p>
      <w:pPr>
        <w:jc w:val="center"/>
        <w:rPr>
          <w:rFonts w:hint="default" w:eastAsia="方正小标宋简体"/>
          <w:lang w:val="en-US" w:eastAsia="zh-CN"/>
        </w:rPr>
      </w:pPr>
      <w:r>
        <w:rPr>
          <w:rFonts w:hint="eastAsia" w:ascii="方正小标宋简体" w:eastAsia="方正小标宋简体" w:hAnsiTheme="minorEastAsia"/>
          <w:bCs w:val="0"/>
          <w:kern w:val="2"/>
          <w:sz w:val="32"/>
          <w:szCs w:val="32"/>
          <w:lang w:eastAsia="zh-CN"/>
        </w:rPr>
        <w:t>（</w:t>
      </w:r>
      <w:r>
        <w:rPr>
          <w:rFonts w:hint="eastAsia" w:ascii="方正小标宋简体" w:eastAsia="方正小标宋简体" w:hAnsiTheme="minorEastAsia"/>
          <w:bCs w:val="0"/>
          <w:kern w:val="2"/>
          <w:sz w:val="32"/>
          <w:szCs w:val="32"/>
          <w:lang w:val="en-US" w:eastAsia="zh-CN"/>
        </w:rPr>
        <w:t>修订稿）</w:t>
      </w:r>
    </w:p>
    <w:p>
      <w:pPr>
        <w:pStyle w:val="2"/>
        <w:suppressLineNumbers/>
        <w:adjustRightInd w:val="0"/>
        <w:snapToGrid w:val="0"/>
        <w:spacing w:before="0" w:after="0" w:line="500" w:lineRule="exact"/>
        <w:jc w:val="center"/>
        <w:rPr>
          <w:rFonts w:ascii="方正小标宋简体" w:eastAsia="方正小标宋简体" w:hAnsiTheme="minorEastAsia"/>
          <w:bCs w:val="0"/>
          <w:kern w:val="2"/>
          <w:sz w:val="32"/>
          <w:szCs w:val="32"/>
        </w:rPr>
      </w:pPr>
    </w:p>
    <w:p>
      <w:pPr>
        <w:spacing w:line="400" w:lineRule="exact"/>
        <w:rPr>
          <w:rFonts w:ascii="仿宋_GB2312" w:eastAsia="仿宋_GB2312"/>
          <w:sz w:val="28"/>
          <w:szCs w:val="28"/>
        </w:rPr>
      </w:pPr>
      <w:r>
        <w:rPr>
          <w:rFonts w:hint="eastAsia" w:ascii="仿宋_GB2312" w:eastAsia="仿宋_GB2312"/>
          <w:sz w:val="28"/>
          <w:szCs w:val="28"/>
        </w:rPr>
        <w:t>目  录</w:t>
      </w:r>
    </w:p>
    <w:p>
      <w:pPr>
        <w:suppressLineNumbers/>
        <w:adjustRightInd w:val="0"/>
        <w:snapToGrid w:val="0"/>
        <w:spacing w:line="400" w:lineRule="exact"/>
        <w:rPr>
          <w:rFonts w:ascii="仿宋_GB2312" w:eastAsia="仿宋_GB2312" w:hAnsiTheme="minorEastAsia"/>
          <w:sz w:val="28"/>
          <w:szCs w:val="28"/>
        </w:rPr>
      </w:pPr>
      <w:r>
        <w:rPr>
          <w:rFonts w:hint="eastAsia" w:ascii="仿宋_GB2312" w:eastAsia="仿宋_GB2312" w:hAnsiTheme="minorEastAsia"/>
          <w:sz w:val="28"/>
          <w:szCs w:val="28"/>
        </w:rPr>
        <w:t>一、总体要求</w:t>
      </w:r>
    </w:p>
    <w:p>
      <w:pPr>
        <w:suppressLineNumbers/>
        <w:adjustRightInd w:val="0"/>
        <w:snapToGrid w:val="0"/>
        <w:spacing w:line="400" w:lineRule="exact"/>
        <w:rPr>
          <w:rFonts w:ascii="仿宋_GB2312" w:eastAsia="仿宋_GB2312" w:hAnsiTheme="minorEastAsia"/>
          <w:sz w:val="28"/>
          <w:szCs w:val="28"/>
        </w:rPr>
      </w:pPr>
      <w:r>
        <w:rPr>
          <w:rFonts w:hint="eastAsia" w:ascii="仿宋_GB2312" w:eastAsia="仿宋_GB2312" w:hAnsiTheme="minorEastAsia"/>
          <w:sz w:val="28"/>
          <w:szCs w:val="28"/>
        </w:rPr>
        <w:t>二、城市绿地设计</w:t>
      </w:r>
    </w:p>
    <w:p>
      <w:pPr>
        <w:suppressLineNumbers/>
        <w:adjustRightInd w:val="0"/>
        <w:snapToGrid w:val="0"/>
        <w:spacing w:line="400" w:lineRule="exact"/>
        <w:rPr>
          <w:rFonts w:ascii="仿宋_GB2312" w:eastAsia="仿宋_GB2312" w:hAnsiTheme="minorEastAsia"/>
          <w:sz w:val="28"/>
          <w:szCs w:val="28"/>
        </w:rPr>
      </w:pPr>
      <w:r>
        <w:rPr>
          <w:rFonts w:hint="eastAsia" w:ascii="仿宋_GB2312" w:eastAsia="仿宋_GB2312" w:hAnsiTheme="minorEastAsia"/>
          <w:sz w:val="28"/>
          <w:szCs w:val="28"/>
        </w:rPr>
        <w:t>三、通则</w:t>
      </w:r>
    </w:p>
    <w:p>
      <w:pPr>
        <w:suppressLineNumbers/>
        <w:adjustRightInd w:val="0"/>
        <w:snapToGrid w:val="0"/>
        <w:spacing w:line="400" w:lineRule="exact"/>
        <w:rPr>
          <w:rFonts w:ascii="仿宋_GB2312" w:eastAsia="仿宋_GB2312" w:hAnsiTheme="minorEastAsia"/>
          <w:sz w:val="28"/>
          <w:szCs w:val="28"/>
        </w:rPr>
      </w:pPr>
      <w:r>
        <w:rPr>
          <w:rFonts w:hint="eastAsia" w:ascii="仿宋_GB2312" w:eastAsia="仿宋_GB2312" w:hAnsiTheme="minorEastAsia"/>
          <w:sz w:val="28"/>
          <w:szCs w:val="28"/>
        </w:rPr>
        <w:t>四、竖向设计</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五、安全防护措施</w:t>
      </w:r>
    </w:p>
    <w:p>
      <w:pPr>
        <w:suppressLineNumbers/>
        <w:adjustRightInd w:val="0"/>
        <w:snapToGrid w:val="0"/>
        <w:spacing w:line="400" w:lineRule="exact"/>
        <w:rPr>
          <w:rFonts w:ascii="仿宋_GB2312" w:eastAsia="仿宋_GB2312" w:hAnsiTheme="minorEastAsia"/>
          <w:sz w:val="28"/>
          <w:szCs w:val="28"/>
        </w:rPr>
      </w:pPr>
      <w:r>
        <w:rPr>
          <w:rFonts w:hint="eastAsia" w:ascii="仿宋_GB2312" w:eastAsia="仿宋_GB2312" w:hAnsiTheme="minorEastAsia"/>
          <w:sz w:val="28"/>
          <w:szCs w:val="28"/>
        </w:rPr>
        <w:t>六、建（构）筑物及园林小品设计</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七、水资源</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八、电气</w:t>
      </w:r>
    </w:p>
    <w:p>
      <w:pPr>
        <w:suppressLineNumbers/>
        <w:adjustRightInd w:val="0"/>
        <w:snapToGrid w:val="0"/>
        <w:spacing w:line="400" w:lineRule="exact"/>
        <w:rPr>
          <w:rFonts w:ascii="仿宋_GB2312" w:eastAsia="仿宋_GB2312" w:hAnsiTheme="minorEastAsia"/>
          <w:bCs/>
          <w:sz w:val="28"/>
          <w:szCs w:val="28"/>
        </w:rPr>
      </w:pPr>
      <w:r>
        <w:rPr>
          <w:rFonts w:hint="eastAsia" w:ascii="仿宋_GB2312" w:eastAsia="仿宋_GB2312" w:hAnsiTheme="minorEastAsia"/>
          <w:bCs/>
          <w:sz w:val="28"/>
          <w:szCs w:val="28"/>
        </w:rPr>
        <w:t>九、种植设计</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十、公园绿地</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十一、防护绿地</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十二、居住区和单位附属绿地</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十三、道路附属绿地</w:t>
      </w:r>
    </w:p>
    <w:p>
      <w:pPr>
        <w:pStyle w:val="4"/>
        <w:suppressLineNumbers/>
        <w:adjustRightInd w:val="0"/>
        <w:snapToGrid w:val="0"/>
        <w:spacing w:before="0" w:after="0" w:line="400" w:lineRule="exact"/>
        <w:rPr>
          <w:rFonts w:ascii="仿宋_GB2312" w:eastAsia="仿宋_GB2312" w:hAnsiTheme="minorEastAsia"/>
          <w:b w:val="0"/>
          <w:bCs w:val="0"/>
          <w:sz w:val="28"/>
          <w:szCs w:val="28"/>
        </w:rPr>
      </w:pPr>
      <w:r>
        <w:rPr>
          <w:rFonts w:hint="eastAsia" w:ascii="仿宋_GB2312" w:eastAsia="仿宋_GB2312" w:hAnsiTheme="minorEastAsia"/>
          <w:b w:val="0"/>
          <w:bCs w:val="0"/>
          <w:sz w:val="28"/>
          <w:szCs w:val="28"/>
        </w:rPr>
        <w:t>十四、林荫停车场</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十五、立体绿化（屋顶绿化、垂直绿化）</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十六、施工及验收规定</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十七、质保期内的管理与养护</w:t>
      </w:r>
    </w:p>
    <w:p>
      <w:pPr>
        <w:pStyle w:val="2"/>
        <w:suppressLineNumbers/>
        <w:adjustRightInd w:val="0"/>
        <w:snapToGrid w:val="0"/>
        <w:spacing w:before="0" w:after="0" w:line="400" w:lineRule="exact"/>
        <w:rPr>
          <w:rFonts w:ascii="仿宋_GB2312" w:eastAsia="仿宋_GB2312" w:hAnsiTheme="minorEastAsia"/>
          <w:bCs w:val="0"/>
          <w:kern w:val="2"/>
          <w:sz w:val="28"/>
          <w:szCs w:val="28"/>
        </w:rPr>
      </w:pPr>
      <w:r>
        <w:rPr>
          <w:rFonts w:hint="eastAsia" w:ascii="仿宋_GB2312" w:eastAsia="仿宋_GB2312" w:hAnsiTheme="minorEastAsia"/>
          <w:bCs w:val="0"/>
          <w:kern w:val="2"/>
          <w:sz w:val="28"/>
          <w:szCs w:val="28"/>
        </w:rPr>
        <w:t>十八、</w:t>
      </w:r>
      <w:r>
        <w:rPr>
          <w:rFonts w:hint="eastAsia" w:ascii="仿宋_GB2312" w:eastAsia="仿宋_GB2312" w:hAnsiTheme="minorEastAsia"/>
          <w:sz w:val="28"/>
          <w:szCs w:val="28"/>
        </w:rPr>
        <w:t>本规范用词说明</w:t>
      </w:r>
    </w:p>
    <w:p>
      <w:pPr>
        <w:suppressLineNumbers/>
        <w:adjustRightInd w:val="0"/>
        <w:snapToGrid w:val="0"/>
        <w:spacing w:line="400" w:lineRule="exact"/>
        <w:rPr>
          <w:rFonts w:ascii="仿宋_GB2312" w:eastAsia="仿宋_GB2312" w:hAnsiTheme="minorEastAsia"/>
          <w:sz w:val="28"/>
          <w:szCs w:val="28"/>
        </w:rPr>
      </w:pPr>
      <w:r>
        <w:rPr>
          <w:rFonts w:hint="eastAsia" w:ascii="仿宋_GB2312" w:eastAsia="仿宋_GB2312" w:hAnsiTheme="minorEastAsia"/>
          <w:sz w:val="28"/>
          <w:szCs w:val="28"/>
        </w:rPr>
        <w:t>附表2.1设计各阶段所需图纸</w:t>
      </w:r>
    </w:p>
    <w:p>
      <w:pPr>
        <w:suppressLineNumbers/>
        <w:adjustRightInd w:val="0"/>
        <w:snapToGrid w:val="0"/>
        <w:spacing w:line="400" w:lineRule="exact"/>
        <w:rPr>
          <w:rFonts w:ascii="仿宋_GB2312" w:eastAsia="仿宋_GB2312" w:hAnsiTheme="minorEastAsia"/>
          <w:sz w:val="28"/>
          <w:szCs w:val="28"/>
        </w:rPr>
      </w:pPr>
      <w:r>
        <w:rPr>
          <w:rFonts w:hint="eastAsia" w:ascii="仿宋_GB2312" w:eastAsia="仿宋_GB2312" w:hAnsiTheme="minorEastAsia"/>
          <w:sz w:val="28"/>
          <w:szCs w:val="28"/>
        </w:rPr>
        <w:t>附表2.2绿化方案经济技术指标表</w:t>
      </w:r>
    </w:p>
    <w:p>
      <w:pPr>
        <w:suppressLineNumbers/>
        <w:adjustRightInd w:val="0"/>
        <w:snapToGrid w:val="0"/>
        <w:spacing w:line="400" w:lineRule="exact"/>
        <w:rPr>
          <w:rFonts w:hint="eastAsia" w:ascii="仿宋_GB2312" w:eastAsia="仿宋_GB2312" w:hAnsiTheme="minorEastAsia"/>
          <w:sz w:val="28"/>
          <w:szCs w:val="28"/>
        </w:rPr>
      </w:pPr>
      <w:r>
        <w:rPr>
          <w:rFonts w:hint="eastAsia" w:ascii="仿宋_GB2312" w:eastAsia="仿宋_GB2312" w:hAnsiTheme="minorEastAsia"/>
          <w:sz w:val="28"/>
          <w:szCs w:val="28"/>
        </w:rPr>
        <w:t>附表2.3施工图植物种类数、大树数量及比例</w:t>
      </w:r>
    </w:p>
    <w:p>
      <w:pPr>
        <w:suppressLineNumbers/>
        <w:adjustRightInd w:val="0"/>
        <w:snapToGrid w:val="0"/>
        <w:spacing w:line="400" w:lineRule="exact"/>
        <w:rPr>
          <w:rFonts w:hint="default" w:ascii="仿宋_GB2312" w:eastAsia="仿宋_GB2312" w:hAnsiTheme="minorEastAsia"/>
          <w:sz w:val="28"/>
          <w:szCs w:val="28"/>
          <w:lang w:val="en-US" w:eastAsia="zh-CN"/>
        </w:rPr>
      </w:pPr>
      <w:r>
        <w:rPr>
          <w:rFonts w:hint="eastAsia" w:ascii="仿宋_GB2312" w:eastAsia="仿宋_GB2312" w:hAnsiTheme="minorEastAsia"/>
          <w:sz w:val="28"/>
          <w:szCs w:val="28"/>
          <w:lang w:val="en-US" w:eastAsia="zh-CN"/>
        </w:rPr>
        <w:t>其中，第3.15、4.1、5.2、5.3、5.4、5.5、5.6、6.2、6.8、7.1、7.2、7.3、8.5、8.6、9.1、9.12、9.13、13.2（部分）、15.2、15.4（部分）、 16.7（部分）、17.4为强制性条文。</w:t>
      </w:r>
    </w:p>
    <w:p>
      <w:pPr>
        <w:suppressLineNumbers/>
        <w:adjustRightInd w:val="0"/>
        <w:snapToGrid w:val="0"/>
        <w:spacing w:line="400" w:lineRule="exact"/>
        <w:rPr>
          <w:rFonts w:hint="eastAsia" w:ascii="仿宋_GB2312" w:eastAsia="仿宋_GB2312" w:hAnsiTheme="minorEastAsia"/>
          <w:sz w:val="28"/>
          <w:szCs w:val="28"/>
        </w:rPr>
      </w:pPr>
    </w:p>
    <w:p>
      <w:pPr>
        <w:pStyle w:val="2"/>
        <w:suppressLineNumbers/>
        <w:adjustRightInd w:val="0"/>
        <w:snapToGrid w:val="0"/>
        <w:spacing w:before="0" w:after="0" w:line="500" w:lineRule="exact"/>
        <w:jc w:val="both"/>
        <w:rPr>
          <w:rFonts w:ascii="方正小标宋简体" w:eastAsia="方正小标宋简体" w:hAnsiTheme="minorEastAsia"/>
          <w:bCs w:val="0"/>
          <w:kern w:val="2"/>
          <w:sz w:val="32"/>
          <w:szCs w:val="32"/>
        </w:rPr>
      </w:pPr>
    </w:p>
    <w:p/>
    <w:p>
      <w:pPr>
        <w:pStyle w:val="2"/>
        <w:suppressLineNumbers/>
        <w:adjustRightInd w:val="0"/>
        <w:snapToGrid w:val="0"/>
        <w:spacing w:before="0" w:after="0" w:line="500" w:lineRule="exact"/>
        <w:jc w:val="center"/>
        <w:rPr>
          <w:rFonts w:ascii="方正小标宋简体" w:eastAsia="方正小标宋简体" w:hAnsiTheme="minorEastAsia"/>
          <w:bCs w:val="0"/>
          <w:kern w:val="2"/>
          <w:sz w:val="32"/>
          <w:szCs w:val="32"/>
        </w:rPr>
      </w:pPr>
      <w:bookmarkStart w:id="24" w:name="_GoBack"/>
      <w:bookmarkEnd w:id="24"/>
      <w:r>
        <w:rPr>
          <w:rFonts w:hint="eastAsia" w:ascii="方正小标宋简体" w:eastAsia="方正小标宋简体" w:hAnsiTheme="minorEastAsia"/>
          <w:bCs w:val="0"/>
          <w:kern w:val="2"/>
          <w:sz w:val="32"/>
          <w:szCs w:val="32"/>
        </w:rPr>
        <w:t>常州市城市绿地建设规范</w:t>
      </w:r>
    </w:p>
    <w:p>
      <w:pPr>
        <w:suppressLineNumbers/>
        <w:adjustRightInd w:val="0"/>
        <w:snapToGrid w:val="0"/>
        <w:spacing w:line="500" w:lineRule="exact"/>
        <w:ind w:firstLine="560" w:firstLineChars="200"/>
        <w:rPr>
          <w:rFonts w:ascii="仿宋_GB2312" w:eastAsia="仿宋_GB2312" w:hAnsiTheme="minorEastAsia"/>
          <w:sz w:val="28"/>
          <w:szCs w:val="28"/>
        </w:rPr>
      </w:pP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为加强常州市城市绿地建设管理，营造宜居生态环境，提高景观水平，结合本市实际情况，制定本规范。</w:t>
      </w:r>
    </w:p>
    <w:p>
      <w:pPr>
        <w:suppressLineNumbers/>
        <w:adjustRightInd w:val="0"/>
        <w:snapToGrid w:val="0"/>
        <w:spacing w:line="500" w:lineRule="exact"/>
        <w:ind w:firstLine="562" w:firstLineChars="200"/>
        <w:rPr>
          <w:rFonts w:ascii="仿宋_GB2312" w:eastAsia="仿宋_GB2312" w:hAnsiTheme="minorEastAsia"/>
          <w:b/>
          <w:sz w:val="28"/>
          <w:szCs w:val="28"/>
        </w:rPr>
      </w:pPr>
      <w:r>
        <w:rPr>
          <w:rFonts w:hint="eastAsia" w:ascii="仿宋_GB2312" w:eastAsia="仿宋_GB2312" w:hAnsiTheme="minorEastAsia"/>
          <w:b/>
          <w:sz w:val="28"/>
          <w:szCs w:val="28"/>
        </w:rPr>
        <w:t>一、总体要求</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highlight w:val="none"/>
        </w:rPr>
        <w:t>1.1</w:t>
      </w:r>
      <w:r>
        <w:rPr>
          <w:rFonts w:hint="eastAsia" w:ascii="仿宋_GB2312" w:eastAsia="仿宋_GB2312" w:hAnsiTheme="minorEastAsia"/>
          <w:sz w:val="28"/>
          <w:szCs w:val="28"/>
        </w:rPr>
        <w:t>城市绿地建设应坚持“尊重自然、生态优先、以人为本、可持续发展、经济合理”，以植物造景为主，创造良好生态和景观效果，促进人民身心健康和社会和谐发展。</w:t>
      </w:r>
    </w:p>
    <w:p>
      <w:pPr>
        <w:suppressLineNumbers/>
        <w:adjustRightInd w:val="0"/>
        <w:snapToGrid w:val="0"/>
        <w:spacing w:line="500" w:lineRule="exact"/>
        <w:ind w:firstLine="560" w:firstLineChars="200"/>
        <w:rPr>
          <w:rFonts w:hint="eastAsia" w:ascii="仿宋_GB2312" w:eastAsia="仿宋_GB2312" w:hAnsiTheme="minorEastAsia"/>
          <w:color w:val="0000FF"/>
          <w:sz w:val="28"/>
          <w:szCs w:val="28"/>
          <w:lang w:val="en-US" w:eastAsia="zh-CN"/>
        </w:rPr>
      </w:pPr>
      <w:r>
        <w:rPr>
          <w:rFonts w:hint="eastAsia" w:ascii="仿宋_GB2312" w:eastAsia="仿宋_GB2312" w:hAnsiTheme="minorEastAsia"/>
          <w:sz w:val="28"/>
          <w:szCs w:val="28"/>
          <w:highlight w:val="none"/>
        </w:rPr>
        <w:t>1.2</w:t>
      </w:r>
      <w:r>
        <w:rPr>
          <w:rFonts w:hint="eastAsia" w:ascii="仿宋_GB2312" w:eastAsia="仿宋_GB2312" w:hAnsiTheme="minorEastAsia"/>
          <w:sz w:val="28"/>
          <w:szCs w:val="28"/>
        </w:rPr>
        <w:t>城市绿地建设应以批准的城市绿地系统规划等上位规划为依据，明确绿地的范围和性质，根据其定性、定量、定位做出总体设计、建设。</w:t>
      </w:r>
    </w:p>
    <w:p>
      <w:pPr>
        <w:suppressLineNumbers/>
        <w:adjustRightInd w:val="0"/>
        <w:snapToGrid w:val="0"/>
        <w:spacing w:line="500" w:lineRule="exact"/>
        <w:ind w:firstLine="560" w:firstLineChars="200"/>
        <w:rPr>
          <w:rFonts w:hint="default" w:ascii="仿宋_GB2312" w:eastAsia="仿宋_GB2312" w:hAnsiTheme="minorEastAsia"/>
          <w:sz w:val="28"/>
          <w:szCs w:val="28"/>
          <w:lang w:val="en-US" w:eastAsia="zh-CN"/>
        </w:rPr>
      </w:pPr>
      <w:r>
        <w:rPr>
          <w:rFonts w:hint="eastAsia" w:ascii="仿宋_GB2312" w:eastAsia="仿宋_GB2312" w:hAnsiTheme="minorEastAsia"/>
          <w:sz w:val="28"/>
          <w:szCs w:val="28"/>
          <w:highlight w:val="none"/>
        </w:rPr>
        <w:t>1.3</w:t>
      </w:r>
      <w:r>
        <w:rPr>
          <w:rFonts w:hint="eastAsia" w:ascii="仿宋_GB2312" w:eastAsia="仿宋_GB2312" w:hAnsiTheme="minorEastAsia"/>
          <w:sz w:val="28"/>
          <w:szCs w:val="28"/>
        </w:rPr>
        <w:t>城市绿地总体设计应符合绿地功能要求，注重常州特有地域环境、文化特色、建筑风格等“基因”的延续与激活，将城市各种历史文化、景观环境、当代建设的特色资源“找出来、亮出来”，增强绿地的时代功能和可体验性、可参与性，围绕百姓多元化的需求，塑造多样的生活场景。</w:t>
      </w:r>
      <w:r>
        <w:rPr>
          <w:rFonts w:hint="eastAsia" w:ascii="仿宋_GB2312" w:eastAsia="仿宋_GB2312" w:hAnsiTheme="minorEastAsia"/>
          <w:sz w:val="28"/>
          <w:szCs w:val="28"/>
          <w:lang w:val="en-US" w:eastAsia="zh-CN"/>
        </w:rPr>
        <w:t xml:space="preserve">  </w:t>
      </w:r>
      <w:r>
        <w:rPr>
          <w:rFonts w:hint="eastAsia" w:ascii="仿宋_GB2312" w:eastAsia="仿宋_GB2312" w:hAnsiTheme="minorEastAsia"/>
          <w:sz w:val="28"/>
          <w:szCs w:val="28"/>
          <w:lang w:val="en-US" w:eastAsia="zh-CN"/>
        </w:rPr>
        <w:tab/>
        <w:t xml:space="preserve"> </w:t>
      </w:r>
      <w:r>
        <w:rPr>
          <w:rFonts w:hint="eastAsia" w:ascii="仿宋_GB2312" w:eastAsia="仿宋_GB2312" w:hAnsiTheme="minorEastAsia"/>
          <w:sz w:val="28"/>
          <w:szCs w:val="28"/>
          <w:highlight w:val="none"/>
        </w:rPr>
        <w:t>1.4</w:t>
      </w:r>
      <w:r>
        <w:rPr>
          <w:rFonts w:hint="eastAsia" w:ascii="仿宋_GB2312" w:eastAsia="仿宋_GB2312" w:hAnsiTheme="minorEastAsia"/>
          <w:sz w:val="28"/>
          <w:szCs w:val="28"/>
        </w:rPr>
        <w:t>城市绿地建设除应执行本规范外，尚应符合国家、省</w:t>
      </w:r>
      <w:r>
        <w:rPr>
          <w:rFonts w:hint="eastAsia" w:ascii="仿宋_GB2312" w:eastAsia="仿宋_GB2312" w:hAnsiTheme="minorEastAsia"/>
          <w:color w:val="FF0000"/>
          <w:sz w:val="28"/>
          <w:szCs w:val="28"/>
          <w:lang w:eastAsia="zh-CN"/>
        </w:rPr>
        <w:t>、</w:t>
      </w:r>
      <w:r>
        <w:rPr>
          <w:rFonts w:hint="eastAsia" w:ascii="仿宋_GB2312" w:eastAsia="仿宋_GB2312" w:hAnsiTheme="minorEastAsia"/>
          <w:sz w:val="28"/>
          <w:szCs w:val="28"/>
        </w:rPr>
        <w:t>市及行业相关标准的规定。</w:t>
      </w:r>
      <w:bookmarkStart w:id="0" w:name="_Toc93995890"/>
    </w:p>
    <w:p>
      <w:pPr>
        <w:suppressLineNumbers/>
        <w:adjustRightInd w:val="0"/>
        <w:snapToGrid w:val="0"/>
        <w:spacing w:line="500" w:lineRule="exact"/>
        <w:ind w:firstLine="562" w:firstLineChars="200"/>
        <w:rPr>
          <w:rFonts w:ascii="仿宋_GB2312" w:eastAsia="仿宋_GB2312" w:hAnsiTheme="minorEastAsia"/>
          <w:b/>
          <w:sz w:val="28"/>
          <w:szCs w:val="28"/>
        </w:rPr>
      </w:pPr>
      <w:r>
        <w:rPr>
          <w:rFonts w:hint="eastAsia" w:ascii="仿宋_GB2312" w:eastAsia="仿宋_GB2312" w:hAnsiTheme="minorEastAsia"/>
          <w:b/>
          <w:sz w:val="28"/>
          <w:szCs w:val="28"/>
        </w:rPr>
        <w:t>二、城市绿地设计</w:t>
      </w:r>
      <w:bookmarkEnd w:id="0"/>
    </w:p>
    <w:p>
      <w:pPr>
        <w:suppressLineNumbers/>
        <w:adjustRightInd w:val="0"/>
        <w:snapToGrid w:val="0"/>
        <w:spacing w:line="500" w:lineRule="exact"/>
        <w:ind w:firstLine="560" w:firstLineChars="20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2.1城市绿地的设计、建设和管理应按照有关法律法规对资质管理及方案审查、验收备案等的相关规定执行。</w:t>
      </w:r>
    </w:p>
    <w:p>
      <w:pPr>
        <w:suppressLineNumbers/>
        <w:adjustRightInd w:val="0"/>
        <w:snapToGrid w:val="0"/>
        <w:spacing w:line="500" w:lineRule="exact"/>
        <w:ind w:firstLine="560" w:firstLineChars="20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2.2设计各阶段所需图纸</w:t>
      </w:r>
      <w:r>
        <w:rPr>
          <w:rFonts w:hint="eastAsia" w:ascii="仿宋_GB2312" w:eastAsia="仿宋_GB2312" w:hAnsiTheme="minorEastAsia"/>
          <w:bCs/>
          <w:sz w:val="28"/>
          <w:szCs w:val="28"/>
          <w:highlight w:val="none"/>
        </w:rPr>
        <w:t>应符合附表2.</w:t>
      </w:r>
      <w:r>
        <w:rPr>
          <w:rFonts w:hint="eastAsia" w:ascii="仿宋_GB2312" w:eastAsia="仿宋_GB2312" w:hAnsiTheme="minorEastAsia"/>
          <w:sz w:val="28"/>
          <w:szCs w:val="28"/>
          <w:highlight w:val="none"/>
        </w:rPr>
        <w:t>1的规定。</w:t>
      </w:r>
    </w:p>
    <w:p>
      <w:pPr>
        <w:suppressLineNumbers/>
        <w:adjustRightInd w:val="0"/>
        <w:snapToGrid w:val="0"/>
        <w:spacing w:line="500" w:lineRule="exact"/>
        <w:ind w:firstLine="560" w:firstLineChars="20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2.3绿化方案</w:t>
      </w:r>
      <w:r>
        <w:rPr>
          <w:rFonts w:hint="eastAsia" w:ascii="仿宋_GB2312" w:eastAsia="仿宋_GB2312" w:hAnsiTheme="minorEastAsia"/>
          <w:bCs/>
          <w:sz w:val="28"/>
          <w:szCs w:val="28"/>
          <w:highlight w:val="none"/>
        </w:rPr>
        <w:t>应</w:t>
      </w:r>
      <w:r>
        <w:rPr>
          <w:rFonts w:hint="eastAsia" w:ascii="仿宋_GB2312" w:eastAsia="仿宋_GB2312" w:hAnsiTheme="minorEastAsia"/>
          <w:sz w:val="28"/>
          <w:szCs w:val="28"/>
          <w:highlight w:val="none"/>
        </w:rPr>
        <w:t>明确列出绿地面积（总面积、可种植绿地、屋顶绿化、水面、建筑铺装占地等分类面积及比例）、绿地边界长度，</w:t>
      </w:r>
      <w:r>
        <w:rPr>
          <w:rFonts w:hint="eastAsia" w:ascii="仿宋_GB2312" w:eastAsia="仿宋_GB2312" w:hAnsiTheme="minorEastAsia"/>
          <w:bCs/>
          <w:sz w:val="28"/>
          <w:szCs w:val="28"/>
          <w:highlight w:val="none"/>
        </w:rPr>
        <w:t>格式应符合</w:t>
      </w:r>
      <w:r>
        <w:rPr>
          <w:rFonts w:hint="eastAsia" w:ascii="仿宋_GB2312" w:eastAsia="仿宋_GB2312" w:hAnsiTheme="minorEastAsia"/>
          <w:sz w:val="28"/>
          <w:szCs w:val="28"/>
          <w:highlight w:val="none"/>
        </w:rPr>
        <w:t>附表2.2的规定。</w:t>
      </w:r>
    </w:p>
    <w:p>
      <w:pPr>
        <w:suppressLineNumbers/>
        <w:adjustRightInd w:val="0"/>
        <w:snapToGrid w:val="0"/>
        <w:spacing w:line="500" w:lineRule="exact"/>
        <w:ind w:firstLine="560" w:firstLineChars="200"/>
        <w:rPr>
          <w:rFonts w:hint="eastAsia" w:ascii="仿宋_GB2312" w:eastAsia="仿宋_GB2312" w:hAnsiTheme="minorEastAsia"/>
          <w:sz w:val="28"/>
          <w:szCs w:val="28"/>
        </w:rPr>
      </w:pPr>
      <w:r>
        <w:rPr>
          <w:rFonts w:hint="eastAsia" w:ascii="仿宋_GB2312" w:eastAsia="仿宋_GB2312" w:hAnsiTheme="minorEastAsia"/>
          <w:sz w:val="28"/>
          <w:szCs w:val="28"/>
          <w:highlight w:val="none"/>
        </w:rPr>
        <w:t>2.4绿</w:t>
      </w:r>
      <w:r>
        <w:rPr>
          <w:rFonts w:hint="eastAsia" w:ascii="仿宋_GB2312" w:eastAsia="仿宋_GB2312" w:hAnsiTheme="minorEastAsia"/>
          <w:sz w:val="28"/>
          <w:szCs w:val="28"/>
        </w:rPr>
        <w:t>化设计应明确列出植物种类</w:t>
      </w:r>
      <w:r>
        <w:rPr>
          <w:rFonts w:hint="eastAsia" w:ascii="仿宋_GB2312" w:eastAsia="仿宋_GB2312" w:hAnsiTheme="minorEastAsia"/>
          <w:color w:val="auto"/>
          <w:sz w:val="28"/>
          <w:szCs w:val="28"/>
        </w:rPr>
        <w:t>数、大树及</w:t>
      </w:r>
      <w:r>
        <w:rPr>
          <w:rFonts w:hint="eastAsia" w:ascii="仿宋_GB2312" w:eastAsia="仿宋_GB2312" w:hAnsiTheme="minorEastAsia"/>
          <w:color w:val="auto"/>
          <w:sz w:val="28"/>
          <w:szCs w:val="28"/>
          <w:lang w:val="en-US" w:eastAsia="zh-CN"/>
        </w:rPr>
        <w:t>常绿、落叶乔木</w:t>
      </w:r>
      <w:r>
        <w:rPr>
          <w:rFonts w:hint="eastAsia" w:ascii="仿宋_GB2312" w:eastAsia="仿宋_GB2312" w:hAnsiTheme="minorEastAsia"/>
          <w:color w:val="auto"/>
          <w:sz w:val="28"/>
          <w:szCs w:val="28"/>
        </w:rPr>
        <w:t>数量</w:t>
      </w:r>
      <w:r>
        <w:rPr>
          <w:rFonts w:hint="eastAsia" w:ascii="仿宋_GB2312" w:eastAsia="仿宋_GB2312" w:hAnsiTheme="minorEastAsia"/>
          <w:sz w:val="28"/>
          <w:szCs w:val="28"/>
        </w:rPr>
        <w:t>比例等指标，</w:t>
      </w:r>
      <w:r>
        <w:rPr>
          <w:rFonts w:hint="eastAsia" w:ascii="仿宋_GB2312" w:eastAsia="仿宋_GB2312" w:hAnsiTheme="minorEastAsia"/>
          <w:bCs/>
          <w:sz w:val="28"/>
          <w:szCs w:val="28"/>
        </w:rPr>
        <w:t>格式应符合附表</w:t>
      </w:r>
      <w:r>
        <w:rPr>
          <w:rFonts w:hint="eastAsia" w:ascii="仿宋_GB2312" w:eastAsia="仿宋_GB2312" w:hAnsiTheme="minorEastAsia"/>
          <w:sz w:val="28"/>
          <w:szCs w:val="28"/>
        </w:rPr>
        <w:t>2.3的规定。</w:t>
      </w:r>
      <w:bookmarkStart w:id="1" w:name="_Toc93995893"/>
    </w:p>
    <w:p>
      <w:pPr>
        <w:suppressLineNumbers/>
        <w:adjustRightInd w:val="0"/>
        <w:snapToGrid w:val="0"/>
        <w:spacing w:line="500" w:lineRule="exact"/>
        <w:ind w:firstLine="560" w:firstLineChars="200"/>
        <w:rPr>
          <w:rFonts w:hint="eastAsia" w:ascii="仿宋_GB2312" w:eastAsia="仿宋_GB2312" w:hAnsiTheme="minorEastAsia"/>
          <w:sz w:val="28"/>
          <w:szCs w:val="28"/>
        </w:rPr>
      </w:pPr>
      <w:r>
        <w:rPr>
          <w:rFonts w:hint="eastAsia" w:ascii="仿宋_GB2312" w:eastAsia="仿宋_GB2312" w:hAnsiTheme="minorEastAsia"/>
          <w:sz w:val="28"/>
          <w:szCs w:val="28"/>
          <w:highlight w:val="none"/>
        </w:rPr>
        <w:t>2.5</w:t>
      </w:r>
      <w:r>
        <w:rPr>
          <w:rFonts w:hint="eastAsia" w:ascii="仿宋_GB2312" w:eastAsia="仿宋_GB2312" w:hAnsiTheme="minorEastAsia"/>
          <w:sz w:val="28"/>
          <w:szCs w:val="28"/>
        </w:rPr>
        <w:t>绿化设计应明确现状土壤条件和适生植物土壤改良质量指标，应符合《绿化种植土壤》CJ/T 340-2016的规定。</w:t>
      </w:r>
    </w:p>
    <w:p>
      <w:pPr>
        <w:suppressLineNumbers/>
        <w:adjustRightInd w:val="0"/>
        <w:snapToGrid w:val="0"/>
        <w:spacing w:line="500" w:lineRule="exact"/>
        <w:ind w:firstLine="560" w:firstLineChars="200"/>
        <w:rPr>
          <w:rFonts w:hint="default" w:ascii="仿宋_GB2312" w:eastAsia="仿宋_GB2312" w:hAnsiTheme="minorEastAsia"/>
          <w:color w:val="0000FF"/>
          <w:sz w:val="28"/>
          <w:szCs w:val="28"/>
          <w:lang w:val="en-US" w:eastAsia="zh-CN"/>
        </w:rPr>
      </w:pPr>
      <w:r>
        <w:rPr>
          <w:rFonts w:hint="eastAsia" w:ascii="仿宋_GB2312" w:eastAsia="仿宋_GB2312" w:hAnsiTheme="minorEastAsia"/>
          <w:sz w:val="28"/>
          <w:szCs w:val="28"/>
          <w:highlight w:val="none"/>
        </w:rPr>
        <w:t>2.6</w:t>
      </w:r>
      <w:r>
        <w:rPr>
          <w:rFonts w:hint="eastAsia" w:ascii="仿宋_GB2312" w:eastAsia="仿宋_GB2312" w:hAnsiTheme="minorEastAsia"/>
          <w:sz w:val="28"/>
          <w:szCs w:val="28"/>
        </w:rPr>
        <w:t>绿化设计应明确绿地等级和竣工质保（管养）期养护标准，应符合常州市城市绿化养护管理质量标准、常州市城市长效综合管理等相关标准要求和规定。</w:t>
      </w:r>
    </w:p>
    <w:p>
      <w:pPr>
        <w:suppressLineNumbers/>
        <w:adjustRightInd w:val="0"/>
        <w:snapToGrid w:val="0"/>
        <w:spacing w:line="500" w:lineRule="exact"/>
        <w:ind w:firstLine="562" w:firstLineChars="200"/>
        <w:rPr>
          <w:rFonts w:ascii="仿宋_GB2312" w:eastAsia="仿宋_GB2312" w:hAnsiTheme="minorEastAsia"/>
          <w:b/>
          <w:sz w:val="28"/>
          <w:szCs w:val="28"/>
        </w:rPr>
      </w:pPr>
      <w:r>
        <w:rPr>
          <w:rFonts w:hint="eastAsia" w:ascii="仿宋_GB2312" w:eastAsia="仿宋_GB2312" w:hAnsiTheme="minorEastAsia"/>
          <w:b/>
          <w:sz w:val="28"/>
          <w:szCs w:val="28"/>
        </w:rPr>
        <w:t>三、通则</w:t>
      </w:r>
      <w:bookmarkEnd w:id="1"/>
    </w:p>
    <w:p>
      <w:pPr>
        <w:suppressLineNumbers/>
        <w:adjustRightInd w:val="0"/>
        <w:snapToGrid w:val="0"/>
        <w:spacing w:line="500" w:lineRule="exact"/>
        <w:ind w:firstLine="560" w:firstLineChars="200"/>
        <w:rPr>
          <w:rFonts w:hint="eastAsia" w:ascii="仿宋_GB2312" w:eastAsia="仿宋_GB2312" w:hAnsiTheme="minorEastAsia"/>
          <w:sz w:val="28"/>
          <w:szCs w:val="28"/>
        </w:rPr>
      </w:pPr>
      <w:r>
        <w:rPr>
          <w:rFonts w:hint="eastAsia" w:ascii="仿宋_GB2312" w:eastAsia="仿宋_GB2312" w:hAnsiTheme="minorEastAsia"/>
          <w:sz w:val="28"/>
          <w:szCs w:val="28"/>
          <w:highlight w:val="none"/>
        </w:rPr>
        <w:t>3.1城</w:t>
      </w:r>
      <w:r>
        <w:rPr>
          <w:rFonts w:hint="eastAsia" w:ascii="仿宋_GB2312" w:eastAsia="仿宋_GB2312" w:hAnsiTheme="minorEastAsia"/>
          <w:sz w:val="28"/>
          <w:szCs w:val="28"/>
        </w:rPr>
        <w:t>市绿地范围内有纪念意义、生态价值、文化价值或景观价值的风景资源、有文物价值的建筑物、构筑物、遗址绿地，应加以保护并结合利用到城市绿地内的景观之中。</w:t>
      </w:r>
    </w:p>
    <w:p>
      <w:pPr>
        <w:suppressLineNumbers/>
        <w:adjustRightInd w:val="0"/>
        <w:snapToGrid w:val="0"/>
        <w:spacing w:line="500" w:lineRule="exact"/>
        <w:ind w:firstLine="560" w:firstLineChars="200"/>
        <w:rPr>
          <w:rFonts w:hint="default" w:ascii="仿宋_GB2312" w:eastAsia="仿宋_GB2312" w:hAnsiTheme="minorEastAsia"/>
          <w:sz w:val="28"/>
          <w:szCs w:val="28"/>
          <w:lang w:val="en-US" w:eastAsia="zh-CN"/>
        </w:rPr>
      </w:pPr>
      <w:r>
        <w:rPr>
          <w:rFonts w:hint="eastAsia" w:ascii="仿宋_GB2312" w:eastAsia="仿宋_GB2312" w:hAnsiTheme="minorEastAsia"/>
          <w:sz w:val="28"/>
          <w:szCs w:val="28"/>
          <w:highlight w:val="none"/>
        </w:rPr>
        <w:t>3.2</w:t>
      </w:r>
      <w:r>
        <w:rPr>
          <w:rFonts w:hint="eastAsia" w:ascii="仿宋_GB2312" w:eastAsia="仿宋_GB2312" w:hAnsiTheme="minorEastAsia"/>
          <w:sz w:val="28"/>
          <w:szCs w:val="28"/>
        </w:rPr>
        <w:t>在城市绿地改造提升过程中，不大拆大建，不挖山填湖，不随意改变或侵占河湖水系。</w:t>
      </w:r>
    </w:p>
    <w:p>
      <w:pPr>
        <w:suppressLineNumbers/>
        <w:adjustRightInd w:val="0"/>
        <w:snapToGrid w:val="0"/>
        <w:spacing w:line="500" w:lineRule="exact"/>
        <w:ind w:firstLine="560" w:firstLineChars="200"/>
        <w:rPr>
          <w:rFonts w:hint="default" w:ascii="仿宋_GB2312" w:eastAsia="仿宋_GB2312" w:hAnsiTheme="minorEastAsia"/>
          <w:bCs/>
          <w:sz w:val="28"/>
          <w:szCs w:val="28"/>
          <w:lang w:val="en-US" w:eastAsia="zh-CN"/>
        </w:rPr>
      </w:pPr>
      <w:r>
        <w:rPr>
          <w:rFonts w:hint="eastAsia" w:ascii="仿宋_GB2312" w:eastAsia="仿宋_GB2312" w:hAnsiTheme="minorEastAsia"/>
          <w:sz w:val="28"/>
          <w:szCs w:val="28"/>
          <w:highlight w:val="none"/>
        </w:rPr>
        <w:t>3.3</w:t>
      </w:r>
      <w:r>
        <w:rPr>
          <w:rFonts w:hint="eastAsia" w:ascii="仿宋_GB2312" w:eastAsia="仿宋_GB2312" w:hAnsiTheme="minorEastAsia"/>
          <w:sz w:val="28"/>
          <w:szCs w:val="28"/>
        </w:rPr>
        <w:t>不随意改建具有历史价值的、有纪念意义的公园（景点），不随意更改公园（重要景点）的名称。</w:t>
      </w:r>
      <w:r>
        <w:rPr>
          <w:rFonts w:hint="eastAsia" w:ascii="仿宋_GB2312" w:eastAsia="仿宋_GB2312" w:hAnsiTheme="minorEastAsia"/>
          <w:sz w:val="28"/>
          <w:szCs w:val="28"/>
          <w:highlight w:val="none"/>
        </w:rPr>
        <w:t>古树名木和古树后备资源应予以严格保护。不随意伐移承载乡土记忆的现有树木。</w:t>
      </w:r>
    </w:p>
    <w:p>
      <w:pPr>
        <w:pStyle w:val="4"/>
        <w:suppressLineNumbers/>
        <w:adjustRightInd w:val="0"/>
        <w:snapToGrid w:val="0"/>
        <w:spacing w:before="0" w:after="0" w:line="500" w:lineRule="exact"/>
        <w:ind w:firstLine="560" w:firstLineChars="200"/>
        <w:rPr>
          <w:rFonts w:hint="default"/>
          <w:lang w:val="en-US" w:eastAsia="zh-CN"/>
        </w:rPr>
      </w:pPr>
      <w:r>
        <w:rPr>
          <w:rFonts w:hint="eastAsia" w:ascii="仿宋_GB2312" w:eastAsia="仿宋_GB2312" w:hAnsiTheme="minorEastAsia"/>
          <w:b w:val="0"/>
          <w:bCs w:val="0"/>
          <w:sz w:val="28"/>
          <w:szCs w:val="28"/>
          <w:highlight w:val="none"/>
        </w:rPr>
        <w:t>3.4</w:t>
      </w:r>
      <w:r>
        <w:rPr>
          <w:rFonts w:hint="eastAsia" w:ascii="仿宋_GB2312" w:eastAsia="仿宋_GB2312" w:hAnsiTheme="minorEastAsia"/>
          <w:b w:val="0"/>
          <w:bCs w:val="0"/>
          <w:sz w:val="28"/>
          <w:szCs w:val="28"/>
        </w:rPr>
        <w:t>对城市绿地范围内的现状地形、水体、建筑物、构筑物、植物、地上或地下管线和工程设施等，应进行调查，作出评价并提出处理意见。</w:t>
      </w:r>
    </w:p>
    <w:p>
      <w:pPr>
        <w:pStyle w:val="4"/>
        <w:suppressLineNumbers/>
        <w:adjustRightInd w:val="0"/>
        <w:snapToGrid w:val="0"/>
        <w:spacing w:before="0" w:after="0" w:line="500" w:lineRule="exact"/>
        <w:ind w:firstLine="560" w:firstLineChars="200"/>
        <w:rPr>
          <w:rFonts w:hint="default" w:ascii="仿宋_GB2312" w:eastAsia="仿宋_GB2312" w:hAnsiTheme="minorEastAsia"/>
          <w:b w:val="0"/>
          <w:bCs w:val="0"/>
          <w:sz w:val="28"/>
          <w:szCs w:val="28"/>
          <w:lang w:val="en-US" w:eastAsia="zh-CN"/>
        </w:rPr>
      </w:pPr>
      <w:r>
        <w:rPr>
          <w:rFonts w:hint="eastAsia" w:ascii="仿宋_GB2312" w:eastAsia="仿宋_GB2312" w:hAnsiTheme="minorEastAsia"/>
          <w:b w:val="0"/>
          <w:bCs w:val="0"/>
          <w:sz w:val="28"/>
          <w:szCs w:val="28"/>
          <w:highlight w:val="none"/>
        </w:rPr>
        <w:t>3.5</w:t>
      </w:r>
      <w:r>
        <w:rPr>
          <w:rFonts w:hint="eastAsia" w:ascii="仿宋_GB2312" w:eastAsia="仿宋_GB2312" w:hAnsiTheme="minorEastAsia"/>
          <w:b w:val="0"/>
          <w:bCs w:val="0"/>
          <w:sz w:val="28"/>
          <w:szCs w:val="28"/>
        </w:rPr>
        <w:t>城市绿地内道路设计应按游览、观景、交通、集散等需求，与山水、树木、建筑、构筑物及相关设施相结合，设置主路、次路、支路、小路和广场，形成完整的道路系统。</w:t>
      </w:r>
    </w:p>
    <w:p>
      <w:pPr>
        <w:pStyle w:val="4"/>
        <w:suppressLineNumbers/>
        <w:adjustRightInd w:val="0"/>
        <w:snapToGrid w:val="0"/>
        <w:spacing w:before="0" w:after="0" w:line="500" w:lineRule="exact"/>
        <w:ind w:firstLine="560" w:firstLineChars="200"/>
        <w:rPr>
          <w:rFonts w:hint="default" w:ascii="仿宋_GB2312" w:eastAsia="仿宋_GB2312" w:hAnsiTheme="minorEastAsia"/>
          <w:b w:val="0"/>
          <w:bCs w:val="0"/>
          <w:sz w:val="28"/>
          <w:szCs w:val="28"/>
          <w:highlight w:val="none"/>
          <w:lang w:val="en-US" w:eastAsia="zh-CN"/>
        </w:rPr>
      </w:pPr>
      <w:r>
        <w:rPr>
          <w:rFonts w:hint="eastAsia" w:ascii="仿宋_GB2312" w:eastAsia="仿宋_GB2312" w:hAnsiTheme="minorEastAsia"/>
          <w:b w:val="0"/>
          <w:bCs w:val="0"/>
          <w:sz w:val="28"/>
          <w:szCs w:val="28"/>
          <w:highlight w:val="none"/>
        </w:rPr>
        <w:t>3.6城市绿地出入口的选址应符合城市规划，应与城市交通和人流走向、流量相适应。出入口、主园路、游憩和服务建筑的通行应满足无障碍要求。</w:t>
      </w:r>
    </w:p>
    <w:p>
      <w:pPr>
        <w:spacing w:line="500" w:lineRule="exact"/>
        <w:ind w:firstLine="560" w:firstLineChars="200"/>
        <w:rPr>
          <w:rFonts w:ascii="仿宋_GB2312" w:eastAsia="仿宋_GB2312"/>
          <w:sz w:val="28"/>
          <w:szCs w:val="28"/>
        </w:rPr>
      </w:pPr>
      <w:r>
        <w:rPr>
          <w:rFonts w:hint="eastAsia" w:ascii="仿宋_GB2312" w:eastAsia="仿宋_GB2312" w:hAnsiTheme="minorEastAsia"/>
          <w:sz w:val="28"/>
          <w:szCs w:val="28"/>
          <w:highlight w:val="none"/>
        </w:rPr>
        <w:t>3.7城</w:t>
      </w:r>
      <w:r>
        <w:rPr>
          <w:rFonts w:hint="eastAsia" w:ascii="仿宋_GB2312" w:eastAsia="仿宋_GB2312" w:hAnsiTheme="minorEastAsia"/>
          <w:sz w:val="28"/>
          <w:szCs w:val="28"/>
        </w:rPr>
        <w:t>市绿地内停车场的出入口应有良好的视野，且不应占用出入口内外游人集散广场并满足所停车辆类型的转弯半径要求。</w:t>
      </w:r>
    </w:p>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highlight w:val="none"/>
        </w:rPr>
      </w:pPr>
      <w:r>
        <w:rPr>
          <w:rFonts w:hint="eastAsia" w:ascii="仿宋_GB2312" w:eastAsia="仿宋_GB2312" w:hAnsiTheme="minorEastAsia"/>
          <w:b w:val="0"/>
          <w:bCs w:val="0"/>
          <w:sz w:val="28"/>
          <w:szCs w:val="28"/>
          <w:highlight w:val="none"/>
        </w:rPr>
        <w:t>3.8应按公园绿地规模大小和管理需要配套建设适宜的管理、服务、游憩建筑，具体比例可按《公园设计规范》执行。</w:t>
      </w:r>
    </w:p>
    <w:p>
      <w:pPr>
        <w:pStyle w:val="4"/>
        <w:suppressLineNumbers/>
        <w:adjustRightInd w:val="0"/>
        <w:snapToGrid w:val="0"/>
        <w:spacing w:before="0" w:after="0" w:line="500" w:lineRule="exact"/>
        <w:ind w:firstLine="560" w:firstLineChars="200"/>
        <w:rPr>
          <w:rFonts w:hint="eastAsia" w:ascii="仿宋_GB2312" w:eastAsia="仿宋_GB2312" w:hAnsiTheme="minorEastAsia"/>
          <w:b w:val="0"/>
          <w:bCs w:val="0"/>
          <w:sz w:val="28"/>
          <w:szCs w:val="28"/>
        </w:rPr>
      </w:pPr>
      <w:r>
        <w:rPr>
          <w:rFonts w:hint="eastAsia" w:ascii="仿宋_GB2312" w:eastAsia="仿宋_GB2312" w:hAnsiTheme="minorEastAsia"/>
          <w:b w:val="0"/>
          <w:bCs w:val="0"/>
          <w:sz w:val="28"/>
          <w:szCs w:val="28"/>
          <w:highlight w:val="none"/>
        </w:rPr>
        <w:t>3.9防灾</w:t>
      </w:r>
      <w:r>
        <w:rPr>
          <w:rFonts w:hint="eastAsia" w:ascii="仿宋_GB2312" w:eastAsia="仿宋_GB2312" w:hAnsiTheme="minorEastAsia"/>
          <w:b w:val="0"/>
          <w:bCs w:val="0"/>
          <w:sz w:val="28"/>
          <w:szCs w:val="28"/>
        </w:rPr>
        <w:t>避险功能绿地应安全可达，便于快捷疏散。</w:t>
      </w:r>
      <w:r>
        <w:rPr>
          <w:rFonts w:hint="eastAsia" w:ascii="仿宋_GB2312" w:eastAsia="仿宋_GB2312" w:hAnsiTheme="minorEastAsia"/>
          <w:b w:val="0"/>
          <w:bCs w:val="0"/>
          <w:sz w:val="28"/>
          <w:szCs w:val="28"/>
          <w:lang w:val="en-US" w:eastAsia="zh-CN"/>
        </w:rPr>
        <w:t>新建、改建、扩建城市绿地规划为应急避难场所的，应按相关标准进行建设</w:t>
      </w:r>
    </w:p>
    <w:p>
      <w:pPr>
        <w:pStyle w:val="4"/>
        <w:suppressLineNumbers/>
        <w:adjustRightInd w:val="0"/>
        <w:snapToGrid w:val="0"/>
        <w:spacing w:before="0" w:after="0" w:line="500" w:lineRule="exact"/>
        <w:ind w:firstLine="560" w:firstLineChars="200"/>
        <w:rPr>
          <w:rFonts w:hint="default" w:ascii="仿宋_GB2312" w:eastAsia="仿宋_GB2312" w:hAnsiTheme="minorEastAsia"/>
          <w:b w:val="0"/>
          <w:bCs w:val="0"/>
          <w:sz w:val="28"/>
          <w:szCs w:val="28"/>
          <w:lang w:val="en-US" w:eastAsia="zh-CN"/>
        </w:rPr>
      </w:pPr>
      <w:r>
        <w:rPr>
          <w:rFonts w:hint="eastAsia" w:ascii="仿宋_GB2312" w:eastAsia="仿宋_GB2312" w:hAnsiTheme="minorEastAsia"/>
          <w:b w:val="0"/>
          <w:bCs w:val="0"/>
          <w:sz w:val="28"/>
          <w:szCs w:val="28"/>
          <w:highlight w:val="none"/>
        </w:rPr>
        <w:t>3.10</w:t>
      </w:r>
      <w:r>
        <w:rPr>
          <w:rFonts w:hint="eastAsia" w:ascii="仿宋_GB2312" w:eastAsia="仿宋_GB2312" w:hAnsiTheme="minorEastAsia"/>
          <w:b w:val="0"/>
          <w:bCs w:val="0"/>
          <w:sz w:val="28"/>
          <w:szCs w:val="28"/>
        </w:rPr>
        <w:t>健身场地、游戏场等</w:t>
      </w:r>
      <w:r>
        <w:rPr>
          <w:rFonts w:hint="eastAsia" w:ascii="仿宋_GB2312" w:eastAsia="仿宋_GB2312" w:hAnsiTheme="minorEastAsia"/>
          <w:b w:val="0"/>
          <w:bCs w:val="0"/>
          <w:sz w:val="28"/>
          <w:szCs w:val="28"/>
          <w:highlight w:val="none"/>
        </w:rPr>
        <w:t>应与住宅建筑保持必要距离</w:t>
      </w:r>
      <w:r>
        <w:rPr>
          <w:rFonts w:hint="eastAsia" w:ascii="仿宋_GB2312" w:eastAsia="仿宋_GB2312" w:hAnsiTheme="minorEastAsia"/>
          <w:b w:val="0"/>
          <w:bCs w:val="0"/>
          <w:sz w:val="28"/>
          <w:szCs w:val="28"/>
        </w:rPr>
        <w:t>。游憩设施场地的布置应符合下列规定：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1）不同功能、不同人群使用的游憩设施场地应分别设置；</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2）游人大量集中的场地应与主园路顺畅连接，并便于集散；</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3）安静休息区与喧闹区之间应利用地形或植物进行隔离；</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4）儿童游戏场与游人密集区、主园路及城市干道之间，宜用植物或地形等构成隔离地带。</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5）在保证绿地率不低于相应规范的前提下，体育健身场地应复合使用，应充分利用城市绿地内的广场和开放区域进行健身活动。</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6）儿童游戏场地宜采用软质地坪。如设置沙坑，沙坑周边应设防沙粒散失、滤沙和冲洗的设施。</w:t>
      </w:r>
    </w:p>
    <w:p>
      <w:pPr>
        <w:pStyle w:val="4"/>
        <w:suppressLineNumbers/>
        <w:adjustRightInd w:val="0"/>
        <w:snapToGrid w:val="0"/>
        <w:spacing w:before="0" w:after="0" w:line="500" w:lineRule="exact"/>
        <w:ind w:firstLine="560" w:firstLineChars="200"/>
        <w:rPr>
          <w:rFonts w:hint="default" w:ascii="仿宋_GB2312" w:eastAsia="仿宋_GB2312" w:hAnsiTheme="minorEastAsia"/>
          <w:b w:val="0"/>
          <w:bCs w:val="0"/>
          <w:color w:val="0000FF"/>
          <w:sz w:val="28"/>
          <w:szCs w:val="28"/>
          <w:lang w:val="en-US" w:eastAsia="zh-CN"/>
        </w:rPr>
      </w:pPr>
      <w:r>
        <w:rPr>
          <w:rFonts w:hint="eastAsia" w:ascii="仿宋_GB2312" w:eastAsia="仿宋_GB2312" w:hAnsiTheme="minorEastAsia"/>
          <w:b w:val="0"/>
          <w:bCs w:val="0"/>
          <w:sz w:val="28"/>
          <w:szCs w:val="28"/>
          <w:highlight w:val="none"/>
        </w:rPr>
        <w:t>3.11城</w:t>
      </w:r>
      <w:r>
        <w:rPr>
          <w:rFonts w:hint="eastAsia" w:ascii="仿宋_GB2312" w:eastAsia="仿宋_GB2312" w:hAnsiTheme="minorEastAsia"/>
          <w:b w:val="0"/>
          <w:bCs w:val="0"/>
          <w:sz w:val="28"/>
          <w:szCs w:val="28"/>
        </w:rPr>
        <w:t>市绿地应积极选用环保材料，采取节能措施，充分利用太阳能、雨水等绿色资源。</w:t>
      </w:r>
    </w:p>
    <w:p>
      <w:pPr>
        <w:suppressLineNumbers/>
        <w:adjustRightInd w:val="0"/>
        <w:snapToGrid w:val="0"/>
        <w:spacing w:line="500" w:lineRule="exact"/>
        <w:ind w:firstLine="560" w:firstLineChars="200"/>
        <w:rPr>
          <w:rFonts w:hint="default" w:ascii="仿宋_GB2312" w:eastAsia="仿宋_GB2312" w:hAnsiTheme="minorEastAsia"/>
          <w:color w:val="0000FF"/>
          <w:sz w:val="28"/>
          <w:szCs w:val="28"/>
          <w:lang w:val="en-US" w:eastAsia="zh-CN"/>
        </w:rPr>
      </w:pPr>
      <w:r>
        <w:rPr>
          <w:rFonts w:hint="eastAsia" w:ascii="仿宋_GB2312" w:eastAsia="仿宋_GB2312" w:hAnsiTheme="minorEastAsia" w:cstheme="minorBidi"/>
          <w:b w:val="0"/>
          <w:bCs w:val="0"/>
          <w:kern w:val="2"/>
          <w:sz w:val="28"/>
          <w:szCs w:val="28"/>
          <w:highlight w:val="none"/>
          <w:lang w:val="en-US" w:eastAsia="zh-CN" w:bidi="ar-SA"/>
        </w:rPr>
        <w:t>3.12</w:t>
      </w:r>
      <w:r>
        <w:rPr>
          <w:rFonts w:hint="eastAsia" w:ascii="仿宋_GB2312" w:eastAsia="仿宋_GB2312" w:hAnsiTheme="minorEastAsia"/>
          <w:sz w:val="28"/>
          <w:szCs w:val="28"/>
          <w:highlight w:val="none"/>
        </w:rPr>
        <w:t>城</w:t>
      </w:r>
      <w:r>
        <w:rPr>
          <w:rFonts w:hint="eastAsia" w:ascii="仿宋_GB2312" w:eastAsia="仿宋_GB2312" w:hAnsiTheme="minorEastAsia"/>
          <w:sz w:val="28"/>
          <w:szCs w:val="28"/>
        </w:rPr>
        <w:t>市绿地内的主路和活动场地的铺装应平整、满足荷载、防滑、易清洗等使用功能和耐久性要求。主路和主要场地铺装的磨光材料宽度不超过15cm。</w:t>
      </w:r>
    </w:p>
    <w:p>
      <w:pPr>
        <w:suppressLineNumbers/>
        <w:adjustRightInd w:val="0"/>
        <w:snapToGrid w:val="0"/>
        <w:spacing w:line="500" w:lineRule="exact"/>
        <w:ind w:firstLine="560" w:firstLineChars="200"/>
        <w:rPr>
          <w:rFonts w:hint="default" w:ascii="仿宋_GB2312" w:eastAsia="仿宋_GB2312" w:hAnsiTheme="minorEastAsia"/>
          <w:sz w:val="28"/>
          <w:szCs w:val="28"/>
          <w:lang w:val="en-US" w:eastAsia="zh-CN"/>
        </w:rPr>
      </w:pPr>
      <w:r>
        <w:rPr>
          <w:rFonts w:hint="eastAsia" w:ascii="仿宋_GB2312" w:eastAsia="仿宋_GB2312" w:hAnsiTheme="minorEastAsia"/>
          <w:sz w:val="28"/>
          <w:szCs w:val="28"/>
          <w:highlight w:val="none"/>
        </w:rPr>
        <w:t>3.13</w:t>
      </w:r>
      <w:r>
        <w:rPr>
          <w:rFonts w:hint="eastAsia" w:ascii="仿宋_GB2312" w:eastAsia="仿宋_GB2312" w:hAnsiTheme="minorEastAsia"/>
          <w:sz w:val="28"/>
          <w:szCs w:val="28"/>
        </w:rPr>
        <w:t>当城市绿地中绿化面积超过2公顷时，</w:t>
      </w:r>
      <w:r>
        <w:rPr>
          <w:rFonts w:hint="eastAsia" w:ascii="仿宋_GB2312" w:eastAsia="仿宋_GB2312" w:hAnsiTheme="minorEastAsia"/>
          <w:sz w:val="28"/>
          <w:szCs w:val="28"/>
          <w:highlight w:val="none"/>
        </w:rPr>
        <w:t>应设置绿化植物废弃物收集转运</w:t>
      </w:r>
      <w:r>
        <w:rPr>
          <w:rFonts w:hint="eastAsia" w:ascii="仿宋_GB2312" w:eastAsia="仿宋_GB2312" w:hAnsiTheme="minorEastAsia"/>
          <w:sz w:val="28"/>
          <w:szCs w:val="28"/>
        </w:rPr>
        <w:t>点。</w:t>
      </w:r>
    </w:p>
    <w:p>
      <w:pPr>
        <w:suppressLineNumbers/>
        <w:adjustRightInd w:val="0"/>
        <w:snapToGrid w:val="0"/>
        <w:spacing w:line="500" w:lineRule="exact"/>
        <w:ind w:firstLine="560" w:firstLineChars="200"/>
        <w:jc w:val="left"/>
        <w:rPr>
          <w:rFonts w:hint="default" w:ascii="仿宋_GB2312" w:eastAsia="仿宋_GB2312" w:hAnsiTheme="minorEastAsia"/>
          <w:sz w:val="28"/>
          <w:szCs w:val="28"/>
          <w:highlight w:val="yellow"/>
          <w:lang w:val="en-US" w:eastAsia="zh-CN"/>
        </w:rPr>
      </w:pPr>
      <w:r>
        <w:rPr>
          <w:rFonts w:hint="eastAsia" w:ascii="仿宋_GB2312" w:eastAsia="仿宋_GB2312" w:hAnsiTheme="minorEastAsia"/>
          <w:sz w:val="28"/>
          <w:szCs w:val="28"/>
          <w:highlight w:val="none"/>
        </w:rPr>
        <w:t>3.14车站、码头、机场的集散广场中集中成片绿地不应小于广场总面积的10%。</w:t>
      </w:r>
    </w:p>
    <w:p>
      <w:pPr>
        <w:suppressLineNumbers/>
        <w:adjustRightInd w:val="0"/>
        <w:snapToGrid w:val="0"/>
        <w:spacing w:line="500" w:lineRule="exact"/>
        <w:ind w:firstLine="562" w:firstLineChars="200"/>
        <w:rPr>
          <w:rFonts w:hint="default" w:ascii="仿宋_GB2312" w:eastAsia="仿宋_GB2312" w:hAnsiTheme="minorEastAsia"/>
          <w:b/>
          <w:bCs/>
          <w:sz w:val="28"/>
          <w:szCs w:val="28"/>
          <w:lang w:val="en-US" w:eastAsia="zh-CN"/>
        </w:rPr>
      </w:pPr>
      <w:r>
        <w:rPr>
          <w:rFonts w:hint="eastAsia" w:ascii="仿宋_GB2312" w:eastAsia="仿宋_GB2312" w:hAnsiTheme="minorEastAsia"/>
          <w:b/>
          <w:bCs/>
          <w:sz w:val="28"/>
          <w:szCs w:val="28"/>
          <w:highlight w:val="none"/>
        </w:rPr>
        <w:t>3.15</w:t>
      </w:r>
      <w:r>
        <w:rPr>
          <w:rFonts w:hint="eastAsia" w:ascii="仿宋_GB2312" w:eastAsia="仿宋_GB2312" w:hAnsiTheme="minorEastAsia"/>
          <w:b/>
          <w:bCs/>
          <w:sz w:val="28"/>
          <w:szCs w:val="28"/>
        </w:rPr>
        <w:t>通行游船的桥梁桥底与常水位之间净空高度应满足游船通行的高度且大于1.50m。</w:t>
      </w:r>
    </w:p>
    <w:p>
      <w:pPr>
        <w:suppressLineNumbers/>
        <w:adjustRightInd w:val="0"/>
        <w:snapToGrid w:val="0"/>
        <w:spacing w:line="500" w:lineRule="exact"/>
        <w:ind w:firstLine="562" w:firstLineChars="200"/>
        <w:rPr>
          <w:rFonts w:ascii="仿宋_GB2312" w:eastAsia="仿宋_GB2312" w:hAnsiTheme="minorEastAsia"/>
          <w:b/>
          <w:sz w:val="28"/>
          <w:szCs w:val="28"/>
        </w:rPr>
      </w:pPr>
      <w:bookmarkStart w:id="2" w:name="_Toc93995894"/>
      <w:r>
        <w:rPr>
          <w:rFonts w:hint="eastAsia" w:ascii="仿宋_GB2312" w:eastAsia="仿宋_GB2312" w:hAnsiTheme="minorEastAsia"/>
          <w:b/>
          <w:sz w:val="28"/>
          <w:szCs w:val="28"/>
        </w:rPr>
        <w:t>四、竖向设计</w:t>
      </w:r>
      <w:bookmarkEnd w:id="2"/>
    </w:p>
    <w:p>
      <w:pPr>
        <w:suppressLineNumbers/>
        <w:adjustRightInd w:val="0"/>
        <w:snapToGrid w:val="0"/>
        <w:spacing w:line="500" w:lineRule="exact"/>
        <w:ind w:firstLine="562" w:firstLineChars="200"/>
        <w:rPr>
          <w:rFonts w:hint="eastAsia" w:ascii="仿宋_GB2312" w:eastAsia="仿宋_GB2312" w:hAnsiTheme="minorEastAsia"/>
          <w:b/>
          <w:bCs/>
          <w:sz w:val="28"/>
          <w:szCs w:val="28"/>
          <w:highlight w:val="none"/>
        </w:rPr>
      </w:pPr>
      <w:r>
        <w:rPr>
          <w:rFonts w:hint="eastAsia" w:ascii="仿宋_GB2312" w:eastAsia="仿宋_GB2312" w:hAnsiTheme="minorEastAsia"/>
          <w:b/>
          <w:bCs/>
          <w:sz w:val="28"/>
          <w:szCs w:val="28"/>
          <w:highlight w:val="none"/>
        </w:rPr>
        <w:t>4.1城市绿地内山坡、谷地等地形必须保持稳定。土山堆置应按照自然安息角设置自然坡度，当坡度超过土壤的自然安息角时，应采用护坡、挡墙、固土或防冲刷等工程措施，防止水土流失或滑坡。</w:t>
      </w:r>
    </w:p>
    <w:p>
      <w:pPr>
        <w:suppressLineNumbers/>
        <w:adjustRightInd w:val="0"/>
        <w:snapToGrid w:val="0"/>
        <w:spacing w:line="500" w:lineRule="exact"/>
        <w:ind w:firstLine="560" w:firstLineChars="200"/>
        <w:rPr>
          <w:rFonts w:hint="default" w:ascii="仿宋_GB2312" w:eastAsia="仿宋_GB2312" w:hAnsiTheme="minorEastAsia"/>
          <w:sz w:val="28"/>
          <w:szCs w:val="28"/>
          <w:lang w:val="en-US" w:eastAsia="zh-CN"/>
        </w:rPr>
      </w:pPr>
      <w:r>
        <w:rPr>
          <w:rFonts w:hint="eastAsia" w:ascii="仿宋_GB2312" w:eastAsia="仿宋_GB2312" w:hAnsiTheme="minorEastAsia"/>
          <w:sz w:val="28"/>
          <w:szCs w:val="28"/>
          <w:highlight w:val="none"/>
        </w:rPr>
        <w:t>4.2城市</w:t>
      </w:r>
      <w:r>
        <w:rPr>
          <w:rFonts w:hint="eastAsia" w:ascii="仿宋_GB2312" w:eastAsia="仿宋_GB2312" w:hAnsiTheme="minorEastAsia"/>
          <w:sz w:val="28"/>
          <w:szCs w:val="28"/>
        </w:rPr>
        <w:t>绿地的水岸坡比不宜大于1:3，水位变化大的水岸，宜设生态护坡或驳岸。</w:t>
      </w:r>
      <w:bookmarkStart w:id="3" w:name="_Toc93995895"/>
    </w:p>
    <w:p>
      <w:pPr>
        <w:suppressLineNumbers/>
        <w:adjustRightInd w:val="0"/>
        <w:snapToGrid w:val="0"/>
        <w:spacing w:line="500" w:lineRule="exact"/>
        <w:ind w:firstLine="562" w:firstLineChars="200"/>
        <w:rPr>
          <w:rFonts w:ascii="仿宋_GB2312" w:eastAsia="仿宋_GB2312" w:hAnsiTheme="minorEastAsia"/>
          <w:b/>
          <w:sz w:val="28"/>
          <w:szCs w:val="28"/>
        </w:rPr>
      </w:pPr>
      <w:r>
        <w:rPr>
          <w:rFonts w:hint="eastAsia" w:ascii="仿宋_GB2312" w:eastAsia="仿宋_GB2312" w:hAnsiTheme="minorEastAsia"/>
          <w:b/>
          <w:sz w:val="28"/>
          <w:szCs w:val="28"/>
        </w:rPr>
        <w:t>五、安全防护措施</w:t>
      </w:r>
      <w:bookmarkEnd w:id="3"/>
    </w:p>
    <w:p>
      <w:pPr>
        <w:suppressLineNumbers/>
        <w:adjustRightInd w:val="0"/>
        <w:snapToGrid w:val="0"/>
        <w:spacing w:line="500" w:lineRule="exact"/>
        <w:ind w:firstLine="560" w:firstLineChars="200"/>
        <w:rPr>
          <w:rFonts w:hint="eastAsia" w:ascii="仿宋_GB2312" w:eastAsia="仿宋_GB2312" w:hAnsiTheme="minorEastAsia"/>
          <w:sz w:val="28"/>
          <w:szCs w:val="28"/>
          <w:highlight w:val="none"/>
        </w:rPr>
      </w:pPr>
      <w:r>
        <w:rPr>
          <w:rFonts w:hint="eastAsia" w:ascii="仿宋_GB2312" w:eastAsia="仿宋_GB2312" w:hAnsiTheme="minorEastAsia"/>
          <w:sz w:val="28"/>
          <w:szCs w:val="28"/>
          <w:highlight w:val="none"/>
        </w:rPr>
        <w:t>5.1当保留城市绿地范围内原有自然岩壁、陡峭边坡，并在其附近设置园路、游憩场地、建筑等游人聚集的场所时，应对岩壁、边坡做地质灾害评估，并应根据评估结果采取安全防护或避让措施。</w:t>
      </w:r>
    </w:p>
    <w:p>
      <w:pPr>
        <w:suppressLineNumbers/>
        <w:adjustRightInd w:val="0"/>
        <w:snapToGrid w:val="0"/>
        <w:spacing w:line="500" w:lineRule="exact"/>
        <w:ind w:firstLine="562" w:firstLineChars="200"/>
        <w:rPr>
          <w:rFonts w:hint="eastAsia" w:ascii="仿宋_GB2312" w:eastAsia="仿宋_GB2312" w:hAnsiTheme="minorEastAsia"/>
          <w:b/>
          <w:bCs/>
          <w:sz w:val="28"/>
          <w:szCs w:val="28"/>
        </w:rPr>
      </w:pPr>
      <w:r>
        <w:rPr>
          <w:rFonts w:hint="eastAsia" w:ascii="仿宋_GB2312" w:eastAsia="仿宋_GB2312" w:hAnsiTheme="minorEastAsia"/>
          <w:b/>
          <w:bCs/>
          <w:sz w:val="28"/>
          <w:szCs w:val="28"/>
          <w:highlight w:val="none"/>
        </w:rPr>
        <w:t>5.2城</w:t>
      </w:r>
      <w:r>
        <w:rPr>
          <w:rFonts w:hint="eastAsia" w:ascii="仿宋_GB2312" w:eastAsia="仿宋_GB2312" w:hAnsiTheme="minorEastAsia"/>
          <w:b/>
          <w:bCs/>
          <w:sz w:val="28"/>
          <w:szCs w:val="28"/>
        </w:rPr>
        <w:t>市绿地应设置标识、标志、安全监控和信息发布等设施，并应符合下列规定：</w:t>
      </w:r>
    </w:p>
    <w:p>
      <w:pPr>
        <w:suppressLineNumbers/>
        <w:adjustRightInd w:val="0"/>
        <w:snapToGrid w:val="0"/>
        <w:spacing w:line="500" w:lineRule="exact"/>
        <w:ind w:firstLine="562" w:firstLineChars="200"/>
        <w:rPr>
          <w:rFonts w:ascii="仿宋_GB2312" w:eastAsia="仿宋_GB2312" w:hAnsiTheme="minorEastAsia"/>
          <w:b/>
          <w:bCs/>
          <w:sz w:val="28"/>
          <w:szCs w:val="28"/>
        </w:rPr>
      </w:pPr>
      <w:r>
        <w:rPr>
          <w:rFonts w:hint="eastAsia" w:ascii="仿宋_GB2312" w:eastAsia="仿宋_GB2312" w:hAnsiTheme="minorEastAsia"/>
          <w:b/>
          <w:bCs/>
          <w:sz w:val="28"/>
          <w:szCs w:val="28"/>
        </w:rPr>
        <w:t>1）公园主要出入口应设置绿线标志、位置标志、无障碍标志、应急标志、安全监控和信息发布等设施；</w:t>
      </w:r>
    </w:p>
    <w:p>
      <w:pPr>
        <w:suppressLineNumbers/>
        <w:adjustRightInd w:val="0"/>
        <w:snapToGrid w:val="0"/>
        <w:spacing w:line="500" w:lineRule="exact"/>
        <w:ind w:firstLine="562" w:firstLineChars="200"/>
        <w:rPr>
          <w:rFonts w:ascii="仿宋_GB2312" w:eastAsia="仿宋_GB2312" w:hAnsiTheme="minorEastAsia"/>
          <w:b/>
          <w:bCs/>
          <w:sz w:val="28"/>
          <w:szCs w:val="28"/>
        </w:rPr>
      </w:pPr>
      <w:r>
        <w:rPr>
          <w:rFonts w:hint="eastAsia" w:ascii="仿宋_GB2312" w:eastAsia="仿宋_GB2312" w:hAnsiTheme="minorEastAsia"/>
          <w:b/>
          <w:bCs/>
          <w:sz w:val="28"/>
          <w:szCs w:val="28"/>
        </w:rPr>
        <w:t>2）公园主园路、绿道道路交叉口应设置导向标识；</w:t>
      </w:r>
    </w:p>
    <w:p>
      <w:pPr>
        <w:suppressLineNumbers/>
        <w:adjustRightInd w:val="0"/>
        <w:snapToGrid w:val="0"/>
        <w:spacing w:line="500" w:lineRule="exact"/>
        <w:ind w:firstLine="562" w:firstLineChars="200"/>
        <w:rPr>
          <w:rFonts w:ascii="仿宋_GB2312" w:eastAsia="仿宋_GB2312" w:hAnsiTheme="minorEastAsia"/>
          <w:b/>
          <w:bCs/>
          <w:sz w:val="28"/>
          <w:szCs w:val="28"/>
        </w:rPr>
      </w:pPr>
      <w:r>
        <w:rPr>
          <w:rFonts w:hint="eastAsia" w:ascii="仿宋_GB2312" w:eastAsia="仿宋_GB2312" w:hAnsiTheme="minorEastAsia"/>
          <w:b/>
          <w:bCs/>
          <w:sz w:val="28"/>
          <w:szCs w:val="28"/>
        </w:rPr>
        <w:t>3）公园主要景点、服务中心、厕所和各类公共设施周边，应设置位置标志、无障碍标志和应急标志；</w:t>
      </w:r>
    </w:p>
    <w:p>
      <w:pPr>
        <w:suppressLineNumbers/>
        <w:adjustRightInd w:val="0"/>
        <w:snapToGrid w:val="0"/>
        <w:spacing w:line="500" w:lineRule="exact"/>
        <w:ind w:firstLine="562" w:firstLineChars="200"/>
        <w:rPr>
          <w:rFonts w:ascii="仿宋_GB2312" w:eastAsia="仿宋_GB2312" w:hAnsiTheme="minorEastAsia"/>
          <w:b/>
          <w:bCs/>
          <w:sz w:val="28"/>
          <w:szCs w:val="28"/>
        </w:rPr>
      </w:pPr>
      <w:r>
        <w:rPr>
          <w:rFonts w:hint="eastAsia" w:ascii="仿宋_GB2312" w:eastAsia="仿宋_GB2312" w:hAnsiTheme="minorEastAsia"/>
          <w:b/>
          <w:bCs/>
          <w:sz w:val="28"/>
          <w:szCs w:val="28"/>
        </w:rPr>
        <w:t>4）可能对人身安全造成影响的区域应设置警示标志及安全监控等设施。</w:t>
      </w:r>
    </w:p>
    <w:p>
      <w:pPr>
        <w:suppressLineNumbers/>
        <w:adjustRightInd w:val="0"/>
        <w:snapToGrid w:val="0"/>
        <w:spacing w:line="500" w:lineRule="exact"/>
        <w:ind w:firstLine="562" w:firstLineChars="200"/>
        <w:rPr>
          <w:rFonts w:hint="eastAsia" w:ascii="仿宋_GB2312" w:eastAsia="仿宋_GB2312" w:hAnsiTheme="minorEastAsia"/>
          <w:b/>
          <w:bCs/>
          <w:color w:val="1D41D5"/>
          <w:sz w:val="28"/>
          <w:szCs w:val="28"/>
          <w:highlight w:val="none"/>
          <w:lang w:val="en-US" w:eastAsia="zh-CN"/>
        </w:rPr>
      </w:pPr>
      <w:r>
        <w:rPr>
          <w:rFonts w:hint="eastAsia" w:ascii="仿宋_GB2312" w:eastAsia="仿宋_GB2312" w:hAnsiTheme="minorEastAsia"/>
          <w:b/>
          <w:bCs/>
          <w:sz w:val="28"/>
          <w:szCs w:val="28"/>
          <w:highlight w:val="none"/>
        </w:rPr>
        <w:t>5.3水体岸边设有活动场地的区域，应在下列条件下设置不低于1.05m的防护</w:t>
      </w:r>
      <w:r>
        <w:rPr>
          <w:rFonts w:hint="eastAsia" w:ascii="仿宋_GB2312" w:eastAsia="仿宋_GB2312" w:hAnsiTheme="minorEastAsia"/>
          <w:b/>
          <w:bCs/>
          <w:sz w:val="28"/>
          <w:szCs w:val="28"/>
        </w:rPr>
        <w:t>栏杆：</w:t>
      </w:r>
    </w:p>
    <w:p>
      <w:pPr>
        <w:suppressLineNumbers/>
        <w:adjustRightInd w:val="0"/>
        <w:snapToGrid w:val="0"/>
        <w:spacing w:line="500" w:lineRule="exact"/>
        <w:ind w:firstLine="562" w:firstLineChars="200"/>
        <w:rPr>
          <w:rFonts w:ascii="仿宋_GB2312" w:eastAsia="仿宋_GB2312" w:hAnsiTheme="minorEastAsia"/>
          <w:b/>
          <w:bCs/>
          <w:sz w:val="28"/>
          <w:szCs w:val="28"/>
        </w:rPr>
      </w:pPr>
      <w:r>
        <w:rPr>
          <w:rFonts w:hint="eastAsia" w:ascii="仿宋_GB2312" w:eastAsia="仿宋_GB2312" w:hAnsiTheme="minorEastAsia"/>
          <w:b/>
          <w:bCs/>
          <w:sz w:val="28"/>
          <w:szCs w:val="28"/>
        </w:rPr>
        <w:t>1）近岸2.00m范围内常水位水深大于（含）0.70m的人工驳岸；</w:t>
      </w:r>
    </w:p>
    <w:p>
      <w:pPr>
        <w:suppressLineNumbers/>
        <w:adjustRightInd w:val="0"/>
        <w:snapToGrid w:val="0"/>
        <w:spacing w:line="500" w:lineRule="exact"/>
        <w:ind w:firstLine="562" w:firstLineChars="200"/>
        <w:rPr>
          <w:rFonts w:ascii="仿宋_GB2312" w:eastAsia="仿宋_GB2312" w:hAnsiTheme="minorEastAsia"/>
          <w:b/>
          <w:bCs/>
          <w:sz w:val="28"/>
          <w:szCs w:val="28"/>
        </w:rPr>
      </w:pPr>
      <w:r>
        <w:rPr>
          <w:rFonts w:hint="eastAsia" w:ascii="仿宋_GB2312" w:eastAsia="仿宋_GB2312" w:hAnsiTheme="minorEastAsia"/>
          <w:b/>
          <w:bCs/>
          <w:sz w:val="28"/>
          <w:szCs w:val="28"/>
        </w:rPr>
        <w:t>2）驳岸顶与常水位的垂直距离大于（含）0.50m的驳岸；</w:t>
      </w:r>
    </w:p>
    <w:p>
      <w:pPr>
        <w:suppressLineNumbers/>
        <w:adjustRightInd w:val="0"/>
        <w:snapToGrid w:val="0"/>
        <w:spacing w:line="500" w:lineRule="exact"/>
        <w:ind w:firstLine="562" w:firstLineChars="200"/>
        <w:rPr>
          <w:rFonts w:ascii="仿宋_GB2312" w:eastAsia="仿宋_GB2312" w:hAnsiTheme="minorEastAsia"/>
          <w:b/>
          <w:bCs/>
          <w:sz w:val="28"/>
          <w:szCs w:val="28"/>
        </w:rPr>
      </w:pPr>
      <w:r>
        <w:rPr>
          <w:rFonts w:hint="eastAsia" w:ascii="仿宋_GB2312" w:eastAsia="仿宋_GB2312" w:hAnsiTheme="minorEastAsia"/>
          <w:b/>
          <w:bCs/>
          <w:sz w:val="28"/>
          <w:szCs w:val="28"/>
        </w:rPr>
        <w:t>3）天然淤泥底水体的驳岸。</w:t>
      </w:r>
    </w:p>
    <w:p>
      <w:pPr>
        <w:suppressLineNumbers/>
        <w:adjustRightInd w:val="0"/>
        <w:snapToGrid w:val="0"/>
        <w:spacing w:line="500" w:lineRule="exact"/>
        <w:ind w:firstLine="562" w:firstLineChars="200"/>
        <w:rPr>
          <w:rFonts w:hint="eastAsia" w:ascii="仿宋_GB2312" w:eastAsia="仿宋_GB2312" w:hAnsiTheme="minorEastAsia"/>
          <w:b/>
          <w:bCs/>
          <w:sz w:val="28"/>
          <w:szCs w:val="28"/>
        </w:rPr>
      </w:pPr>
      <w:r>
        <w:rPr>
          <w:rFonts w:hint="eastAsia" w:ascii="仿宋_GB2312" w:eastAsia="仿宋_GB2312" w:hAnsiTheme="minorEastAsia"/>
          <w:b/>
          <w:bCs/>
          <w:sz w:val="28"/>
          <w:szCs w:val="28"/>
          <w:highlight w:val="none"/>
        </w:rPr>
        <w:t>5.4活</w:t>
      </w:r>
      <w:r>
        <w:rPr>
          <w:rFonts w:hint="eastAsia" w:ascii="仿宋_GB2312" w:eastAsia="仿宋_GB2312" w:hAnsiTheme="minorEastAsia"/>
          <w:b/>
          <w:bCs/>
          <w:sz w:val="28"/>
          <w:szCs w:val="28"/>
        </w:rPr>
        <w:t>动场所的防护栏杆必须采用防止幼儿攀登和穿过的构造，当采用垂直杆件做栏杆时，其杆件净距离不应大于9cm。</w:t>
      </w:r>
    </w:p>
    <w:p>
      <w:pPr>
        <w:suppressLineNumbers/>
        <w:adjustRightInd w:val="0"/>
        <w:snapToGrid w:val="0"/>
        <w:spacing w:line="500" w:lineRule="exact"/>
        <w:ind w:firstLine="562" w:firstLineChars="200"/>
        <w:rPr>
          <w:rFonts w:hint="eastAsia" w:ascii="仿宋_GB2312" w:eastAsia="仿宋_GB2312" w:hAnsiTheme="minorEastAsia"/>
          <w:b/>
          <w:bCs/>
          <w:color w:val="auto"/>
          <w:sz w:val="28"/>
          <w:szCs w:val="28"/>
        </w:rPr>
      </w:pPr>
      <w:r>
        <w:rPr>
          <w:rFonts w:hint="eastAsia" w:ascii="仿宋_GB2312" w:eastAsia="仿宋_GB2312" w:hAnsiTheme="minorEastAsia"/>
          <w:b/>
          <w:bCs/>
          <w:color w:val="auto"/>
          <w:sz w:val="28"/>
          <w:szCs w:val="28"/>
          <w:highlight w:val="none"/>
        </w:rPr>
        <w:t>5.5</w:t>
      </w:r>
      <w:r>
        <w:rPr>
          <w:rFonts w:hint="eastAsia" w:ascii="仿宋_GB2312" w:eastAsia="仿宋_GB2312" w:hAnsiTheme="minorEastAsia"/>
          <w:b/>
          <w:bCs/>
          <w:color w:val="auto"/>
          <w:sz w:val="28"/>
          <w:szCs w:val="28"/>
        </w:rPr>
        <w:t>穿越地形险要区域和水域的园路、绿道应设置防护护栏或安全防护绿带及警示标识；安全防护绿带宽度应大于1.5m。</w:t>
      </w:r>
    </w:p>
    <w:p>
      <w:pPr>
        <w:suppressLineNumbers/>
        <w:adjustRightInd w:val="0"/>
        <w:snapToGrid w:val="0"/>
        <w:spacing w:line="500" w:lineRule="exact"/>
        <w:ind w:firstLine="562" w:firstLineChars="200"/>
        <w:rPr>
          <w:rFonts w:hint="eastAsia" w:ascii="仿宋_GB2312" w:eastAsia="仿宋_GB2312" w:hAnsiTheme="minorEastAsia"/>
          <w:b/>
          <w:bCs/>
          <w:color w:val="auto"/>
          <w:sz w:val="28"/>
          <w:szCs w:val="28"/>
        </w:rPr>
      </w:pPr>
      <w:r>
        <w:rPr>
          <w:rFonts w:hint="eastAsia" w:ascii="仿宋_GB2312" w:eastAsia="仿宋_GB2312" w:hAnsiTheme="minorEastAsia"/>
          <w:b/>
          <w:bCs/>
          <w:color w:val="auto"/>
          <w:sz w:val="28"/>
          <w:szCs w:val="28"/>
          <w:highlight w:val="none"/>
        </w:rPr>
        <w:t>5.6</w:t>
      </w:r>
      <w:r>
        <w:rPr>
          <w:rFonts w:hint="eastAsia" w:ascii="仿宋_GB2312" w:eastAsia="仿宋_GB2312" w:hAnsiTheme="minorEastAsia"/>
          <w:b/>
          <w:bCs/>
          <w:color w:val="auto"/>
          <w:sz w:val="28"/>
          <w:szCs w:val="28"/>
        </w:rPr>
        <w:t>动物园内游人隔离带最小宽度应大于成人与展示动物最长肢体之和的长度，最小隔离宽度应大于1.5m。</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highlight w:val="none"/>
        </w:rPr>
        <w:t>5.7</w:t>
      </w:r>
      <w:r>
        <w:rPr>
          <w:rFonts w:hint="eastAsia" w:ascii="仿宋_GB2312" w:eastAsia="仿宋_GB2312" w:hAnsiTheme="minorEastAsia"/>
          <w:sz w:val="28"/>
          <w:szCs w:val="28"/>
        </w:rPr>
        <w:t>居住用地内水景、亲水平台、假山、雕塑等应设置防护设施及警示标志。</w:t>
      </w:r>
    </w:p>
    <w:p>
      <w:pPr>
        <w:suppressLineNumbers/>
        <w:adjustRightInd w:val="0"/>
        <w:snapToGrid w:val="0"/>
        <w:spacing w:line="500" w:lineRule="exact"/>
        <w:ind w:firstLine="562" w:firstLineChars="200"/>
        <w:rPr>
          <w:rFonts w:ascii="仿宋_GB2312" w:eastAsia="仿宋_GB2312" w:hAnsiTheme="minorEastAsia"/>
          <w:b/>
          <w:sz w:val="28"/>
          <w:szCs w:val="28"/>
        </w:rPr>
      </w:pPr>
      <w:bookmarkStart w:id="4" w:name="_Toc93995896"/>
      <w:r>
        <w:rPr>
          <w:rFonts w:hint="eastAsia" w:ascii="仿宋_GB2312" w:eastAsia="仿宋_GB2312" w:hAnsiTheme="minorEastAsia"/>
          <w:b/>
          <w:sz w:val="28"/>
          <w:szCs w:val="28"/>
        </w:rPr>
        <w:t>六、建（构）筑物及园林小品设计</w:t>
      </w:r>
      <w:bookmarkEnd w:id="4"/>
    </w:p>
    <w:p>
      <w:pPr>
        <w:suppressLineNumbers/>
        <w:adjustRightInd w:val="0"/>
        <w:snapToGrid w:val="0"/>
        <w:spacing w:line="500" w:lineRule="exact"/>
        <w:ind w:firstLine="560" w:firstLineChars="200"/>
        <w:rPr>
          <w:rFonts w:hint="eastAsia" w:ascii="仿宋_GB2312" w:eastAsia="仿宋_GB2312" w:hAnsiTheme="minorEastAsia"/>
          <w:color w:val="0000FF"/>
          <w:sz w:val="28"/>
          <w:szCs w:val="28"/>
          <w:lang w:val="en-US" w:eastAsia="zh-CN"/>
        </w:rPr>
      </w:pPr>
      <w:r>
        <w:rPr>
          <w:rFonts w:hint="eastAsia" w:ascii="仿宋_GB2312" w:eastAsia="仿宋_GB2312" w:hAnsiTheme="minorEastAsia"/>
          <w:sz w:val="28"/>
          <w:szCs w:val="28"/>
          <w:highlight w:val="none"/>
        </w:rPr>
        <w:t>6.1</w:t>
      </w:r>
      <w:r>
        <w:rPr>
          <w:rFonts w:hint="eastAsia" w:ascii="仿宋_GB2312" w:eastAsia="仿宋_GB2312" w:hAnsiTheme="minorEastAsia"/>
          <w:sz w:val="28"/>
          <w:szCs w:val="28"/>
        </w:rPr>
        <w:t>公园绿地内园林建（构）筑物设计应运用新理念、新技术、新材料、新能源，利用当地的社会和自然条件，创造富有鲜明地方特点的园林建筑、园林小品。</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并符合下列规定：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1）游客服务中心或主要服务用房内应设母婴室；</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2）应建设避雨设施，廊架宜有避雨功能。</w:t>
      </w:r>
    </w:p>
    <w:p>
      <w:pPr>
        <w:suppressLineNumbers/>
        <w:adjustRightInd w:val="0"/>
        <w:snapToGrid w:val="0"/>
        <w:spacing w:line="500" w:lineRule="exact"/>
        <w:ind w:firstLine="562" w:firstLineChars="200"/>
        <w:rPr>
          <w:rFonts w:hint="eastAsia" w:ascii="仿宋_GB2312" w:eastAsia="仿宋_GB2312" w:hAnsiTheme="minorEastAsia"/>
          <w:b/>
          <w:bCs/>
          <w:color w:val="auto"/>
          <w:sz w:val="28"/>
          <w:szCs w:val="28"/>
        </w:rPr>
      </w:pPr>
      <w:r>
        <w:rPr>
          <w:rFonts w:hint="eastAsia" w:ascii="仿宋_GB2312" w:eastAsia="仿宋_GB2312" w:hAnsiTheme="minorEastAsia"/>
          <w:b/>
          <w:bCs/>
          <w:color w:val="auto"/>
          <w:sz w:val="28"/>
          <w:szCs w:val="28"/>
          <w:highlight w:val="none"/>
        </w:rPr>
        <w:t>6.2</w:t>
      </w:r>
      <w:r>
        <w:rPr>
          <w:rFonts w:hint="eastAsia" w:ascii="仿宋_GB2312" w:eastAsia="仿宋_GB2312" w:hAnsiTheme="minorEastAsia"/>
          <w:b/>
          <w:bCs/>
          <w:color w:val="auto"/>
          <w:sz w:val="28"/>
          <w:szCs w:val="28"/>
        </w:rPr>
        <w:t>承担蓄滞洪功能并与水体相邻用地的园林绿化工程项目，不应在行洪通道内设置妨碍行洪的建（构）筑物和设施。</w:t>
      </w:r>
      <w:bookmarkStart w:id="5" w:name="_Toc73967018"/>
      <w:bookmarkEnd w:id="5"/>
      <w:bookmarkStart w:id="6" w:name="_Toc73967659"/>
      <w:bookmarkEnd w:id="6"/>
      <w:bookmarkStart w:id="7" w:name="_Toc73966573"/>
      <w:bookmarkEnd w:id="7"/>
      <w:bookmarkStart w:id="8" w:name="_Toc73966572"/>
      <w:bookmarkEnd w:id="8"/>
      <w:bookmarkStart w:id="9" w:name="_Toc73967660"/>
      <w:bookmarkEnd w:id="9"/>
      <w:bookmarkStart w:id="10" w:name="_Toc73967019"/>
      <w:bookmarkEnd w:id="10"/>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color w:val="auto"/>
          <w:sz w:val="28"/>
          <w:szCs w:val="28"/>
          <w:highlight w:val="none"/>
        </w:rPr>
        <w:t>6.3</w:t>
      </w:r>
      <w:r>
        <w:rPr>
          <w:rFonts w:hint="eastAsia" w:ascii="仿宋_GB2312" w:eastAsia="仿宋_GB2312" w:hAnsiTheme="minorEastAsia"/>
          <w:sz w:val="28"/>
          <w:szCs w:val="28"/>
        </w:rPr>
        <w:t>游人使用的厕所应符合下列规定：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1）公园应设无障碍厕所且不宜低于AA级旅游公厕标准;</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2）面积大于或等于10公顷的公园，应按游人容量的2％设置厕所厕位(包括小便斗位数)，小于10公顷者按游人容量的1.5％设置；男女厕位比例宜为1：1.5；</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3）在儿童游戏场附近，应设置方便儿童使用的厕位和洗手位；</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4）各厕所内的厕位数应与公园内的游人分布密度相适应；</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5）厕所周边宜预留场地，以便节假日设置临时厕所;</w:t>
      </w:r>
    </w:p>
    <w:p>
      <w:pPr>
        <w:suppressLineNumbers/>
        <w:adjustRightInd w:val="0"/>
        <w:snapToGrid w:val="0"/>
        <w:spacing w:line="500" w:lineRule="exact"/>
        <w:ind w:left="559" w:leftChars="266" w:firstLine="0" w:firstLineChars="0"/>
        <w:rPr>
          <w:rFonts w:hint="eastAsia" w:ascii="仿宋_GB2312" w:eastAsia="仿宋_GB2312" w:hAnsiTheme="minorEastAsia"/>
          <w:sz w:val="28"/>
          <w:szCs w:val="28"/>
          <w:highlight w:val="none"/>
        </w:rPr>
      </w:pPr>
      <w:r>
        <w:rPr>
          <w:rFonts w:hint="eastAsia" w:ascii="仿宋_GB2312" w:eastAsia="仿宋_GB2312" w:hAnsiTheme="minorEastAsia"/>
          <w:sz w:val="28"/>
          <w:szCs w:val="28"/>
          <w:highlight w:val="none"/>
        </w:rPr>
        <w:t>6.4城市绿地内室外活动场地的面层应选择低饱和度的颜色。</w:t>
      </w:r>
    </w:p>
    <w:p>
      <w:pPr>
        <w:suppressLineNumbers/>
        <w:adjustRightInd w:val="0"/>
        <w:snapToGrid w:val="0"/>
        <w:spacing w:line="500" w:lineRule="exact"/>
        <w:ind w:left="559" w:leftChars="266" w:firstLine="0" w:firstLineChars="0"/>
        <w:rPr>
          <w:rFonts w:ascii="仿宋_GB2312" w:eastAsia="仿宋_GB2312" w:hAnsiTheme="minorEastAsia"/>
          <w:sz w:val="28"/>
          <w:szCs w:val="28"/>
          <w:highlight w:val="none"/>
        </w:rPr>
      </w:pPr>
      <w:r>
        <w:rPr>
          <w:rFonts w:hint="eastAsia" w:ascii="仿宋_GB2312" w:eastAsia="仿宋_GB2312" w:hAnsiTheme="minorEastAsia"/>
          <w:sz w:val="28"/>
          <w:szCs w:val="28"/>
          <w:highlight w:val="none"/>
        </w:rPr>
        <w:t>6.5儿童活动区范围内禁止设计会造成伤害的小品及构筑物。</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highlight w:val="none"/>
        </w:rPr>
        <w:t>6.6休</w:t>
      </w:r>
      <w:r>
        <w:rPr>
          <w:rFonts w:hint="eastAsia" w:ascii="仿宋_GB2312" w:eastAsia="仿宋_GB2312" w:hAnsiTheme="minorEastAsia"/>
          <w:sz w:val="28"/>
          <w:szCs w:val="28"/>
        </w:rPr>
        <w:t>息座椅的设置应符合以下规定：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1）座椅应按游人流量、观景、避风向阳、庇荫、遮雨等因素合理设置，其数量可根据绿地陆地面积调整，宜为每公顷20～50个；</w:t>
      </w:r>
    </w:p>
    <w:p>
      <w:pPr>
        <w:suppressLineNumbers/>
        <w:adjustRightInd w:val="0"/>
        <w:snapToGrid w:val="0"/>
        <w:spacing w:line="500" w:lineRule="exact"/>
        <w:ind w:firstLine="560" w:firstLineChars="200"/>
        <w:rPr>
          <w:rFonts w:hint="eastAsia" w:ascii="仿宋_GB2312" w:eastAsia="仿宋_GB2312" w:hAnsiTheme="minorEastAsia"/>
          <w:sz w:val="28"/>
          <w:szCs w:val="28"/>
        </w:rPr>
      </w:pPr>
      <w:r>
        <w:rPr>
          <w:rFonts w:hint="eastAsia" w:ascii="仿宋_GB2312" w:eastAsia="仿宋_GB2312" w:hAnsiTheme="minorEastAsia"/>
          <w:sz w:val="28"/>
          <w:szCs w:val="28"/>
        </w:rPr>
        <w:t>2）休息座椅旁应设置轮椅停留位置，其数量不应小于休息座椅的10％;</w:t>
      </w:r>
    </w:p>
    <w:p>
      <w:pPr>
        <w:suppressLineNumbers/>
        <w:adjustRightInd w:val="0"/>
        <w:snapToGrid w:val="0"/>
        <w:spacing w:line="500" w:lineRule="exact"/>
        <w:ind w:firstLine="560" w:firstLineChars="200"/>
        <w:rPr>
          <w:rFonts w:hint="eastAsia" w:ascii="仿宋_GB2312" w:eastAsia="仿宋_GB2312" w:hAnsiTheme="minorEastAsia"/>
          <w:sz w:val="28"/>
          <w:szCs w:val="28"/>
        </w:rPr>
      </w:pPr>
      <w:r>
        <w:rPr>
          <w:rFonts w:hint="eastAsia" w:ascii="仿宋_GB2312" w:eastAsia="仿宋_GB2312" w:hAnsiTheme="minorEastAsia"/>
          <w:sz w:val="28"/>
          <w:szCs w:val="28"/>
        </w:rPr>
        <w:t>3）主要活动或休息场地附近可适当加密。</w:t>
      </w:r>
    </w:p>
    <w:p>
      <w:pPr>
        <w:suppressLineNumbers/>
        <w:adjustRightInd w:val="0"/>
        <w:snapToGrid w:val="0"/>
        <w:spacing w:line="500" w:lineRule="exact"/>
        <w:ind w:firstLine="560" w:firstLineChars="200"/>
        <w:rPr>
          <w:rFonts w:hint="eastAsia" w:ascii="仿宋_GB2312" w:eastAsia="仿宋_GB2312" w:hAnsiTheme="minorEastAsia"/>
          <w:sz w:val="28"/>
          <w:szCs w:val="28"/>
        </w:rPr>
      </w:pPr>
      <w:r>
        <w:rPr>
          <w:rFonts w:hint="eastAsia" w:ascii="仿宋_GB2312" w:eastAsia="仿宋_GB2312" w:hAnsiTheme="minorEastAsia"/>
          <w:sz w:val="28"/>
          <w:szCs w:val="28"/>
          <w:highlight w:val="none"/>
        </w:rPr>
        <w:t>6.7</w:t>
      </w:r>
      <w:r>
        <w:rPr>
          <w:rFonts w:hint="eastAsia" w:ascii="仿宋_GB2312" w:eastAsia="仿宋_GB2312" w:hAnsiTheme="minorEastAsia"/>
          <w:sz w:val="28"/>
          <w:szCs w:val="28"/>
        </w:rPr>
        <w:t>垃圾箱设置应符合下列规定：</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1）垃圾箱的设置应与游人分布密度相适应，并应设计在人流集中场地的边缘、主要人行道路边缘及公用休息座椅附近；</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2）公园陆地面积小于100公顷时，垃圾箱设置间隔距离宜在50m～100m之间；公园陆地面积大于100公顷时，垃圾箱设置间隔距离宜在100m～200m之间；</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rPr>
        <w:t>3）垃圾箱宜采用有明确标识的分类垃圾箱;</w:t>
      </w:r>
    </w:p>
    <w:p>
      <w:pPr>
        <w:suppressLineNumbers/>
        <w:adjustRightInd w:val="0"/>
        <w:snapToGrid w:val="0"/>
        <w:spacing w:line="500" w:lineRule="exact"/>
        <w:ind w:firstLine="560" w:firstLineChars="200"/>
        <w:rPr>
          <w:rFonts w:hint="eastAsia" w:ascii="仿宋_GB2312" w:eastAsia="仿宋_GB2312" w:hAnsiTheme="minorEastAsia"/>
          <w:sz w:val="28"/>
          <w:szCs w:val="28"/>
        </w:rPr>
      </w:pPr>
      <w:r>
        <w:rPr>
          <w:rFonts w:hint="eastAsia" w:ascii="仿宋_GB2312" w:eastAsia="仿宋_GB2312" w:hAnsiTheme="minorEastAsia"/>
          <w:sz w:val="28"/>
          <w:szCs w:val="28"/>
        </w:rPr>
        <w:t>4）主要活动或休息场地附近可适当加密。</w:t>
      </w:r>
    </w:p>
    <w:p>
      <w:pPr>
        <w:suppressLineNumbers/>
        <w:adjustRightInd w:val="0"/>
        <w:snapToGrid w:val="0"/>
        <w:spacing w:line="500" w:lineRule="exact"/>
        <w:ind w:firstLine="562" w:firstLineChars="200"/>
        <w:rPr>
          <w:rFonts w:ascii="仿宋_GB2312" w:eastAsia="仿宋_GB2312" w:hAnsiTheme="minorEastAsia"/>
          <w:b/>
          <w:bCs/>
          <w:sz w:val="28"/>
          <w:szCs w:val="28"/>
        </w:rPr>
      </w:pPr>
      <w:r>
        <w:rPr>
          <w:rFonts w:hint="eastAsia" w:ascii="仿宋_GB2312" w:eastAsia="仿宋_GB2312" w:hAnsiTheme="minorEastAsia"/>
          <w:b/>
          <w:bCs/>
          <w:sz w:val="28"/>
          <w:szCs w:val="28"/>
          <w:highlight w:val="none"/>
        </w:rPr>
        <w:t>6.8</w:t>
      </w:r>
      <w:r>
        <w:rPr>
          <w:rFonts w:hint="eastAsia" w:ascii="仿宋_GB2312" w:eastAsia="仿宋_GB2312" w:hAnsiTheme="minorEastAsia"/>
          <w:b/>
          <w:bCs/>
          <w:sz w:val="28"/>
          <w:szCs w:val="28"/>
        </w:rPr>
        <w:t>人工堆叠假山的结构强度应满足抗风和抗震强度要求。</w:t>
      </w:r>
    </w:p>
    <w:p>
      <w:pPr>
        <w:pStyle w:val="2"/>
        <w:suppressLineNumbers/>
        <w:adjustRightInd w:val="0"/>
        <w:snapToGrid w:val="0"/>
        <w:spacing w:before="0" w:after="0" w:line="500" w:lineRule="exact"/>
        <w:ind w:firstLine="562" w:firstLineChars="200"/>
        <w:rPr>
          <w:rFonts w:ascii="仿宋_GB2312" w:eastAsia="仿宋_GB2312" w:hAnsiTheme="minorEastAsia"/>
          <w:b/>
          <w:bCs w:val="0"/>
          <w:kern w:val="2"/>
          <w:sz w:val="28"/>
          <w:szCs w:val="28"/>
        </w:rPr>
      </w:pPr>
      <w:bookmarkStart w:id="11" w:name="_Toc93995897"/>
      <w:r>
        <w:rPr>
          <w:rFonts w:hint="eastAsia" w:ascii="仿宋_GB2312" w:eastAsia="仿宋_GB2312" w:hAnsiTheme="minorEastAsia"/>
          <w:b/>
          <w:bCs w:val="0"/>
          <w:kern w:val="2"/>
          <w:sz w:val="28"/>
          <w:szCs w:val="28"/>
        </w:rPr>
        <w:t>七、水资源</w:t>
      </w:r>
      <w:bookmarkEnd w:id="11"/>
    </w:p>
    <w:p>
      <w:pPr>
        <w:suppressLineNumbers/>
        <w:adjustRightInd w:val="0"/>
        <w:snapToGrid w:val="0"/>
        <w:spacing w:line="500" w:lineRule="exact"/>
        <w:ind w:firstLine="562" w:firstLineChars="200"/>
        <w:rPr>
          <w:rFonts w:hint="eastAsia" w:ascii="仿宋_GB2312" w:eastAsia="仿宋_GB2312" w:hAnsiTheme="minorEastAsia"/>
          <w:b/>
          <w:bCs/>
          <w:color w:val="1D41D5"/>
          <w:sz w:val="28"/>
          <w:szCs w:val="28"/>
          <w:highlight w:val="none"/>
          <w:lang w:val="en-US" w:eastAsia="zh-CN"/>
        </w:rPr>
      </w:pPr>
      <w:r>
        <w:rPr>
          <w:rFonts w:hint="eastAsia" w:ascii="仿宋_GB2312" w:eastAsia="仿宋_GB2312" w:hAnsiTheme="minorEastAsia"/>
          <w:b/>
          <w:bCs/>
          <w:sz w:val="28"/>
          <w:szCs w:val="28"/>
          <w:highlight w:val="none"/>
        </w:rPr>
        <w:t>7.1</w:t>
      </w:r>
      <w:r>
        <w:rPr>
          <w:rFonts w:hint="eastAsia" w:ascii="仿宋_GB2312" w:eastAsia="仿宋_GB2312" w:hAnsiTheme="minorEastAsia"/>
          <w:b/>
          <w:bCs/>
          <w:sz w:val="28"/>
          <w:szCs w:val="28"/>
        </w:rPr>
        <w:t>未经净化处理的车行道初期径流雨水不得直接排入道路绿带。</w:t>
      </w:r>
    </w:p>
    <w:p>
      <w:pPr>
        <w:suppressLineNumbers/>
        <w:adjustRightInd w:val="0"/>
        <w:snapToGrid w:val="0"/>
        <w:spacing w:line="500" w:lineRule="exact"/>
        <w:ind w:firstLine="562" w:firstLineChars="200"/>
        <w:rPr>
          <w:rFonts w:ascii="仿宋_GB2312" w:eastAsia="仿宋_GB2312" w:hAnsiTheme="minorEastAsia"/>
          <w:b/>
          <w:bCs/>
          <w:sz w:val="28"/>
          <w:szCs w:val="28"/>
        </w:rPr>
      </w:pPr>
      <w:r>
        <w:rPr>
          <w:rFonts w:hint="eastAsia" w:ascii="仿宋_GB2312" w:eastAsia="仿宋_GB2312" w:hAnsiTheme="minorEastAsia"/>
          <w:b/>
          <w:bCs/>
          <w:sz w:val="28"/>
          <w:szCs w:val="28"/>
        </w:rPr>
        <w:t>未经处理或处理未达标的污水和生产废水不得排入江河湖或景观水体。在污染区及其邻近地区不得设置水体。</w:t>
      </w:r>
    </w:p>
    <w:p>
      <w:pPr>
        <w:suppressLineNumbers/>
        <w:adjustRightInd w:val="0"/>
        <w:snapToGrid w:val="0"/>
        <w:spacing w:line="500" w:lineRule="exact"/>
        <w:ind w:firstLine="562" w:firstLineChars="200"/>
        <w:rPr>
          <w:rFonts w:hint="eastAsia" w:ascii="仿宋_GB2312" w:eastAsia="仿宋_GB2312" w:hAnsiTheme="minorEastAsia"/>
          <w:b/>
          <w:bCs/>
          <w:sz w:val="28"/>
          <w:szCs w:val="28"/>
        </w:rPr>
      </w:pPr>
      <w:r>
        <w:rPr>
          <w:rFonts w:hint="eastAsia" w:ascii="仿宋_GB2312" w:eastAsia="仿宋_GB2312" w:hAnsiTheme="minorEastAsia"/>
          <w:b/>
          <w:bCs/>
          <w:sz w:val="28"/>
          <w:szCs w:val="28"/>
          <w:highlight w:val="none"/>
        </w:rPr>
        <w:t>7.2</w:t>
      </w:r>
      <w:r>
        <w:rPr>
          <w:rFonts w:hint="eastAsia" w:ascii="仿宋_GB2312" w:eastAsia="仿宋_GB2312" w:hAnsiTheme="minorEastAsia"/>
          <w:b/>
          <w:bCs/>
          <w:sz w:val="28"/>
          <w:szCs w:val="28"/>
        </w:rPr>
        <w:t>人体非全身性接触的娱乐性景观用水水质应达到地表水Ⅲ类标准。人体非直接接触的观赏性景观用水水质应达到地表水Ⅳ类标准。</w:t>
      </w:r>
    </w:p>
    <w:p>
      <w:pPr>
        <w:suppressLineNumbers/>
        <w:adjustRightInd w:val="0"/>
        <w:snapToGrid w:val="0"/>
        <w:spacing w:line="500" w:lineRule="exact"/>
        <w:ind w:firstLine="562" w:firstLineChars="200"/>
        <w:rPr>
          <w:rFonts w:hint="eastAsia" w:ascii="仿宋_GB2312" w:eastAsia="仿宋_GB2312" w:hAnsiTheme="minorEastAsia"/>
          <w:b/>
          <w:bCs/>
          <w:sz w:val="28"/>
          <w:szCs w:val="28"/>
        </w:rPr>
      </w:pPr>
      <w:r>
        <w:rPr>
          <w:rFonts w:hint="eastAsia" w:ascii="仿宋_GB2312" w:eastAsia="仿宋_GB2312" w:hAnsiTheme="minorEastAsia"/>
          <w:b/>
          <w:bCs/>
          <w:sz w:val="28"/>
          <w:szCs w:val="28"/>
        </w:rPr>
        <w:t>与游人接触的喷泉水不得使用再生水，且必须采用过滤、循环、净化、充氧等技术措施，保持水质洁净，不得对人身健康产生不良影响。</w:t>
      </w:r>
    </w:p>
    <w:p>
      <w:pPr>
        <w:suppressLineNumbers/>
        <w:adjustRightInd w:val="0"/>
        <w:snapToGrid w:val="0"/>
        <w:spacing w:line="500" w:lineRule="exact"/>
        <w:ind w:firstLine="562" w:firstLineChars="200"/>
        <w:rPr>
          <w:rFonts w:hint="eastAsia" w:ascii="仿宋_GB2312" w:eastAsia="仿宋_GB2312" w:hAnsiTheme="minorEastAsia"/>
          <w:sz w:val="28"/>
          <w:szCs w:val="28"/>
        </w:rPr>
      </w:pPr>
      <w:r>
        <w:rPr>
          <w:rFonts w:hint="eastAsia" w:ascii="仿宋_GB2312" w:eastAsia="仿宋_GB2312" w:hAnsiTheme="minorEastAsia"/>
          <w:b/>
          <w:bCs/>
          <w:sz w:val="28"/>
          <w:szCs w:val="28"/>
          <w:highlight w:val="none"/>
        </w:rPr>
        <w:t>7.3</w:t>
      </w:r>
      <w:r>
        <w:rPr>
          <w:rFonts w:hint="eastAsia" w:ascii="仿宋_GB2312" w:eastAsia="仿宋_GB2312" w:hAnsiTheme="minorEastAsia"/>
          <w:b/>
          <w:bCs/>
          <w:sz w:val="28"/>
          <w:szCs w:val="28"/>
        </w:rPr>
        <w:t>用于植物灌溉的管线及设施应设置防止误饮和误接的明显标识。</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highlight w:val="none"/>
        </w:rPr>
        <w:t>7.4</w:t>
      </w:r>
      <w:r>
        <w:rPr>
          <w:rFonts w:hint="eastAsia" w:ascii="仿宋_GB2312" w:eastAsia="仿宋_GB2312" w:hAnsiTheme="minorEastAsia"/>
          <w:sz w:val="28"/>
          <w:szCs w:val="28"/>
        </w:rPr>
        <w:t>城市绿地应根据需要配备灌溉设施，根据绿地实际情况采用微喷、滴灌、渗灌和其他节水灌溉技术。</w:t>
      </w:r>
      <w:r>
        <w:rPr>
          <w:rFonts w:ascii="仿宋_GB2312" w:eastAsia="仿宋_GB2312" w:hAnsiTheme="minorEastAsia"/>
          <w:sz w:val="28"/>
          <w:szCs w:val="28"/>
        </w:rPr>
        <w:t xml:space="preserve"> </w:t>
      </w:r>
    </w:p>
    <w:p>
      <w:pPr>
        <w:suppressLineNumbers/>
        <w:adjustRightInd w:val="0"/>
        <w:snapToGrid w:val="0"/>
        <w:spacing w:line="500" w:lineRule="exact"/>
        <w:ind w:firstLine="560" w:firstLineChars="200"/>
        <w:rPr>
          <w:rFonts w:hint="default" w:ascii="仿宋_GB2312" w:eastAsia="仿宋_GB2312" w:hAnsiTheme="minorEastAsia"/>
          <w:b w:val="0"/>
          <w:bCs/>
          <w:color w:val="1D41D5"/>
          <w:sz w:val="28"/>
          <w:szCs w:val="28"/>
          <w:highlight w:val="none"/>
          <w:lang w:val="en-US" w:eastAsia="zh-CN"/>
        </w:rPr>
      </w:pPr>
      <w:r>
        <w:rPr>
          <w:rFonts w:hint="eastAsia" w:ascii="仿宋_GB2312" w:eastAsia="仿宋_GB2312" w:hAnsiTheme="minorEastAsia"/>
          <w:sz w:val="28"/>
          <w:szCs w:val="28"/>
          <w:highlight w:val="none"/>
        </w:rPr>
        <w:t>7.5城市绿地应落实海绵城市建设理念。不应抽取地下水作为湿地水源，鼓励使用再生水。</w:t>
      </w:r>
    </w:p>
    <w:p>
      <w:pPr>
        <w:pStyle w:val="2"/>
        <w:suppressLineNumbers/>
        <w:adjustRightInd w:val="0"/>
        <w:snapToGrid w:val="0"/>
        <w:spacing w:before="0" w:after="0" w:line="500" w:lineRule="exact"/>
        <w:ind w:firstLine="562" w:firstLineChars="200"/>
        <w:rPr>
          <w:rFonts w:ascii="仿宋_GB2312" w:eastAsia="仿宋_GB2312" w:hAnsiTheme="minorEastAsia"/>
          <w:b/>
          <w:bCs w:val="0"/>
          <w:kern w:val="2"/>
          <w:sz w:val="28"/>
          <w:szCs w:val="28"/>
        </w:rPr>
      </w:pPr>
      <w:bookmarkStart w:id="12" w:name="_Toc93995898"/>
      <w:r>
        <w:rPr>
          <w:rFonts w:hint="eastAsia" w:ascii="仿宋_GB2312" w:eastAsia="仿宋_GB2312" w:hAnsiTheme="minorEastAsia"/>
          <w:b/>
          <w:bCs w:val="0"/>
          <w:kern w:val="2"/>
          <w:sz w:val="28"/>
          <w:szCs w:val="28"/>
        </w:rPr>
        <w:t>八、电气</w:t>
      </w:r>
      <w:bookmarkEnd w:id="12"/>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highlight w:val="none"/>
        </w:rPr>
        <w:t>8.1</w:t>
      </w:r>
      <w:r>
        <w:rPr>
          <w:rFonts w:hint="eastAsia" w:ascii="仿宋_GB2312" w:eastAsia="仿宋_GB2312" w:hAnsiTheme="minorEastAsia"/>
          <w:sz w:val="28"/>
          <w:szCs w:val="28"/>
        </w:rPr>
        <w:t>城市绿地照明应以功能照明为主，景观照明及灯光造景应考虑生态、环保和节能要求，应避免光污染影响。</w:t>
      </w:r>
    </w:p>
    <w:p>
      <w:pPr>
        <w:suppressLineNumbers/>
        <w:adjustRightInd w:val="0"/>
        <w:snapToGrid w:val="0"/>
        <w:spacing w:line="500" w:lineRule="exact"/>
        <w:ind w:firstLine="560" w:firstLineChars="200"/>
        <w:rPr>
          <w:rFonts w:hint="eastAsia" w:ascii="仿宋_GB2312" w:eastAsia="仿宋_GB2312" w:hAnsiTheme="minorEastAsia"/>
          <w:sz w:val="28"/>
          <w:szCs w:val="28"/>
        </w:rPr>
      </w:pPr>
      <w:r>
        <w:rPr>
          <w:rFonts w:hint="eastAsia" w:ascii="仿宋_GB2312" w:eastAsia="仿宋_GB2312" w:hAnsiTheme="minorEastAsia"/>
          <w:sz w:val="28"/>
          <w:szCs w:val="28"/>
          <w:highlight w:val="none"/>
        </w:rPr>
        <w:t>8.2</w:t>
      </w:r>
      <w:r>
        <w:rPr>
          <w:rFonts w:hint="eastAsia" w:ascii="仿宋_GB2312" w:eastAsia="仿宋_GB2312" w:hAnsiTheme="minorEastAsia"/>
          <w:sz w:val="28"/>
          <w:szCs w:val="28"/>
        </w:rPr>
        <w:t>城市绿地用电应为三级负荷，绿地中游人较多的交通广场的用电应为二级负荷；低压配电宜采用放射式和树干式相结合的系统，供电半径不宜超过300m。</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highlight w:val="none"/>
        </w:rPr>
        <w:t>8.3</w:t>
      </w:r>
      <w:r>
        <w:rPr>
          <w:rFonts w:hint="eastAsia" w:ascii="仿宋_GB2312" w:eastAsia="仿宋_GB2312" w:hAnsiTheme="minorEastAsia"/>
          <w:sz w:val="28"/>
          <w:szCs w:val="28"/>
        </w:rPr>
        <w:t>城市绿地室外照明配电系统在进线电源处应安装具有检修隔离功能的四级开关。</w:t>
      </w:r>
    </w:p>
    <w:p>
      <w:pPr>
        <w:suppressLineNumbers/>
        <w:adjustRightInd w:val="0"/>
        <w:snapToGrid w:val="0"/>
        <w:spacing w:line="500" w:lineRule="exact"/>
        <w:ind w:firstLine="560" w:firstLineChars="200"/>
        <w:rPr>
          <w:rFonts w:hint="eastAsia" w:ascii="仿宋_GB2312" w:eastAsia="仿宋_GB2312" w:hAnsiTheme="minorEastAsia"/>
          <w:sz w:val="28"/>
          <w:szCs w:val="28"/>
        </w:rPr>
      </w:pPr>
      <w:r>
        <w:rPr>
          <w:rFonts w:hint="eastAsia" w:ascii="仿宋_GB2312" w:eastAsia="仿宋_GB2312" w:hAnsiTheme="minorEastAsia"/>
          <w:sz w:val="28"/>
          <w:szCs w:val="28"/>
          <w:highlight w:val="none"/>
        </w:rPr>
        <w:t>8.4</w:t>
      </w:r>
      <w:r>
        <w:rPr>
          <w:rFonts w:hint="eastAsia" w:ascii="仿宋_GB2312" w:eastAsia="仿宋_GB2312" w:hAnsiTheme="minorEastAsia"/>
          <w:sz w:val="28"/>
          <w:szCs w:val="28"/>
        </w:rPr>
        <w:t>城市绿地中的电气设备及照明灯具不应使用0类防触电保护产品。</w:t>
      </w:r>
    </w:p>
    <w:p>
      <w:pPr>
        <w:suppressLineNumbers/>
        <w:adjustRightInd w:val="0"/>
        <w:snapToGrid w:val="0"/>
        <w:spacing w:line="500" w:lineRule="exact"/>
        <w:ind w:firstLine="562" w:firstLineChars="200"/>
        <w:rPr>
          <w:rFonts w:hint="eastAsia" w:ascii="仿宋_GB2312" w:eastAsia="仿宋_GB2312" w:hAnsiTheme="minorEastAsia"/>
          <w:b/>
          <w:bCs/>
          <w:sz w:val="28"/>
          <w:szCs w:val="28"/>
        </w:rPr>
      </w:pPr>
      <w:r>
        <w:rPr>
          <w:rFonts w:hint="eastAsia" w:ascii="仿宋_GB2312" w:eastAsia="仿宋_GB2312" w:hAnsiTheme="minorEastAsia"/>
          <w:b/>
          <w:bCs/>
          <w:sz w:val="28"/>
          <w:szCs w:val="28"/>
          <w:highlight w:val="none"/>
        </w:rPr>
        <w:t>8.5</w:t>
      </w:r>
      <w:r>
        <w:rPr>
          <w:rFonts w:hint="eastAsia" w:ascii="仿宋_GB2312" w:eastAsia="仿宋_GB2312" w:hAnsiTheme="minorEastAsia"/>
          <w:b/>
          <w:bCs/>
          <w:sz w:val="28"/>
          <w:szCs w:val="28"/>
        </w:rPr>
        <w:t>安装在水池内、旱喷泉内的水下灯具必须采用防触电等级为Ⅲ类，防护等级为IPX8的加压水密型灯具，电压不得超过12V。</w:t>
      </w:r>
    </w:p>
    <w:p>
      <w:pPr>
        <w:suppressLineNumbers/>
        <w:adjustRightInd w:val="0"/>
        <w:snapToGrid w:val="0"/>
        <w:spacing w:line="500" w:lineRule="exact"/>
        <w:ind w:firstLine="562" w:firstLineChars="200"/>
        <w:rPr>
          <w:rFonts w:hint="default" w:ascii="仿宋_GB2312" w:eastAsia="仿宋_GB2312" w:hAnsiTheme="minorEastAsia"/>
          <w:sz w:val="28"/>
          <w:szCs w:val="28"/>
          <w:lang w:val="en-US"/>
        </w:rPr>
      </w:pPr>
      <w:r>
        <w:rPr>
          <w:rFonts w:hint="eastAsia" w:ascii="仿宋_GB2312" w:eastAsia="仿宋_GB2312" w:hAnsiTheme="minorEastAsia"/>
          <w:b/>
          <w:bCs/>
          <w:sz w:val="28"/>
          <w:szCs w:val="28"/>
          <w:highlight w:val="none"/>
          <w:lang w:val="en-US" w:eastAsia="zh-CN"/>
        </w:rPr>
        <w:t>8.</w:t>
      </w:r>
      <w:r>
        <w:rPr>
          <w:rFonts w:hint="eastAsia" w:ascii="仿宋_GB2312" w:eastAsia="仿宋_GB2312" w:hAnsiTheme="minorEastAsia"/>
          <w:b/>
          <w:bCs/>
          <w:sz w:val="28"/>
          <w:szCs w:val="28"/>
          <w:highlight w:val="none"/>
        </w:rPr>
        <w:t>6</w:t>
      </w:r>
      <w:r>
        <w:rPr>
          <w:rFonts w:hint="eastAsia" w:ascii="仿宋_GB2312" w:eastAsia="仿宋_GB2312" w:hAnsiTheme="minorEastAsia"/>
          <w:b/>
          <w:bCs/>
          <w:sz w:val="28"/>
          <w:szCs w:val="28"/>
        </w:rPr>
        <w:t>旱喷泉内禁止直接使用电压超过</w:t>
      </w:r>
      <w:r>
        <w:rPr>
          <w:rFonts w:hint="eastAsia" w:ascii="仿宋_GB2312" w:eastAsia="仿宋_GB2312" w:hAnsiTheme="minorEastAsia"/>
          <w:b/>
          <w:bCs/>
          <w:sz w:val="28"/>
          <w:szCs w:val="28"/>
          <w:highlight w:val="none"/>
        </w:rPr>
        <w:t>安全电压</w:t>
      </w:r>
      <w:r>
        <w:rPr>
          <w:rFonts w:hint="eastAsia" w:ascii="仿宋_GB2312" w:eastAsia="仿宋_GB2312" w:hAnsiTheme="minorEastAsia"/>
          <w:b/>
          <w:bCs/>
          <w:sz w:val="28"/>
          <w:szCs w:val="28"/>
        </w:rPr>
        <w:t>的潜水泵。</w:t>
      </w:r>
      <w:bookmarkStart w:id="13" w:name="_Toc93995899"/>
    </w:p>
    <w:p>
      <w:pPr>
        <w:suppressLineNumbers/>
        <w:adjustRightInd w:val="0"/>
        <w:snapToGrid w:val="0"/>
        <w:spacing w:line="500" w:lineRule="exact"/>
        <w:ind w:firstLine="562" w:firstLineChars="200"/>
        <w:rPr>
          <w:rFonts w:ascii="仿宋_GB2312" w:eastAsia="仿宋_GB2312" w:hAnsiTheme="minorEastAsia"/>
          <w:b/>
          <w:bCs/>
          <w:sz w:val="28"/>
          <w:szCs w:val="28"/>
        </w:rPr>
      </w:pPr>
      <w:r>
        <w:rPr>
          <w:rFonts w:hint="eastAsia" w:ascii="仿宋_GB2312" w:eastAsia="仿宋_GB2312" w:hAnsiTheme="minorEastAsia"/>
          <w:b/>
          <w:bCs/>
          <w:sz w:val="28"/>
          <w:szCs w:val="28"/>
        </w:rPr>
        <w:t>九、种植设计</w:t>
      </w:r>
      <w:bookmarkEnd w:id="13"/>
      <w:bookmarkStart w:id="14" w:name="_Toc93995900"/>
    </w:p>
    <w:bookmarkEnd w:id="14"/>
    <w:p>
      <w:pPr>
        <w:suppressLineNumbers/>
        <w:adjustRightInd w:val="0"/>
        <w:snapToGrid w:val="0"/>
        <w:spacing w:line="500" w:lineRule="exact"/>
        <w:ind w:firstLine="562" w:firstLineChars="200"/>
        <w:rPr>
          <w:rFonts w:hint="eastAsia" w:ascii="仿宋_GB2312" w:eastAsia="仿宋_GB2312" w:hAnsiTheme="minorEastAsia"/>
          <w:b/>
          <w:bCs w:val="0"/>
          <w:sz w:val="28"/>
          <w:szCs w:val="28"/>
        </w:rPr>
      </w:pPr>
      <w:r>
        <w:rPr>
          <w:rFonts w:hint="eastAsia" w:ascii="仿宋_GB2312" w:eastAsia="仿宋_GB2312" w:hAnsiTheme="minorEastAsia"/>
          <w:b/>
          <w:bCs w:val="0"/>
          <w:sz w:val="28"/>
          <w:szCs w:val="28"/>
          <w:highlight w:val="none"/>
        </w:rPr>
        <w:t>9.1</w:t>
      </w:r>
      <w:r>
        <w:rPr>
          <w:rFonts w:hint="eastAsia" w:ascii="仿宋_GB2312" w:eastAsia="仿宋_GB2312" w:hAnsiTheme="minorEastAsia"/>
          <w:b/>
          <w:bCs w:val="0"/>
          <w:sz w:val="28"/>
          <w:szCs w:val="28"/>
        </w:rPr>
        <w:t>植物选择应适地适树，应优先选用乡土植物和引种驯化后在当地适生的植物。不应选择国家列入外来有害的植物品种。</w:t>
      </w:r>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highlight w:val="none"/>
        </w:rPr>
        <w:t>9.2</w:t>
      </w:r>
      <w:r>
        <w:rPr>
          <w:rFonts w:hint="eastAsia" w:ascii="仿宋_GB2312" w:eastAsia="仿宋_GB2312" w:hAnsiTheme="minorEastAsia"/>
          <w:bCs/>
          <w:sz w:val="28"/>
          <w:szCs w:val="28"/>
        </w:rPr>
        <w:t>各类城市绿地内绿色植物种植面积占用地总面积(陆地)比例，应符合现行相关的国家标准。</w:t>
      </w:r>
    </w:p>
    <w:p>
      <w:pPr>
        <w:suppressLineNumbers/>
        <w:adjustRightInd w:val="0"/>
        <w:snapToGrid w:val="0"/>
        <w:spacing w:line="500" w:lineRule="exact"/>
        <w:ind w:firstLine="560" w:firstLineChars="200"/>
        <w:rPr>
          <w:rFonts w:hint="default" w:ascii="仿宋_GB2312" w:eastAsia="仿宋_GB2312" w:hAnsiTheme="minorEastAsia"/>
          <w:b w:val="0"/>
          <w:bCs/>
          <w:color w:val="1D41D5"/>
          <w:sz w:val="28"/>
          <w:szCs w:val="28"/>
          <w:highlight w:val="none"/>
          <w:lang w:val="en-US" w:eastAsia="zh-CN"/>
        </w:rPr>
      </w:pPr>
      <w:r>
        <w:rPr>
          <w:rFonts w:hint="eastAsia" w:ascii="仿宋_GB2312" w:eastAsia="仿宋_GB2312" w:hAnsiTheme="minorEastAsia"/>
          <w:bCs/>
          <w:sz w:val="28"/>
          <w:szCs w:val="28"/>
          <w:highlight w:val="none"/>
        </w:rPr>
        <w:t>9.3</w:t>
      </w:r>
      <w:r>
        <w:rPr>
          <w:rFonts w:hint="eastAsia" w:ascii="仿宋_GB2312" w:eastAsia="仿宋_GB2312" w:hAnsiTheme="minorEastAsia"/>
          <w:bCs/>
          <w:sz w:val="28"/>
          <w:szCs w:val="28"/>
        </w:rPr>
        <w:t>乔灌木在城市绿地中的种植面积比例一般宜达到70%，非林下草坪、地被植物面积不宜超过30%。常绿乔木与落叶乔木的数量比例不宜大于1:4。</w:t>
      </w:r>
    </w:p>
    <w:p>
      <w:pPr>
        <w:suppressLineNumbers/>
        <w:adjustRightInd w:val="0"/>
        <w:snapToGrid w:val="0"/>
        <w:spacing w:line="500" w:lineRule="exact"/>
        <w:ind w:firstLine="560" w:firstLineChars="200"/>
        <w:rPr>
          <w:rFonts w:hint="eastAsia" w:ascii="仿宋_GB2312" w:eastAsia="仿宋_GB2312" w:hAnsiTheme="minorEastAsia"/>
          <w:b w:val="0"/>
          <w:bCs/>
          <w:color w:val="1D41D5"/>
          <w:sz w:val="28"/>
          <w:szCs w:val="28"/>
          <w:highlight w:val="none"/>
          <w:lang w:val="en-US" w:eastAsia="zh-CN"/>
        </w:rPr>
      </w:pPr>
      <w:r>
        <w:rPr>
          <w:rFonts w:hint="eastAsia" w:ascii="仿宋_GB2312" w:eastAsia="仿宋_GB2312" w:hAnsiTheme="minorEastAsia"/>
          <w:bCs/>
          <w:sz w:val="28"/>
          <w:szCs w:val="28"/>
          <w:highlight w:val="none"/>
        </w:rPr>
        <w:t>9.4</w:t>
      </w:r>
      <w:r>
        <w:rPr>
          <w:rFonts w:hint="eastAsia" w:ascii="仿宋_GB2312" w:eastAsia="仿宋_GB2312" w:hAnsiTheme="minorEastAsia"/>
          <w:bCs/>
          <w:sz w:val="28"/>
          <w:szCs w:val="28"/>
        </w:rPr>
        <w:t>绿化种植应统筹安排</w:t>
      </w:r>
      <w:r>
        <w:rPr>
          <w:rFonts w:ascii="仿宋_GB2312" w:eastAsia="仿宋_GB2312" w:hAnsiTheme="minorEastAsia"/>
          <w:bCs/>
          <w:sz w:val="28"/>
          <w:szCs w:val="28"/>
        </w:rPr>
        <w:t>好</w:t>
      </w:r>
      <w:r>
        <w:rPr>
          <w:rFonts w:hint="eastAsia" w:ascii="仿宋_GB2312" w:eastAsia="仿宋_GB2312" w:hAnsiTheme="minorEastAsia"/>
          <w:bCs/>
          <w:sz w:val="28"/>
          <w:szCs w:val="28"/>
        </w:rPr>
        <w:t>与建构筑物、道路</w:t>
      </w:r>
      <w:r>
        <w:rPr>
          <w:rFonts w:ascii="仿宋_GB2312" w:eastAsia="仿宋_GB2312" w:hAnsiTheme="minorEastAsia"/>
          <w:bCs/>
          <w:sz w:val="28"/>
          <w:szCs w:val="28"/>
        </w:rPr>
        <w:t>照明、交通设施、地上杆线、地下管线</w:t>
      </w:r>
      <w:r>
        <w:rPr>
          <w:rFonts w:hint="eastAsia" w:ascii="仿宋_GB2312" w:eastAsia="仿宋_GB2312" w:hAnsiTheme="minorEastAsia"/>
          <w:bCs/>
          <w:sz w:val="28"/>
          <w:szCs w:val="28"/>
        </w:rPr>
        <w:t>管廊</w:t>
      </w:r>
      <w:r>
        <w:rPr>
          <w:rFonts w:ascii="仿宋_GB2312" w:eastAsia="仿宋_GB2312" w:hAnsiTheme="minorEastAsia"/>
          <w:bCs/>
          <w:sz w:val="28"/>
          <w:szCs w:val="28"/>
        </w:rPr>
        <w:t>、</w:t>
      </w:r>
      <w:r>
        <w:rPr>
          <w:rFonts w:hint="eastAsia" w:ascii="仿宋_GB2312" w:eastAsia="仿宋_GB2312" w:hAnsiTheme="minorEastAsia"/>
          <w:bCs/>
          <w:sz w:val="28"/>
          <w:szCs w:val="28"/>
        </w:rPr>
        <w:t>安防监控</w:t>
      </w:r>
      <w:r>
        <w:rPr>
          <w:rFonts w:ascii="仿宋_GB2312" w:eastAsia="仿宋_GB2312" w:hAnsiTheme="minorEastAsia"/>
          <w:bCs/>
          <w:sz w:val="28"/>
          <w:szCs w:val="28"/>
        </w:rPr>
        <w:t>等</w:t>
      </w:r>
      <w:r>
        <w:rPr>
          <w:rFonts w:hint="eastAsia" w:ascii="仿宋_GB2312" w:eastAsia="仿宋_GB2312" w:hAnsiTheme="minorEastAsia"/>
          <w:bCs/>
          <w:sz w:val="28"/>
          <w:szCs w:val="28"/>
        </w:rPr>
        <w:t>设施的关系</w:t>
      </w:r>
      <w:r>
        <w:rPr>
          <w:rFonts w:ascii="仿宋_GB2312" w:eastAsia="仿宋_GB2312" w:hAnsiTheme="minorEastAsia"/>
          <w:bCs/>
          <w:sz w:val="28"/>
          <w:szCs w:val="28"/>
        </w:rPr>
        <w:t>，</w:t>
      </w:r>
      <w:r>
        <w:rPr>
          <w:rFonts w:hint="eastAsia" w:ascii="仿宋_GB2312" w:eastAsia="仿宋_GB2312" w:hAnsiTheme="minorEastAsia"/>
          <w:bCs/>
          <w:sz w:val="28"/>
          <w:szCs w:val="28"/>
        </w:rPr>
        <w:t>保证树木必需的立地条件与生长空间。</w:t>
      </w:r>
    </w:p>
    <w:p>
      <w:pPr>
        <w:suppressLineNumbers/>
        <w:adjustRightInd w:val="0"/>
        <w:snapToGrid w:val="0"/>
        <w:spacing w:line="500" w:lineRule="exact"/>
        <w:ind w:firstLine="560" w:firstLineChars="200"/>
        <w:rPr>
          <w:rFonts w:hint="eastAsia" w:ascii="仿宋_GB2312" w:eastAsia="仿宋_GB2312" w:hAnsiTheme="minorEastAsia"/>
          <w:bCs/>
          <w:sz w:val="28"/>
          <w:szCs w:val="28"/>
        </w:rPr>
      </w:pPr>
      <w:r>
        <w:rPr>
          <w:rFonts w:hint="eastAsia" w:ascii="仿宋_GB2312" w:eastAsia="仿宋_GB2312" w:hAnsiTheme="minorEastAsia"/>
          <w:bCs/>
          <w:sz w:val="28"/>
          <w:szCs w:val="28"/>
          <w:highlight w:val="none"/>
        </w:rPr>
        <w:t>9.5</w:t>
      </w:r>
      <w:r>
        <w:rPr>
          <w:rFonts w:hint="eastAsia" w:ascii="仿宋_GB2312" w:eastAsia="仿宋_GB2312" w:hAnsiTheme="minorEastAsia"/>
          <w:bCs/>
          <w:sz w:val="28"/>
          <w:szCs w:val="28"/>
        </w:rPr>
        <w:t>古树名木保护范围不应低于树冠垂直投影外5m的区域。地形塑造填挖土方范围应避让古树名木的保护范围，并应保证树木根系具有良好的排水条件。</w:t>
      </w:r>
    </w:p>
    <w:p>
      <w:pPr>
        <w:suppressLineNumbers/>
        <w:adjustRightInd w:val="0"/>
        <w:snapToGrid w:val="0"/>
        <w:spacing w:line="500" w:lineRule="exact"/>
        <w:ind w:firstLine="560" w:firstLineChars="200"/>
        <w:rPr>
          <w:rFonts w:hint="eastAsia" w:ascii="仿宋_GB2312" w:eastAsia="仿宋_GB2312" w:hAnsiTheme="minorEastAsia"/>
          <w:bCs/>
          <w:sz w:val="28"/>
          <w:szCs w:val="28"/>
        </w:rPr>
      </w:pPr>
      <w:r>
        <w:rPr>
          <w:rFonts w:hint="eastAsia" w:ascii="仿宋_GB2312" w:eastAsia="仿宋_GB2312" w:hAnsiTheme="minorEastAsia"/>
          <w:bCs/>
          <w:sz w:val="28"/>
          <w:szCs w:val="28"/>
        </w:rPr>
        <w:t>除树木保护及加固设施外，不应设置建筑物、构筑物及架（埋）设各种过境管线，不应配置缠绕古树名木的藤本植物。</w:t>
      </w:r>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highlight w:val="none"/>
        </w:rPr>
        <w:t>9.</w:t>
      </w:r>
      <w:r>
        <w:rPr>
          <w:rFonts w:hint="eastAsia" w:ascii="仿宋_GB2312" w:eastAsia="仿宋_GB2312" w:hAnsiTheme="minorEastAsia"/>
          <w:bCs/>
          <w:sz w:val="28"/>
          <w:szCs w:val="28"/>
          <w:highlight w:val="none"/>
          <w:lang w:val="en-US" w:eastAsia="zh-CN"/>
        </w:rPr>
        <w:t>6</w:t>
      </w:r>
      <w:r>
        <w:rPr>
          <w:rFonts w:hint="eastAsia" w:ascii="仿宋_GB2312" w:eastAsia="仿宋_GB2312" w:hAnsiTheme="minorEastAsia"/>
          <w:bCs/>
          <w:sz w:val="28"/>
          <w:szCs w:val="28"/>
        </w:rPr>
        <w:t>建设节约型园林，新建绿地宜选用城市绿地中疏减的树木，需新购苗木宜选用质优大苗。</w:t>
      </w:r>
    </w:p>
    <w:p>
      <w:pPr>
        <w:suppressLineNumbers/>
        <w:adjustRightInd w:val="0"/>
        <w:snapToGrid w:val="0"/>
        <w:spacing w:line="500" w:lineRule="exact"/>
        <w:ind w:firstLine="560" w:firstLineChars="200"/>
        <w:rPr>
          <w:rFonts w:hint="default" w:ascii="仿宋_GB2312" w:eastAsia="仿宋_GB2312" w:hAnsiTheme="minorEastAsia"/>
          <w:bCs/>
          <w:color w:val="1D41D5"/>
          <w:sz w:val="28"/>
          <w:szCs w:val="28"/>
          <w:highlight w:val="none"/>
          <w:lang w:val="en-US" w:eastAsia="zh-CN"/>
        </w:rPr>
      </w:pPr>
      <w:r>
        <w:rPr>
          <w:rFonts w:hint="eastAsia" w:ascii="仿宋_GB2312" w:eastAsia="仿宋_GB2312" w:hAnsiTheme="minorEastAsia"/>
          <w:bCs/>
          <w:color w:val="auto"/>
          <w:sz w:val="28"/>
          <w:szCs w:val="28"/>
          <w:highlight w:val="none"/>
        </w:rPr>
        <w:t>9.7城市绿地内公共活动广场周边宜种植高大乔木。集中成片绿地不宜小于广场总面积的25％，并宜设计成开放式绿地，植物配置宜疏朗通透。</w:t>
      </w:r>
    </w:p>
    <w:p>
      <w:pPr>
        <w:suppressLineNumbers/>
        <w:adjustRightInd w:val="0"/>
        <w:snapToGrid w:val="0"/>
        <w:spacing w:line="500" w:lineRule="exact"/>
        <w:ind w:firstLine="560" w:firstLineChars="200"/>
        <w:rPr>
          <w:rFonts w:hint="eastAsia" w:ascii="仿宋_GB2312" w:eastAsia="仿宋_GB2312" w:hAnsiTheme="minorEastAsia"/>
          <w:b w:val="0"/>
          <w:bCs/>
          <w:color w:val="1D41D5"/>
          <w:sz w:val="28"/>
          <w:szCs w:val="28"/>
          <w:highlight w:val="none"/>
          <w:lang w:eastAsia="zh-CN"/>
        </w:rPr>
      </w:pPr>
      <w:r>
        <w:rPr>
          <w:rFonts w:hint="eastAsia" w:ascii="仿宋_GB2312" w:eastAsia="仿宋_GB2312" w:hAnsiTheme="minorEastAsia"/>
          <w:bCs/>
          <w:color w:val="auto"/>
          <w:sz w:val="28"/>
          <w:szCs w:val="28"/>
          <w:highlight w:val="none"/>
        </w:rPr>
        <w:t>9.8城市绿地内硬质场地上的种植池和行道树种植池净宽应不小于1.5m。</w:t>
      </w:r>
    </w:p>
    <w:p>
      <w:pPr>
        <w:suppressLineNumbers/>
        <w:adjustRightInd w:val="0"/>
        <w:snapToGrid w:val="0"/>
        <w:spacing w:line="500" w:lineRule="exact"/>
        <w:ind w:firstLine="560" w:firstLineChars="200"/>
        <w:rPr>
          <w:rFonts w:hint="eastAsia" w:ascii="仿宋_GB2312" w:eastAsia="仿宋_GB2312" w:hAnsiTheme="minorEastAsia"/>
          <w:bCs/>
          <w:sz w:val="28"/>
          <w:szCs w:val="28"/>
        </w:rPr>
      </w:pPr>
      <w:r>
        <w:rPr>
          <w:rFonts w:hint="eastAsia" w:ascii="仿宋_GB2312" w:eastAsia="仿宋_GB2312" w:hAnsiTheme="minorEastAsia"/>
          <w:bCs/>
          <w:sz w:val="28"/>
          <w:szCs w:val="28"/>
          <w:highlight w:val="none"/>
        </w:rPr>
        <w:t>9.9</w:t>
      </w:r>
      <w:r>
        <w:rPr>
          <w:rFonts w:hint="eastAsia" w:ascii="仿宋_GB2312" w:eastAsia="仿宋_GB2312" w:hAnsiTheme="minorEastAsia"/>
          <w:bCs/>
          <w:sz w:val="28"/>
          <w:szCs w:val="28"/>
        </w:rPr>
        <w:t>健身场地、儿童活动场地内和周边环境不应配置有毒、有刺、有刺激性气味等易对儿童造成伤害的植物。</w:t>
      </w:r>
    </w:p>
    <w:p>
      <w:pPr>
        <w:suppressLineNumbers/>
        <w:adjustRightInd w:val="0"/>
        <w:snapToGrid w:val="0"/>
        <w:spacing w:line="500" w:lineRule="exact"/>
        <w:ind w:firstLine="560" w:firstLineChars="200"/>
        <w:rPr>
          <w:rFonts w:hint="default" w:ascii="仿宋_GB2312" w:eastAsia="仿宋_GB2312" w:hAnsiTheme="minorEastAsia"/>
          <w:b w:val="0"/>
          <w:bCs/>
          <w:color w:val="1D41D5"/>
          <w:sz w:val="28"/>
          <w:szCs w:val="28"/>
          <w:highlight w:val="none"/>
          <w:lang w:val="en-US" w:eastAsia="zh-CN"/>
        </w:rPr>
      </w:pPr>
      <w:r>
        <w:rPr>
          <w:rFonts w:hint="eastAsia" w:ascii="仿宋_GB2312" w:eastAsia="仿宋_GB2312" w:hAnsiTheme="minorEastAsia"/>
          <w:bCs/>
          <w:sz w:val="28"/>
          <w:szCs w:val="28"/>
          <w:highlight w:val="none"/>
        </w:rPr>
        <w:t>9.10</w:t>
      </w:r>
      <w:r>
        <w:rPr>
          <w:rFonts w:hint="eastAsia" w:ascii="仿宋_GB2312" w:eastAsia="仿宋_GB2312" w:hAnsiTheme="minorEastAsia"/>
          <w:bCs/>
          <w:sz w:val="28"/>
          <w:szCs w:val="28"/>
        </w:rPr>
        <w:t>除功能需求外，城市绿地不应大规模种植模纹、色块、球型等修剪灌木及单一草坪。</w:t>
      </w:r>
    </w:p>
    <w:p>
      <w:pPr>
        <w:suppressLineNumbers/>
        <w:adjustRightInd w:val="0"/>
        <w:snapToGrid w:val="0"/>
        <w:spacing w:line="500" w:lineRule="exact"/>
        <w:ind w:firstLine="560" w:firstLineChars="200"/>
        <w:rPr>
          <w:rFonts w:ascii="仿宋_GB2312" w:eastAsia="仿宋_GB2312" w:hAnsiTheme="minorEastAsia"/>
          <w:b/>
          <w:bCs/>
          <w:sz w:val="28"/>
          <w:szCs w:val="28"/>
        </w:rPr>
      </w:pPr>
      <w:r>
        <w:rPr>
          <w:rFonts w:hint="eastAsia" w:ascii="仿宋_GB2312" w:eastAsia="仿宋_GB2312" w:hAnsiTheme="minorEastAsia"/>
          <w:sz w:val="28"/>
          <w:szCs w:val="28"/>
          <w:highlight w:val="none"/>
        </w:rPr>
        <w:t>9.11</w:t>
      </w:r>
      <w:r>
        <w:rPr>
          <w:rFonts w:hint="eastAsia" w:ascii="仿宋_GB2312" w:eastAsia="仿宋_GB2312" w:hAnsiTheme="minorEastAsia"/>
          <w:sz w:val="28"/>
          <w:szCs w:val="28"/>
        </w:rPr>
        <w:t>开山筑路而形成的裸露坡面，可喷播草籽或设置攀缘绿化或拱形护坡等其他坡面绿化形式。</w:t>
      </w:r>
    </w:p>
    <w:p>
      <w:pPr>
        <w:pStyle w:val="4"/>
        <w:suppressLineNumbers/>
        <w:adjustRightInd w:val="0"/>
        <w:snapToGrid w:val="0"/>
        <w:spacing w:before="0" w:after="0" w:line="500" w:lineRule="exact"/>
        <w:ind w:firstLine="562" w:firstLineChars="200"/>
        <w:rPr>
          <w:rFonts w:ascii="仿宋_GB2312" w:eastAsia="仿宋_GB2312" w:hAnsiTheme="minorEastAsia"/>
          <w:b/>
          <w:bCs/>
          <w:sz w:val="28"/>
          <w:szCs w:val="28"/>
        </w:rPr>
      </w:pPr>
      <w:r>
        <w:rPr>
          <w:rFonts w:hint="eastAsia" w:ascii="仿宋_GB2312" w:eastAsia="仿宋_GB2312" w:hAnsiTheme="minorEastAsia"/>
          <w:b/>
          <w:bCs/>
          <w:sz w:val="28"/>
          <w:szCs w:val="28"/>
          <w:highlight w:val="none"/>
        </w:rPr>
        <w:t>9.12</w:t>
      </w:r>
      <w:r>
        <w:rPr>
          <w:rFonts w:hint="eastAsia" w:ascii="仿宋_GB2312" w:eastAsia="仿宋_GB2312" w:hAnsiTheme="minorEastAsia"/>
          <w:b/>
          <w:bCs/>
          <w:sz w:val="28"/>
          <w:szCs w:val="28"/>
        </w:rPr>
        <w:t>乔木与建（构）筑物的最小水平距离应符合表9.1的规定：</w:t>
      </w:r>
    </w:p>
    <w:p>
      <w:pPr>
        <w:suppressLineNumbers/>
        <w:adjustRightInd w:val="0"/>
        <w:snapToGrid w:val="0"/>
        <w:spacing w:line="500" w:lineRule="exact"/>
        <w:jc w:val="center"/>
        <w:rPr>
          <w:rFonts w:ascii="仿宋_GB2312" w:eastAsia="仿宋_GB2312" w:hAnsiTheme="minorEastAsia"/>
          <w:b/>
          <w:bCs/>
          <w:sz w:val="28"/>
          <w:szCs w:val="28"/>
        </w:rPr>
      </w:pPr>
      <w:r>
        <w:rPr>
          <w:rFonts w:hint="eastAsia" w:ascii="仿宋_GB2312" w:eastAsia="仿宋_GB2312" w:hAnsiTheme="minorEastAsia"/>
          <w:b/>
          <w:bCs/>
          <w:sz w:val="28"/>
          <w:szCs w:val="28"/>
        </w:rPr>
        <w:t>表9.1</w:t>
      </w:r>
      <w:r>
        <w:rPr>
          <w:rFonts w:hint="eastAsia" w:ascii="仿宋_GB2312" w:eastAsia="仿宋_GB2312" w:hAnsiTheme="minorEastAsia"/>
          <w:b/>
          <w:bCs/>
          <w:sz w:val="28"/>
          <w:szCs w:val="28"/>
        </w:rPr>
        <w:tab/>
      </w:r>
      <w:r>
        <w:rPr>
          <w:rFonts w:hint="eastAsia" w:ascii="仿宋_GB2312" w:eastAsia="仿宋_GB2312" w:hAnsiTheme="minorEastAsia"/>
          <w:b/>
          <w:bCs/>
          <w:sz w:val="28"/>
          <w:szCs w:val="28"/>
        </w:rPr>
        <w:t>乔木与建（构）筑物的最小水平距离</w:t>
      </w:r>
    </w:p>
    <w:tbl>
      <w:tblPr>
        <w:tblStyle w:val="23"/>
        <w:tblW w:w="86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43"/>
        <w:gridCol w:w="1417"/>
        <w:gridCol w:w="1134"/>
        <w:gridCol w:w="2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43" w:type="dxa"/>
            <w:tcBorders>
              <w:tl2br w:val="single" w:color="auto" w:sz="4" w:space="0"/>
            </w:tcBorders>
            <w:vAlign w:val="center"/>
          </w:tcPr>
          <w:p>
            <w:pPr>
              <w:pStyle w:val="21"/>
              <w:suppressLineNumbers/>
              <w:adjustRightInd w:val="0"/>
              <w:snapToGrid w:val="0"/>
              <w:spacing w:before="0" w:beforeAutospacing="0" w:after="0" w:afterAutospacing="0" w:line="0" w:lineRule="atLeast"/>
              <w:ind w:firstLine="2771" w:firstLineChars="1150"/>
              <w:rPr>
                <w:rFonts w:ascii="仿宋_GB2312" w:eastAsia="仿宋_GB2312" w:hAnsiTheme="minorEastAsia" w:cstheme="minorBidi"/>
                <w:b/>
                <w:bCs/>
                <w:kern w:val="2"/>
              </w:rPr>
            </w:pPr>
            <w:r>
              <w:rPr>
                <w:rFonts w:hint="eastAsia" w:ascii="仿宋_GB2312" w:eastAsia="仿宋_GB2312" w:hAnsiTheme="minorEastAsia" w:cstheme="minorBidi"/>
                <w:b/>
                <w:bCs/>
                <w:kern w:val="2"/>
              </w:rPr>
              <w:t>距离</w:t>
            </w:r>
          </w:p>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设施名称</w:t>
            </w:r>
          </w:p>
        </w:tc>
        <w:tc>
          <w:tcPr>
            <w:tcW w:w="2551" w:type="dxa"/>
            <w:gridSpan w:val="2"/>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b/>
                <w:bCs/>
                <w:kern w:val="2"/>
              </w:rPr>
            </w:pPr>
            <w:r>
              <w:rPr>
                <w:rFonts w:hint="eastAsia" w:ascii="仿宋_GB2312" w:eastAsia="仿宋_GB2312" w:hAnsiTheme="minorEastAsia" w:cstheme="minorBidi"/>
                <w:b/>
                <w:bCs/>
                <w:kern w:val="2"/>
              </w:rPr>
              <w:t>距大中乔木中心不小于（m）</w:t>
            </w:r>
          </w:p>
        </w:tc>
        <w:tc>
          <w:tcPr>
            <w:tcW w:w="2381" w:type="dxa"/>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b/>
                <w:bCs/>
                <w:kern w:val="2"/>
              </w:rPr>
            </w:pPr>
            <w:r>
              <w:rPr>
                <w:rFonts w:hint="eastAsia" w:ascii="仿宋_GB2312" w:eastAsia="仿宋_GB2312" w:hAnsiTheme="minorEastAsia" w:cstheme="minorBidi"/>
                <w:b/>
                <w:bCs/>
                <w:kern w:val="2"/>
              </w:rPr>
              <w:t>距小乔木中心不小于（m）*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743" w:type="dxa"/>
            <w:vMerge w:val="restart"/>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多层以上普通住宅建筑南窗（正南方向）</w:t>
            </w:r>
          </w:p>
        </w:tc>
        <w:tc>
          <w:tcPr>
            <w:tcW w:w="141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b/>
                <w:bCs/>
                <w:kern w:val="2"/>
                <w:highlight w:val="none"/>
              </w:rPr>
            </w:pPr>
            <w:r>
              <w:rPr>
                <w:rFonts w:hint="eastAsia" w:ascii="仿宋_GB2312" w:eastAsia="仿宋_GB2312" w:hAnsiTheme="minorEastAsia" w:cstheme="minorBidi"/>
                <w:b/>
                <w:bCs/>
                <w:kern w:val="2"/>
                <w:highlight w:val="none"/>
              </w:rPr>
              <w:t>常绿乔木</w:t>
            </w:r>
          </w:p>
        </w:tc>
        <w:tc>
          <w:tcPr>
            <w:tcW w:w="1134"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b/>
                <w:bCs/>
                <w:kern w:val="2"/>
                <w:highlight w:val="none"/>
              </w:rPr>
            </w:pPr>
            <w:r>
              <w:rPr>
                <w:rFonts w:hint="eastAsia" w:ascii="仿宋_GB2312" w:eastAsia="仿宋_GB2312" w:hAnsiTheme="minorEastAsia" w:cstheme="minorBidi"/>
                <w:b/>
                <w:bCs/>
                <w:kern w:val="2"/>
                <w:highlight w:val="none"/>
              </w:rPr>
              <w:t>7</w:t>
            </w:r>
          </w:p>
        </w:tc>
        <w:tc>
          <w:tcPr>
            <w:tcW w:w="238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b/>
                <w:bCs/>
                <w:kern w:val="2"/>
                <w:highlight w:val="none"/>
              </w:rPr>
            </w:pPr>
            <w:r>
              <w:rPr>
                <w:rFonts w:hint="eastAsia" w:ascii="仿宋_GB2312" w:eastAsia="仿宋_GB2312" w:hAnsiTheme="minorEastAsia" w:cstheme="minorBidi"/>
                <w:b/>
                <w:bCs/>
                <w:kern w:val="2"/>
                <w:highlight w:val="none"/>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6" w:hRule="atLeast"/>
          <w:jc w:val="center"/>
        </w:trPr>
        <w:tc>
          <w:tcPr>
            <w:tcW w:w="3743" w:type="dxa"/>
            <w:vMerge w:val="continue"/>
            <w:vAlign w:val="center"/>
          </w:tcPr>
          <w:p>
            <w:pPr>
              <w:pStyle w:val="21"/>
              <w:suppressLineNumbers/>
              <w:adjustRightInd w:val="0"/>
              <w:snapToGrid w:val="0"/>
              <w:spacing w:before="0" w:beforeAutospacing="0" w:after="0" w:afterAutospacing="0" w:line="0" w:lineRule="atLeast"/>
              <w:ind w:firstLine="482" w:firstLineChars="200"/>
              <w:jc w:val="center"/>
              <w:rPr>
                <w:rFonts w:ascii="仿宋_GB2312" w:eastAsia="仿宋_GB2312" w:hAnsiTheme="minorEastAsia" w:cstheme="minorBidi"/>
                <w:b/>
                <w:bCs/>
                <w:kern w:val="2"/>
              </w:rPr>
            </w:pPr>
          </w:p>
        </w:tc>
        <w:tc>
          <w:tcPr>
            <w:tcW w:w="141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b/>
                <w:bCs/>
                <w:kern w:val="2"/>
                <w:highlight w:val="none"/>
              </w:rPr>
            </w:pPr>
            <w:r>
              <w:rPr>
                <w:rFonts w:hint="eastAsia" w:ascii="仿宋_GB2312" w:eastAsia="仿宋_GB2312" w:hAnsiTheme="minorEastAsia" w:cstheme="minorBidi"/>
                <w:b/>
                <w:bCs/>
                <w:kern w:val="2"/>
                <w:highlight w:val="none"/>
              </w:rPr>
              <w:t>落叶乔木</w:t>
            </w:r>
          </w:p>
        </w:tc>
        <w:tc>
          <w:tcPr>
            <w:tcW w:w="1134"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b/>
                <w:bCs/>
                <w:kern w:val="2"/>
                <w:highlight w:val="none"/>
              </w:rPr>
            </w:pPr>
            <w:r>
              <w:rPr>
                <w:rFonts w:hint="eastAsia" w:ascii="仿宋_GB2312" w:eastAsia="仿宋_GB2312" w:hAnsiTheme="minorEastAsia" w:cstheme="minorBidi"/>
                <w:b/>
                <w:bCs/>
                <w:kern w:val="2"/>
                <w:highlight w:val="none"/>
              </w:rPr>
              <w:t>4</w:t>
            </w:r>
          </w:p>
        </w:tc>
        <w:tc>
          <w:tcPr>
            <w:tcW w:w="238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b/>
                <w:bCs/>
                <w:kern w:val="2"/>
                <w:highlight w:val="none"/>
              </w:rPr>
            </w:pPr>
            <w:r>
              <w:rPr>
                <w:rFonts w:hint="eastAsia" w:ascii="仿宋_GB2312" w:eastAsia="仿宋_GB2312" w:hAnsiTheme="minorEastAsia" w:cstheme="minorBidi"/>
                <w:b/>
                <w:bCs/>
                <w:kern w:val="2"/>
                <w:highlight w:val="none"/>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43"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有防洪排涝功能的河道挡土墙顶内和墙角外</w:t>
            </w:r>
          </w:p>
        </w:tc>
        <w:tc>
          <w:tcPr>
            <w:tcW w:w="2551" w:type="dxa"/>
            <w:gridSpan w:val="2"/>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b/>
                <w:bCs/>
                <w:kern w:val="2"/>
              </w:rPr>
            </w:pPr>
            <w:r>
              <w:rPr>
                <w:rFonts w:hint="eastAsia" w:ascii="仿宋_GB2312" w:eastAsia="仿宋_GB2312" w:hAnsiTheme="minorEastAsia" w:cstheme="minorBidi"/>
                <w:b/>
                <w:bCs/>
                <w:kern w:val="2"/>
              </w:rPr>
              <w:t>5.0</w:t>
            </w:r>
          </w:p>
        </w:tc>
        <w:tc>
          <w:tcPr>
            <w:tcW w:w="238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b/>
                <w:bCs/>
                <w:kern w:val="2"/>
              </w:rPr>
            </w:pPr>
            <w:r>
              <w:rPr>
                <w:rFonts w:hint="eastAsia" w:ascii="仿宋_GB2312" w:eastAsia="仿宋_GB2312" w:hAnsiTheme="minorEastAsia" w:cstheme="minorBidi"/>
                <w:b/>
                <w:bCs/>
                <w:kern w:val="2"/>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43"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挡土墙顶内和墙角外</w:t>
            </w:r>
          </w:p>
        </w:tc>
        <w:tc>
          <w:tcPr>
            <w:tcW w:w="2551" w:type="dxa"/>
            <w:gridSpan w:val="2"/>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b/>
                <w:bCs/>
                <w:kern w:val="2"/>
              </w:rPr>
            </w:pPr>
            <w:r>
              <w:rPr>
                <w:rFonts w:hint="eastAsia" w:ascii="仿宋_GB2312" w:eastAsia="仿宋_GB2312" w:hAnsiTheme="minorEastAsia" w:cstheme="minorBidi"/>
                <w:b/>
                <w:bCs/>
                <w:kern w:val="2"/>
              </w:rPr>
              <w:t>2.0</w:t>
            </w:r>
          </w:p>
        </w:tc>
        <w:tc>
          <w:tcPr>
            <w:tcW w:w="2381" w:type="dxa"/>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b/>
                <w:bCs/>
                <w:kern w:val="2"/>
              </w:rPr>
            </w:pPr>
            <w:r>
              <w:rPr>
                <w:rFonts w:hint="eastAsia" w:ascii="仿宋_GB2312" w:eastAsia="仿宋_GB2312" w:hAnsiTheme="minorEastAsia" w:cstheme="minorBidi"/>
                <w:b/>
                <w:bCs/>
                <w:kern w:val="2"/>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43"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高于2.0m的围墙（及挡土墙基）</w:t>
            </w:r>
          </w:p>
        </w:tc>
        <w:tc>
          <w:tcPr>
            <w:tcW w:w="2551" w:type="dxa"/>
            <w:gridSpan w:val="2"/>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b/>
                <w:bCs/>
                <w:kern w:val="2"/>
              </w:rPr>
            </w:pPr>
            <w:r>
              <w:rPr>
                <w:rFonts w:hint="eastAsia" w:ascii="仿宋_GB2312" w:eastAsia="仿宋_GB2312" w:hAnsiTheme="minorEastAsia" w:cstheme="minorBidi"/>
                <w:b/>
                <w:bCs/>
                <w:kern w:val="2"/>
              </w:rPr>
              <w:t>2.0</w:t>
            </w:r>
          </w:p>
        </w:tc>
        <w:tc>
          <w:tcPr>
            <w:tcW w:w="2381" w:type="dxa"/>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b/>
                <w:bCs/>
                <w:kern w:val="2"/>
              </w:rPr>
            </w:pPr>
            <w:r>
              <w:rPr>
                <w:rFonts w:hint="eastAsia" w:ascii="仿宋_GB2312" w:eastAsia="仿宋_GB2312" w:hAnsiTheme="minorEastAsia" w:cstheme="minorBidi"/>
                <w:b/>
                <w:bCs/>
                <w:kern w:val="2"/>
              </w:rPr>
              <w:t>1.5</w:t>
            </w:r>
          </w:p>
        </w:tc>
      </w:tr>
    </w:tbl>
    <w:p>
      <w:pPr>
        <w:pStyle w:val="4"/>
        <w:suppressLineNumbers/>
        <w:adjustRightInd w:val="0"/>
        <w:snapToGrid w:val="0"/>
        <w:spacing w:before="0" w:after="0" w:line="500" w:lineRule="exact"/>
        <w:ind w:firstLine="562" w:firstLineChars="200"/>
        <w:rPr>
          <w:rFonts w:hint="default" w:ascii="仿宋_GB2312" w:eastAsia="仿宋_GB2312" w:hAnsiTheme="minorEastAsia" w:cstheme="minorBidi"/>
          <w:b/>
          <w:bCs/>
          <w:color w:val="1D41D5"/>
          <w:kern w:val="2"/>
          <w:sz w:val="28"/>
          <w:szCs w:val="28"/>
          <w:highlight w:val="none"/>
          <w:lang w:val="en-US" w:eastAsia="zh-CN" w:bidi="ar-SA"/>
        </w:rPr>
      </w:pPr>
      <w:r>
        <w:rPr>
          <w:rFonts w:hint="eastAsia" w:ascii="仿宋_GB2312" w:eastAsia="仿宋_GB2312" w:hAnsiTheme="minorEastAsia"/>
          <w:b/>
          <w:bCs/>
          <w:sz w:val="28"/>
          <w:szCs w:val="28"/>
          <w:highlight w:val="none"/>
        </w:rPr>
        <w:t>9.13</w:t>
      </w:r>
      <w:r>
        <w:rPr>
          <w:rFonts w:hint="eastAsia" w:ascii="仿宋_GB2312" w:eastAsia="仿宋_GB2312" w:hAnsiTheme="minorEastAsia"/>
          <w:b/>
          <w:bCs/>
          <w:sz w:val="28"/>
          <w:szCs w:val="28"/>
        </w:rPr>
        <w:t>新栽乔木与架空电力线路导线的最小距离，在计算最大风偏情况下，应符合表9.2的规定：</w:t>
      </w:r>
    </w:p>
    <w:p>
      <w:pPr>
        <w:suppressLineNumbers/>
        <w:adjustRightInd w:val="0"/>
        <w:snapToGrid w:val="0"/>
        <w:spacing w:line="500" w:lineRule="exact"/>
        <w:jc w:val="center"/>
        <w:rPr>
          <w:rFonts w:ascii="仿宋_GB2312" w:eastAsia="仿宋_GB2312" w:hAnsiTheme="minorEastAsia"/>
          <w:b/>
          <w:bCs/>
          <w:sz w:val="28"/>
          <w:szCs w:val="28"/>
        </w:rPr>
      </w:pPr>
      <w:r>
        <w:rPr>
          <w:rFonts w:hint="eastAsia" w:ascii="仿宋_GB2312" w:eastAsia="仿宋_GB2312" w:hAnsiTheme="minorEastAsia"/>
          <w:b/>
          <w:bCs/>
          <w:sz w:val="28"/>
          <w:szCs w:val="28"/>
        </w:rPr>
        <w:t>表9.2乔木与架空电力线路导线的最小距离</w:t>
      </w:r>
    </w:p>
    <w:tbl>
      <w:tblPr>
        <w:tblStyle w:val="23"/>
        <w:tblW w:w="85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6"/>
        <w:gridCol w:w="1070"/>
        <w:gridCol w:w="1071"/>
        <w:gridCol w:w="1071"/>
        <w:gridCol w:w="1070"/>
        <w:gridCol w:w="1071"/>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16"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电压（kv）</w:t>
            </w:r>
          </w:p>
        </w:tc>
        <w:tc>
          <w:tcPr>
            <w:tcW w:w="1070"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3-10</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35-66</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110</w:t>
            </w:r>
          </w:p>
        </w:tc>
        <w:tc>
          <w:tcPr>
            <w:tcW w:w="1070"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220</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330</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6"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垂直距离（m）</w:t>
            </w:r>
          </w:p>
        </w:tc>
        <w:tc>
          <w:tcPr>
            <w:tcW w:w="1070"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3.0</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4.0</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4.0</w:t>
            </w:r>
          </w:p>
        </w:tc>
        <w:tc>
          <w:tcPr>
            <w:tcW w:w="1070"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4.5</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5.5</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6"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水平距离（m）</w:t>
            </w:r>
          </w:p>
        </w:tc>
        <w:tc>
          <w:tcPr>
            <w:tcW w:w="1070"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3.0</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3.5</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3.5</w:t>
            </w:r>
          </w:p>
        </w:tc>
        <w:tc>
          <w:tcPr>
            <w:tcW w:w="1070"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4.0</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5.0</w:t>
            </w:r>
          </w:p>
        </w:tc>
        <w:tc>
          <w:tcPr>
            <w:tcW w:w="1071"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b/>
                <w:bCs/>
                <w:kern w:val="2"/>
              </w:rPr>
            </w:pPr>
            <w:r>
              <w:rPr>
                <w:rFonts w:hint="eastAsia" w:ascii="仿宋_GB2312" w:eastAsia="仿宋_GB2312" w:hAnsiTheme="minorEastAsia" w:cstheme="minorBidi"/>
                <w:b/>
                <w:bCs/>
                <w:kern w:val="2"/>
              </w:rPr>
              <w:t>7.0</w:t>
            </w:r>
          </w:p>
        </w:tc>
      </w:tr>
    </w:tbl>
    <w:p>
      <w:pPr>
        <w:suppressLineNumbers/>
        <w:adjustRightInd w:val="0"/>
        <w:snapToGrid w:val="0"/>
        <w:spacing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highlight w:val="none"/>
        </w:rPr>
        <w:t>9.14</w:t>
      </w:r>
      <w:r>
        <w:rPr>
          <w:rFonts w:hint="eastAsia" w:ascii="仿宋_GB2312" w:eastAsia="仿宋_GB2312" w:hAnsiTheme="minorEastAsia"/>
          <w:b w:val="0"/>
          <w:bCs w:val="0"/>
          <w:sz w:val="28"/>
          <w:szCs w:val="28"/>
        </w:rPr>
        <w:t>新建道路或经改建后绿地，其绿化树木与地下管线外缘的最小水平距离宜符合表9.3的规定：</w:t>
      </w:r>
    </w:p>
    <w:p>
      <w:pPr>
        <w:suppressLineNumbers/>
        <w:adjustRightInd w:val="0"/>
        <w:snapToGrid w:val="0"/>
        <w:spacing w:line="500" w:lineRule="exact"/>
        <w:jc w:val="center"/>
        <w:rPr>
          <w:rFonts w:ascii="仿宋_GB2312" w:eastAsia="仿宋_GB2312" w:hAnsiTheme="minorEastAsia"/>
          <w:sz w:val="28"/>
          <w:szCs w:val="28"/>
        </w:rPr>
      </w:pPr>
      <w:r>
        <w:rPr>
          <w:rFonts w:hint="eastAsia" w:ascii="仿宋_GB2312" w:eastAsia="仿宋_GB2312" w:hAnsiTheme="minorEastAsia"/>
          <w:sz w:val="28"/>
          <w:szCs w:val="28"/>
        </w:rPr>
        <w:t>表9.3 绿化树木与地下管线外缘的最小距离</w:t>
      </w:r>
    </w:p>
    <w:tbl>
      <w:tblPr>
        <w:tblStyle w:val="23"/>
        <w:tblW w:w="84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5"/>
        <w:gridCol w:w="2825"/>
        <w:gridCol w:w="2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管线名称</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距乔木中心距离（m）</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距灌木中心距离（m）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电力电缆</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1.0</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电信电缆直埋（管道）</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1.0（1.5）</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给水、污水管道</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1.5</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燃气管道</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1.2</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热力管道</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1.5</w:t>
            </w:r>
          </w:p>
        </w:tc>
        <w:tc>
          <w:tcPr>
            <w:tcW w:w="282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1.5</w:t>
            </w:r>
          </w:p>
        </w:tc>
      </w:tr>
    </w:tbl>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highlight w:val="none"/>
        </w:rPr>
        <w:t>9.15</w:t>
      </w:r>
      <w:r>
        <w:rPr>
          <w:rFonts w:hint="eastAsia" w:ascii="仿宋_GB2312" w:eastAsia="仿宋_GB2312" w:hAnsiTheme="minorEastAsia"/>
          <w:b w:val="0"/>
          <w:bCs w:val="0"/>
          <w:sz w:val="28"/>
          <w:szCs w:val="28"/>
        </w:rPr>
        <w:t>贯彻保护生物多样性原则，做到植物种类丰富多彩。植物品种的数量应符合表9.4的规定,地块覆绿等临时绿化除外：</w:t>
      </w:r>
    </w:p>
    <w:p>
      <w:pPr>
        <w:suppressLineNumbers/>
        <w:adjustRightInd w:val="0"/>
        <w:snapToGrid w:val="0"/>
        <w:spacing w:line="500" w:lineRule="exact"/>
        <w:jc w:val="center"/>
        <w:rPr>
          <w:rFonts w:ascii="仿宋_GB2312" w:eastAsia="仿宋_GB2312" w:hAnsiTheme="minorEastAsia"/>
          <w:sz w:val="28"/>
          <w:szCs w:val="28"/>
        </w:rPr>
      </w:pPr>
      <w:r>
        <w:rPr>
          <w:rFonts w:hint="eastAsia" w:ascii="仿宋_GB2312" w:eastAsia="仿宋_GB2312" w:hAnsiTheme="minorEastAsia"/>
          <w:sz w:val="28"/>
          <w:szCs w:val="28"/>
        </w:rPr>
        <w:t>表9.4各类型绿地中植物品种数量</w:t>
      </w:r>
    </w:p>
    <w:tbl>
      <w:tblPr>
        <w:tblStyle w:val="24"/>
        <w:tblW w:w="0" w:type="auto"/>
        <w:tblInd w:w="10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882"/>
        <w:gridCol w:w="2882"/>
        <w:gridCol w:w="288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绿地面积（A、公顷）</w:t>
            </w:r>
          </w:p>
        </w:tc>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绿地类型</w:t>
            </w:r>
          </w:p>
        </w:tc>
        <w:tc>
          <w:tcPr>
            <w:tcW w:w="2883"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植物品种（种）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7" w:hRule="atLeast"/>
        </w:trPr>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小于0.4</w:t>
            </w:r>
          </w:p>
        </w:tc>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城市公园绿地</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居住用地附属绿地</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工厂及单位附属绿地</w:t>
            </w:r>
          </w:p>
        </w:tc>
        <w:tc>
          <w:tcPr>
            <w:tcW w:w="2883"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highlight w:val="none"/>
              </w:rPr>
            </w:pPr>
            <w:r>
              <w:rPr>
                <w:rFonts w:hint="eastAsia" w:ascii="仿宋_GB2312" w:eastAsia="仿宋_GB2312" w:hAnsiTheme="minorEastAsia" w:cstheme="minorBidi"/>
                <w:kern w:val="2"/>
                <w:sz w:val="24"/>
                <w:szCs w:val="24"/>
                <w:highlight w:val="none"/>
              </w:rPr>
              <w:t>≥20</w:t>
            </w:r>
          </w:p>
          <w:p>
            <w:pPr>
              <w:suppressLineNumbers/>
              <w:adjustRightInd w:val="0"/>
              <w:snapToGrid w:val="0"/>
              <w:spacing w:line="0" w:lineRule="atLeast"/>
              <w:jc w:val="center"/>
              <w:rPr>
                <w:rFonts w:ascii="仿宋_GB2312" w:eastAsia="仿宋_GB2312" w:hAnsiTheme="minorEastAsia" w:cstheme="minorBidi"/>
                <w:kern w:val="2"/>
                <w:sz w:val="24"/>
                <w:szCs w:val="24"/>
                <w:highlight w:val="none"/>
              </w:rPr>
            </w:pPr>
            <w:r>
              <w:rPr>
                <w:rFonts w:hint="eastAsia" w:ascii="仿宋_GB2312" w:eastAsia="仿宋_GB2312" w:hAnsiTheme="minorEastAsia" w:cstheme="minorBidi"/>
                <w:kern w:val="2"/>
                <w:sz w:val="24"/>
                <w:szCs w:val="24"/>
                <w:highlight w:val="none"/>
              </w:rPr>
              <w:t>≥15</w:t>
            </w:r>
          </w:p>
          <w:p>
            <w:pPr>
              <w:suppressLineNumbers/>
              <w:adjustRightInd w:val="0"/>
              <w:snapToGrid w:val="0"/>
              <w:spacing w:line="0" w:lineRule="atLeast"/>
              <w:jc w:val="center"/>
              <w:rPr>
                <w:rFonts w:ascii="仿宋_GB2312" w:eastAsia="仿宋_GB2312" w:hAnsiTheme="minorEastAsia" w:cstheme="minorBidi"/>
                <w:kern w:val="2"/>
                <w:sz w:val="24"/>
                <w:szCs w:val="24"/>
                <w:highlight w:val="none"/>
              </w:rPr>
            </w:pPr>
            <w:r>
              <w:rPr>
                <w:rFonts w:hint="eastAsia" w:ascii="仿宋_GB2312" w:eastAsia="仿宋_GB2312" w:hAnsiTheme="minorEastAsia" w:cstheme="minorBidi"/>
                <w:kern w:val="2"/>
                <w:sz w:val="24"/>
                <w:szCs w:val="24"/>
                <w:highlight w:val="none"/>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7" w:hRule="atLeast"/>
        </w:trPr>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1＞A≥0.4</w:t>
            </w:r>
          </w:p>
        </w:tc>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城市公园绿地</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居住用地附属绿地</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工厂及单位附属绿地</w:t>
            </w:r>
          </w:p>
        </w:tc>
        <w:tc>
          <w:tcPr>
            <w:tcW w:w="2883"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highlight w:val="none"/>
              </w:rPr>
            </w:pPr>
            <w:r>
              <w:rPr>
                <w:rFonts w:hint="eastAsia" w:ascii="仿宋_GB2312" w:eastAsia="仿宋_GB2312" w:hAnsiTheme="minorEastAsia" w:cstheme="minorBidi"/>
                <w:kern w:val="2"/>
                <w:sz w:val="24"/>
                <w:szCs w:val="24"/>
                <w:highlight w:val="none"/>
              </w:rPr>
              <w:t>≥35</w:t>
            </w:r>
          </w:p>
          <w:p>
            <w:pPr>
              <w:suppressLineNumbers/>
              <w:adjustRightInd w:val="0"/>
              <w:snapToGrid w:val="0"/>
              <w:spacing w:line="0" w:lineRule="atLeast"/>
              <w:jc w:val="center"/>
              <w:rPr>
                <w:rFonts w:ascii="仿宋_GB2312" w:eastAsia="仿宋_GB2312" w:hAnsiTheme="minorEastAsia" w:cstheme="minorBidi"/>
                <w:kern w:val="2"/>
                <w:sz w:val="24"/>
                <w:szCs w:val="24"/>
                <w:highlight w:val="none"/>
              </w:rPr>
            </w:pPr>
            <w:r>
              <w:rPr>
                <w:rFonts w:hint="eastAsia" w:ascii="仿宋_GB2312" w:eastAsia="仿宋_GB2312" w:hAnsiTheme="minorEastAsia" w:cstheme="minorBidi"/>
                <w:kern w:val="2"/>
                <w:sz w:val="24"/>
                <w:szCs w:val="24"/>
                <w:highlight w:val="none"/>
              </w:rPr>
              <w:t>≥25</w:t>
            </w:r>
          </w:p>
          <w:p>
            <w:pPr>
              <w:suppressLineNumbers/>
              <w:adjustRightInd w:val="0"/>
              <w:snapToGrid w:val="0"/>
              <w:spacing w:line="0" w:lineRule="atLeast"/>
              <w:jc w:val="center"/>
              <w:rPr>
                <w:rFonts w:ascii="仿宋_GB2312" w:eastAsia="仿宋_GB2312" w:hAnsiTheme="minorEastAsia" w:cstheme="minorBidi"/>
                <w:kern w:val="2"/>
                <w:sz w:val="24"/>
                <w:szCs w:val="24"/>
                <w:highlight w:val="none"/>
              </w:rPr>
            </w:pPr>
            <w:r>
              <w:rPr>
                <w:rFonts w:hint="eastAsia" w:ascii="仿宋_GB2312" w:eastAsia="仿宋_GB2312" w:hAnsiTheme="minorEastAsia" w:cstheme="minorBidi"/>
                <w:kern w:val="2"/>
                <w:sz w:val="24"/>
                <w:szCs w:val="24"/>
                <w:highlight w:val="none"/>
              </w:rPr>
              <w:t>≥15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7" w:hRule="atLeast"/>
        </w:trPr>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2＞A≥1</w:t>
            </w:r>
          </w:p>
        </w:tc>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城市公园绿地</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居住用地附属绿地</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工厂及单位附属绿地</w:t>
            </w:r>
          </w:p>
        </w:tc>
        <w:tc>
          <w:tcPr>
            <w:tcW w:w="2883"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highlight w:val="none"/>
              </w:rPr>
            </w:pPr>
            <w:r>
              <w:rPr>
                <w:rFonts w:hint="eastAsia" w:ascii="仿宋_GB2312" w:eastAsia="仿宋_GB2312" w:hAnsiTheme="minorEastAsia" w:cstheme="minorBidi"/>
                <w:kern w:val="2"/>
                <w:sz w:val="24"/>
                <w:szCs w:val="24"/>
                <w:highlight w:val="none"/>
              </w:rPr>
              <w:t>≥50</w:t>
            </w:r>
          </w:p>
          <w:p>
            <w:pPr>
              <w:suppressLineNumbers/>
              <w:adjustRightInd w:val="0"/>
              <w:snapToGrid w:val="0"/>
              <w:spacing w:line="0" w:lineRule="atLeast"/>
              <w:jc w:val="center"/>
              <w:rPr>
                <w:rFonts w:ascii="仿宋_GB2312" w:eastAsia="仿宋_GB2312" w:hAnsiTheme="minorEastAsia" w:cstheme="minorBidi"/>
                <w:kern w:val="2"/>
                <w:sz w:val="24"/>
                <w:szCs w:val="24"/>
                <w:highlight w:val="none"/>
              </w:rPr>
            </w:pPr>
            <w:r>
              <w:rPr>
                <w:rFonts w:hint="eastAsia" w:ascii="仿宋_GB2312" w:eastAsia="仿宋_GB2312" w:hAnsiTheme="minorEastAsia" w:cstheme="minorBidi"/>
                <w:kern w:val="2"/>
                <w:sz w:val="24"/>
                <w:szCs w:val="24"/>
                <w:highlight w:val="none"/>
              </w:rPr>
              <w:t>≥40</w:t>
            </w:r>
          </w:p>
          <w:p>
            <w:pPr>
              <w:suppressLineNumbers/>
              <w:adjustRightInd w:val="0"/>
              <w:snapToGrid w:val="0"/>
              <w:spacing w:line="0" w:lineRule="atLeast"/>
              <w:jc w:val="center"/>
              <w:rPr>
                <w:rFonts w:ascii="仿宋_GB2312" w:eastAsia="仿宋_GB2312" w:hAnsiTheme="minorEastAsia" w:cstheme="minorBidi"/>
                <w:kern w:val="2"/>
                <w:sz w:val="24"/>
                <w:szCs w:val="24"/>
                <w:highlight w:val="none"/>
              </w:rPr>
            </w:pPr>
            <w:r>
              <w:rPr>
                <w:rFonts w:hint="eastAsia" w:ascii="仿宋_GB2312" w:eastAsia="仿宋_GB2312" w:hAnsiTheme="minorEastAsia" w:cstheme="minorBidi"/>
                <w:kern w:val="2"/>
                <w:sz w:val="24"/>
                <w:szCs w:val="24"/>
                <w:highlight w:val="none"/>
              </w:rPr>
              <w:t>≥25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37" w:hRule="atLeast"/>
        </w:trPr>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A≥2</w:t>
            </w:r>
          </w:p>
        </w:tc>
        <w:tc>
          <w:tcPr>
            <w:tcW w:w="2882"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城市公园绿地</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居住用地附属绿地</w:t>
            </w:r>
          </w:p>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工厂及单位附属绿地</w:t>
            </w:r>
          </w:p>
        </w:tc>
        <w:tc>
          <w:tcPr>
            <w:tcW w:w="2883"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highlight w:val="none"/>
              </w:rPr>
            </w:pPr>
            <w:r>
              <w:rPr>
                <w:rFonts w:hint="eastAsia" w:ascii="仿宋_GB2312" w:eastAsia="仿宋_GB2312" w:hAnsiTheme="minorEastAsia" w:cstheme="minorBidi"/>
                <w:kern w:val="2"/>
                <w:sz w:val="24"/>
                <w:szCs w:val="24"/>
                <w:highlight w:val="none"/>
              </w:rPr>
              <w:t>≥70</w:t>
            </w:r>
          </w:p>
          <w:p>
            <w:pPr>
              <w:suppressLineNumbers/>
              <w:adjustRightInd w:val="0"/>
              <w:snapToGrid w:val="0"/>
              <w:spacing w:line="0" w:lineRule="atLeast"/>
              <w:jc w:val="center"/>
              <w:rPr>
                <w:rFonts w:ascii="仿宋_GB2312" w:eastAsia="仿宋_GB2312" w:hAnsiTheme="minorEastAsia" w:cstheme="minorBidi"/>
                <w:kern w:val="2"/>
                <w:sz w:val="24"/>
                <w:szCs w:val="24"/>
                <w:highlight w:val="none"/>
              </w:rPr>
            </w:pPr>
            <w:r>
              <w:rPr>
                <w:rFonts w:hint="eastAsia" w:ascii="仿宋_GB2312" w:eastAsia="仿宋_GB2312" w:hAnsiTheme="minorEastAsia" w:cstheme="minorBidi"/>
                <w:kern w:val="2"/>
                <w:sz w:val="24"/>
                <w:szCs w:val="24"/>
                <w:highlight w:val="none"/>
              </w:rPr>
              <w:t>≥55</w:t>
            </w:r>
          </w:p>
          <w:p>
            <w:pPr>
              <w:suppressLineNumbers/>
              <w:adjustRightInd w:val="0"/>
              <w:snapToGrid w:val="0"/>
              <w:spacing w:line="0" w:lineRule="atLeast"/>
              <w:jc w:val="center"/>
              <w:rPr>
                <w:rFonts w:ascii="仿宋_GB2312" w:eastAsia="仿宋_GB2312" w:hAnsiTheme="minorEastAsia" w:cstheme="minorBidi"/>
                <w:kern w:val="2"/>
                <w:sz w:val="24"/>
                <w:szCs w:val="24"/>
                <w:highlight w:val="none"/>
              </w:rPr>
            </w:pPr>
            <w:r>
              <w:rPr>
                <w:rFonts w:hint="eastAsia" w:ascii="仿宋_GB2312" w:eastAsia="仿宋_GB2312" w:hAnsiTheme="minorEastAsia" w:cstheme="minorBidi"/>
                <w:kern w:val="2"/>
                <w:sz w:val="24"/>
                <w:szCs w:val="24"/>
                <w:highlight w:val="none"/>
              </w:rPr>
              <w:t>≥35</w:t>
            </w:r>
          </w:p>
        </w:tc>
      </w:tr>
    </w:tbl>
    <w:p>
      <w:pPr>
        <w:pStyle w:val="4"/>
        <w:suppressLineNumbers/>
        <w:adjustRightInd w:val="0"/>
        <w:snapToGrid w:val="0"/>
        <w:spacing w:before="0" w:after="0" w:line="500" w:lineRule="exact"/>
        <w:ind w:firstLine="560" w:firstLineChars="200"/>
        <w:rPr>
          <w:rFonts w:hint="default" w:ascii="仿宋_GB2312" w:eastAsia="仿宋_GB2312" w:hAnsiTheme="minorEastAsia"/>
          <w:b w:val="0"/>
          <w:bCs/>
          <w:color w:val="1D41D5"/>
          <w:sz w:val="28"/>
          <w:szCs w:val="28"/>
          <w:highlight w:val="none"/>
          <w:lang w:val="en-US" w:eastAsia="zh-CN"/>
        </w:rPr>
      </w:pPr>
      <w:r>
        <w:rPr>
          <w:rFonts w:hint="eastAsia" w:ascii="仿宋_GB2312" w:eastAsia="仿宋_GB2312" w:hAnsiTheme="minorEastAsia"/>
          <w:b w:val="0"/>
          <w:bCs w:val="0"/>
          <w:sz w:val="28"/>
          <w:szCs w:val="28"/>
          <w:highlight w:val="none"/>
        </w:rPr>
        <w:t>9.16</w:t>
      </w:r>
      <w:r>
        <w:rPr>
          <w:rFonts w:hint="eastAsia" w:ascii="仿宋_GB2312" w:eastAsia="仿宋_GB2312" w:hAnsiTheme="minorEastAsia"/>
          <w:b w:val="0"/>
          <w:bCs w:val="0"/>
          <w:sz w:val="28"/>
          <w:szCs w:val="28"/>
        </w:rPr>
        <w:t>种植设计应考虑植物种植的合理密度，预留生长空间，树林郁闭度应符合表9.5的规定：</w:t>
      </w:r>
    </w:p>
    <w:p>
      <w:pPr>
        <w:suppressLineNumbers/>
        <w:adjustRightInd w:val="0"/>
        <w:snapToGrid w:val="0"/>
        <w:spacing w:line="500" w:lineRule="exact"/>
        <w:jc w:val="center"/>
        <w:rPr>
          <w:rFonts w:ascii="仿宋_GB2312" w:eastAsia="仿宋_GB2312" w:hAnsiTheme="minorEastAsia"/>
          <w:sz w:val="28"/>
          <w:szCs w:val="28"/>
        </w:rPr>
      </w:pPr>
      <w:r>
        <w:rPr>
          <w:rFonts w:hint="eastAsia" w:ascii="仿宋_GB2312" w:eastAsia="仿宋_GB2312" w:hAnsiTheme="minorEastAsia"/>
          <w:sz w:val="28"/>
          <w:szCs w:val="28"/>
        </w:rPr>
        <w:t>表9.5树林郁闭度</w:t>
      </w:r>
    </w:p>
    <w:tbl>
      <w:tblPr>
        <w:tblStyle w:val="23"/>
        <w:tblpPr w:leftFromText="180" w:rightFromText="180" w:vertAnchor="text" w:horzAnchor="margin" w:tblpX="216" w:tblpY="138"/>
        <w:tblW w:w="83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7"/>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72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类型</w:t>
            </w:r>
          </w:p>
        </w:tc>
        <w:tc>
          <w:tcPr>
            <w:tcW w:w="283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种植当年标准</w:t>
            </w:r>
          </w:p>
        </w:tc>
        <w:tc>
          <w:tcPr>
            <w:tcW w:w="283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成年期标准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密林</w:t>
            </w:r>
          </w:p>
        </w:tc>
        <w:tc>
          <w:tcPr>
            <w:tcW w:w="283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0.3</w:t>
            </w:r>
            <w:r>
              <w:rPr>
                <w:rFonts w:hint="eastAsia" w:ascii="仿宋_GB2312" w:eastAsia="仿宋_GB2312" w:hAnsiTheme="minorEastAsia" w:cstheme="minorBidi"/>
                <w:kern w:val="2"/>
                <w:lang w:eastAsia="zh-CN"/>
              </w:rPr>
              <w:t>～</w:t>
            </w:r>
            <w:r>
              <w:rPr>
                <w:rFonts w:hint="eastAsia" w:ascii="仿宋_GB2312" w:eastAsia="仿宋_GB2312" w:hAnsiTheme="minorEastAsia" w:cstheme="minorBidi"/>
                <w:kern w:val="2"/>
              </w:rPr>
              <w:t>0.7</w:t>
            </w:r>
          </w:p>
        </w:tc>
        <w:tc>
          <w:tcPr>
            <w:tcW w:w="283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0.7</w:t>
            </w:r>
            <w:r>
              <w:rPr>
                <w:rFonts w:hint="eastAsia" w:ascii="仿宋_GB2312" w:eastAsia="仿宋_GB2312" w:hAnsiTheme="minorEastAsia" w:cstheme="minorBidi"/>
                <w:kern w:val="2"/>
                <w:lang w:eastAsia="zh-CN"/>
              </w:rPr>
              <w:t>～</w:t>
            </w:r>
            <w:r>
              <w:rPr>
                <w:rFonts w:hint="eastAsia" w:ascii="仿宋_GB2312" w:eastAsia="仿宋_GB2312" w:hAnsiTheme="minorEastAsia" w:cstheme="minorBidi"/>
                <w:kern w:val="2"/>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疏林</w:t>
            </w:r>
          </w:p>
        </w:tc>
        <w:tc>
          <w:tcPr>
            <w:tcW w:w="283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0.1</w:t>
            </w:r>
            <w:r>
              <w:rPr>
                <w:rFonts w:hint="eastAsia" w:ascii="仿宋_GB2312" w:eastAsia="仿宋_GB2312" w:hAnsiTheme="minorEastAsia" w:cstheme="minorBidi"/>
                <w:kern w:val="2"/>
                <w:lang w:eastAsia="zh-CN"/>
              </w:rPr>
              <w:t>～</w:t>
            </w:r>
            <w:r>
              <w:rPr>
                <w:rFonts w:hint="eastAsia" w:ascii="仿宋_GB2312" w:eastAsia="仿宋_GB2312" w:hAnsiTheme="minorEastAsia" w:cstheme="minorBidi"/>
                <w:kern w:val="2"/>
              </w:rPr>
              <w:t>0.4</w:t>
            </w:r>
          </w:p>
        </w:tc>
        <w:tc>
          <w:tcPr>
            <w:tcW w:w="283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0.4</w:t>
            </w:r>
            <w:r>
              <w:rPr>
                <w:rFonts w:hint="eastAsia" w:ascii="仿宋_GB2312" w:eastAsia="仿宋_GB2312" w:hAnsiTheme="minorEastAsia" w:cstheme="minorBidi"/>
                <w:kern w:val="2"/>
                <w:lang w:eastAsia="zh-CN"/>
              </w:rPr>
              <w:t>～</w:t>
            </w:r>
            <w:r>
              <w:rPr>
                <w:rFonts w:hint="eastAsia" w:ascii="仿宋_GB2312" w:eastAsia="仿宋_GB2312" w:hAnsiTheme="minorEastAsia" w:cstheme="minorBidi"/>
                <w:kern w:val="2"/>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2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疏林草地</w:t>
            </w:r>
          </w:p>
        </w:tc>
        <w:tc>
          <w:tcPr>
            <w:tcW w:w="283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0.07</w:t>
            </w:r>
            <w:r>
              <w:rPr>
                <w:rFonts w:hint="eastAsia" w:ascii="仿宋_GB2312" w:eastAsia="仿宋_GB2312" w:hAnsiTheme="minorEastAsia" w:cstheme="minorBidi"/>
                <w:kern w:val="2"/>
                <w:lang w:eastAsia="zh-CN"/>
              </w:rPr>
              <w:t>～</w:t>
            </w:r>
            <w:r>
              <w:rPr>
                <w:rFonts w:hint="eastAsia" w:ascii="仿宋_GB2312" w:eastAsia="仿宋_GB2312" w:hAnsiTheme="minorEastAsia" w:cstheme="minorBidi"/>
                <w:kern w:val="2"/>
              </w:rPr>
              <w:t>0.2</w:t>
            </w:r>
          </w:p>
        </w:tc>
        <w:tc>
          <w:tcPr>
            <w:tcW w:w="2835"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0.1</w:t>
            </w:r>
            <w:r>
              <w:rPr>
                <w:rFonts w:hint="eastAsia" w:ascii="仿宋_GB2312" w:eastAsia="仿宋_GB2312" w:hAnsiTheme="minorEastAsia" w:cstheme="minorBidi"/>
                <w:kern w:val="2"/>
                <w:lang w:eastAsia="zh-CN"/>
              </w:rPr>
              <w:t>～</w:t>
            </w:r>
            <w:r>
              <w:rPr>
                <w:rFonts w:hint="eastAsia" w:ascii="仿宋_GB2312" w:eastAsia="仿宋_GB2312" w:hAnsiTheme="minorEastAsia" w:cstheme="minorBidi"/>
                <w:kern w:val="2"/>
              </w:rPr>
              <w:t>0.3</w:t>
            </w:r>
          </w:p>
        </w:tc>
      </w:tr>
    </w:tbl>
    <w:p>
      <w:pPr>
        <w:suppressLineNumbers/>
        <w:adjustRightInd w:val="0"/>
        <w:snapToGrid w:val="0"/>
        <w:spacing w:line="500" w:lineRule="exact"/>
        <w:ind w:firstLine="548" w:firstLineChars="196"/>
        <w:rPr>
          <w:rFonts w:ascii="仿宋_GB2312" w:eastAsia="仿宋_GB2312" w:hAnsiTheme="minorEastAsia"/>
          <w:sz w:val="28"/>
          <w:szCs w:val="28"/>
        </w:rPr>
      </w:pPr>
      <w:r>
        <w:rPr>
          <w:rFonts w:hint="eastAsia" w:ascii="仿宋_GB2312" w:eastAsia="仿宋_GB2312" w:hAnsiTheme="minorEastAsia"/>
          <w:sz w:val="28"/>
          <w:szCs w:val="28"/>
          <w:highlight w:val="none"/>
        </w:rPr>
        <w:t>9.17</w:t>
      </w:r>
      <w:r>
        <w:rPr>
          <w:rFonts w:hint="eastAsia" w:ascii="仿宋_GB2312" w:eastAsia="仿宋_GB2312" w:hAnsiTheme="minorEastAsia"/>
          <w:sz w:val="28"/>
          <w:szCs w:val="28"/>
        </w:rPr>
        <w:t>选择栽种能与自然界固氮微生物共生形成根瘤的植物，减少或消除使用化肥对土壤的污染。</w:t>
      </w:r>
      <w:bookmarkStart w:id="15" w:name="_Toc93995901"/>
    </w:p>
    <w:p>
      <w:pPr>
        <w:suppressLineNumbers/>
        <w:adjustRightInd w:val="0"/>
        <w:snapToGrid w:val="0"/>
        <w:spacing w:line="500" w:lineRule="exact"/>
        <w:ind w:firstLine="551" w:firstLineChars="196"/>
        <w:rPr>
          <w:rFonts w:ascii="仿宋_GB2312" w:eastAsia="仿宋_GB2312" w:hAnsiTheme="minorEastAsia"/>
          <w:b/>
          <w:bCs/>
          <w:sz w:val="28"/>
          <w:szCs w:val="28"/>
        </w:rPr>
      </w:pPr>
      <w:r>
        <w:rPr>
          <w:rFonts w:hint="eastAsia" w:ascii="仿宋_GB2312" w:eastAsia="仿宋_GB2312" w:hAnsiTheme="minorEastAsia"/>
          <w:b/>
          <w:bCs/>
          <w:sz w:val="28"/>
          <w:szCs w:val="28"/>
        </w:rPr>
        <w:t>十、公园绿地</w:t>
      </w:r>
      <w:bookmarkEnd w:id="15"/>
    </w:p>
    <w:p>
      <w:pPr>
        <w:suppressLineNumbers/>
        <w:adjustRightInd w:val="0"/>
        <w:snapToGrid w:val="0"/>
        <w:spacing w:line="500" w:lineRule="exact"/>
        <w:ind w:left="559" w:leftChars="266" w:firstLine="0" w:firstLineChars="0"/>
        <w:rPr>
          <w:rFonts w:hint="eastAsia" w:ascii="仿宋_GB2312" w:eastAsia="仿宋_GB2312" w:hAnsiTheme="minorEastAsia"/>
          <w:bCs/>
          <w:sz w:val="28"/>
          <w:szCs w:val="28"/>
          <w:highlight w:val="none"/>
          <w:lang w:val="en-US" w:eastAsia="zh-CN"/>
        </w:rPr>
      </w:pPr>
      <w:r>
        <w:rPr>
          <w:rFonts w:hint="eastAsia" w:ascii="仿宋_GB2312" w:eastAsia="仿宋_GB2312" w:hAnsiTheme="minorEastAsia"/>
          <w:bCs/>
          <w:sz w:val="28"/>
          <w:szCs w:val="28"/>
          <w:highlight w:val="none"/>
        </w:rPr>
        <w:t>10.1公园绿地内植物应品种丰富，做到四季分明、且具有植物特</w:t>
      </w:r>
      <w:r>
        <w:rPr>
          <w:rFonts w:hint="eastAsia" w:ascii="仿宋_GB2312" w:eastAsia="仿宋_GB2312" w:hAnsiTheme="minorEastAsia"/>
          <w:bCs/>
          <w:sz w:val="28"/>
          <w:szCs w:val="28"/>
          <w:highlight w:val="none"/>
          <w:lang w:val="en-US" w:eastAsia="zh-CN"/>
        </w:rPr>
        <w:t>色。</w:t>
      </w:r>
    </w:p>
    <w:p>
      <w:pPr>
        <w:suppressLineNumbers/>
        <w:adjustRightInd w:val="0"/>
        <w:snapToGrid w:val="0"/>
        <w:spacing w:line="500" w:lineRule="exact"/>
        <w:ind w:firstLine="560" w:firstLineChars="200"/>
        <w:rPr>
          <w:rFonts w:hint="eastAsia" w:ascii="仿宋_GB2312" w:eastAsia="仿宋_GB2312" w:hAnsiTheme="minorEastAsia"/>
          <w:bCs/>
          <w:sz w:val="28"/>
          <w:szCs w:val="28"/>
          <w:highlight w:val="none"/>
        </w:rPr>
      </w:pPr>
      <w:r>
        <w:rPr>
          <w:rFonts w:hint="eastAsia" w:ascii="仿宋_GB2312" w:eastAsia="仿宋_GB2312" w:hAnsiTheme="minorEastAsia"/>
          <w:bCs/>
          <w:sz w:val="28"/>
          <w:szCs w:val="28"/>
          <w:highlight w:val="none"/>
        </w:rPr>
        <w:t>10.2植物配置应以总体设计确定的植物组群类型及效果要求为依据。</w:t>
      </w:r>
    </w:p>
    <w:p>
      <w:pPr>
        <w:suppressLineNumbers/>
        <w:adjustRightInd w:val="0"/>
        <w:snapToGrid w:val="0"/>
        <w:spacing w:line="500" w:lineRule="exact"/>
        <w:ind w:firstLine="560" w:firstLineChars="200"/>
        <w:rPr>
          <w:rFonts w:hint="eastAsia" w:ascii="仿宋_GB2312" w:eastAsia="仿宋_GB2312" w:hAnsiTheme="minorEastAsia"/>
          <w:sz w:val="28"/>
          <w:szCs w:val="28"/>
          <w:highlight w:val="none"/>
        </w:rPr>
      </w:pPr>
      <w:r>
        <w:rPr>
          <w:rFonts w:hint="eastAsia" w:ascii="仿宋_GB2312" w:eastAsia="仿宋_GB2312" w:hAnsiTheme="minorEastAsia"/>
          <w:sz w:val="28"/>
          <w:szCs w:val="28"/>
          <w:highlight w:val="none"/>
        </w:rPr>
        <w:t>10.3植物配置应采取乔灌草结合的方式，并应避免生态习性相克植物搭配。</w:t>
      </w:r>
    </w:p>
    <w:p>
      <w:pPr>
        <w:suppressLineNumbers/>
        <w:adjustRightInd w:val="0"/>
        <w:snapToGrid w:val="0"/>
        <w:spacing w:line="500" w:lineRule="exact"/>
        <w:ind w:firstLine="560" w:firstLineChars="200"/>
        <w:rPr>
          <w:rFonts w:hint="eastAsia" w:ascii="仿宋_GB2312" w:eastAsia="仿宋_GB2312" w:hAnsiTheme="minorEastAsia"/>
          <w:sz w:val="28"/>
          <w:szCs w:val="28"/>
          <w:highlight w:val="none"/>
        </w:rPr>
      </w:pPr>
      <w:r>
        <w:rPr>
          <w:rFonts w:hint="eastAsia" w:ascii="仿宋_GB2312" w:eastAsia="仿宋_GB2312" w:hAnsiTheme="minorEastAsia"/>
          <w:sz w:val="28"/>
          <w:szCs w:val="28"/>
          <w:highlight w:val="none"/>
        </w:rPr>
        <w:t>10.4植物配置应注重植物景观和空间的塑造。</w:t>
      </w:r>
    </w:p>
    <w:p>
      <w:pPr>
        <w:suppressLineNumbers/>
        <w:adjustRightInd w:val="0"/>
        <w:snapToGrid w:val="0"/>
        <w:spacing w:line="500" w:lineRule="exact"/>
        <w:ind w:firstLine="560" w:firstLineChars="200"/>
        <w:rPr>
          <w:rFonts w:hint="eastAsia" w:ascii="仿宋_GB2312" w:eastAsia="仿宋_GB2312" w:hAnsiTheme="minorEastAsia"/>
          <w:sz w:val="28"/>
          <w:szCs w:val="28"/>
          <w:highlight w:val="none"/>
        </w:rPr>
      </w:pPr>
      <w:r>
        <w:rPr>
          <w:rFonts w:hint="eastAsia" w:ascii="仿宋_GB2312" w:eastAsia="仿宋_GB2312" w:hAnsiTheme="minorEastAsia"/>
          <w:sz w:val="28"/>
          <w:szCs w:val="28"/>
          <w:highlight w:val="none"/>
        </w:rPr>
        <w:t>10.5植物配置应考虑管理及使用功能的需求，合理预留养护通道。</w:t>
      </w:r>
    </w:p>
    <w:p>
      <w:pPr>
        <w:suppressLineNumbers/>
        <w:adjustRightInd w:val="0"/>
        <w:snapToGrid w:val="0"/>
        <w:spacing w:line="500" w:lineRule="exact"/>
        <w:ind w:left="548" w:leftChars="261"/>
        <w:rPr>
          <w:rFonts w:ascii="仿宋_GB2312" w:eastAsia="仿宋_GB2312" w:hAnsiTheme="minorEastAsia"/>
          <w:sz w:val="28"/>
          <w:szCs w:val="28"/>
        </w:rPr>
      </w:pPr>
      <w:r>
        <w:rPr>
          <w:rFonts w:hint="eastAsia" w:ascii="仿宋_GB2312" w:eastAsia="仿宋_GB2312" w:hAnsiTheme="minorEastAsia"/>
          <w:sz w:val="28"/>
          <w:szCs w:val="28"/>
          <w:highlight w:val="none"/>
        </w:rPr>
        <w:t>10.6植</w:t>
      </w:r>
      <w:r>
        <w:rPr>
          <w:rFonts w:hint="eastAsia" w:ascii="仿宋_GB2312" w:eastAsia="仿宋_GB2312" w:hAnsiTheme="minorEastAsia"/>
          <w:sz w:val="28"/>
          <w:szCs w:val="28"/>
        </w:rPr>
        <w:t>物应选用不影响周边大型游览器械的品种。</w:t>
      </w:r>
      <w:bookmarkStart w:id="16" w:name="_Toc93995902"/>
    </w:p>
    <w:p>
      <w:pPr>
        <w:suppressLineNumbers/>
        <w:adjustRightInd w:val="0"/>
        <w:snapToGrid w:val="0"/>
        <w:spacing w:line="500" w:lineRule="exact"/>
        <w:ind w:left="548" w:leftChars="261"/>
        <w:rPr>
          <w:rFonts w:ascii="仿宋_GB2312" w:eastAsia="仿宋_GB2312" w:hAnsiTheme="minorEastAsia"/>
          <w:b/>
          <w:sz w:val="28"/>
          <w:szCs w:val="28"/>
        </w:rPr>
      </w:pPr>
      <w:r>
        <w:rPr>
          <w:rFonts w:hint="eastAsia" w:ascii="仿宋_GB2312" w:eastAsia="仿宋_GB2312" w:hAnsiTheme="minorEastAsia"/>
          <w:b/>
          <w:sz w:val="28"/>
          <w:szCs w:val="28"/>
        </w:rPr>
        <w:t>十一</w:t>
      </w:r>
      <w:r>
        <w:rPr>
          <w:rFonts w:hint="eastAsia" w:ascii="仿宋_GB2312" w:eastAsia="仿宋_GB2312" w:hAnsiTheme="minorEastAsia"/>
          <w:b/>
          <w:bCs/>
          <w:sz w:val="28"/>
          <w:szCs w:val="28"/>
        </w:rPr>
        <w:t>、</w:t>
      </w:r>
      <w:r>
        <w:rPr>
          <w:rFonts w:hint="eastAsia" w:ascii="仿宋_GB2312" w:eastAsia="仿宋_GB2312" w:hAnsiTheme="minorEastAsia"/>
          <w:b/>
          <w:sz w:val="28"/>
          <w:szCs w:val="28"/>
        </w:rPr>
        <w:t>防护绿地</w:t>
      </w:r>
      <w:bookmarkEnd w:id="16"/>
    </w:p>
    <w:p>
      <w:pPr>
        <w:suppressLineNumbers/>
        <w:adjustRightInd w:val="0"/>
        <w:snapToGrid w:val="0"/>
        <w:spacing w:line="500" w:lineRule="exact"/>
        <w:ind w:firstLine="560" w:firstLineChars="200"/>
        <w:rPr>
          <w:rFonts w:hint="default" w:ascii="仿宋_GB2312" w:eastAsia="仿宋_GB2312" w:hAnsiTheme="minorEastAsia"/>
          <w:b w:val="0"/>
          <w:bCs/>
          <w:color w:val="1D41D5"/>
          <w:sz w:val="28"/>
          <w:szCs w:val="28"/>
          <w:highlight w:val="none"/>
          <w:lang w:val="en-US" w:eastAsia="zh-CN"/>
        </w:rPr>
      </w:pPr>
      <w:r>
        <w:rPr>
          <w:rFonts w:hint="eastAsia" w:ascii="仿宋_GB2312" w:eastAsia="仿宋_GB2312" w:hAnsiTheme="minorEastAsia"/>
          <w:sz w:val="28"/>
          <w:szCs w:val="28"/>
          <w:highlight w:val="none"/>
        </w:rPr>
        <w:t>11.1</w:t>
      </w:r>
      <w:r>
        <w:rPr>
          <w:rFonts w:hint="eastAsia" w:ascii="仿宋_GB2312" w:eastAsia="仿宋_GB2312" w:hAnsiTheme="minorEastAsia"/>
          <w:sz w:val="28"/>
          <w:szCs w:val="28"/>
        </w:rPr>
        <w:t>防护绿地应根据防护对象选择适宜树种，无特殊需求的防护绿地应优先考虑经济林。</w:t>
      </w:r>
    </w:p>
    <w:p>
      <w:pPr>
        <w:ind w:firstLine="560" w:firstLineChars="200"/>
        <w:rPr>
          <w:rFonts w:hint="default" w:ascii="仿宋_GB2312" w:eastAsia="仿宋_GB2312" w:hAnsiTheme="minorEastAsia"/>
          <w:sz w:val="28"/>
          <w:szCs w:val="28"/>
          <w:lang w:val="en-US" w:eastAsia="zh-CN"/>
        </w:rPr>
      </w:pPr>
      <w:r>
        <w:rPr>
          <w:rFonts w:hint="eastAsia" w:ascii="仿宋_GB2312" w:eastAsia="仿宋_GB2312" w:hAnsiTheme="minorEastAsia"/>
          <w:b w:val="0"/>
          <w:bCs w:val="0"/>
          <w:sz w:val="28"/>
          <w:szCs w:val="28"/>
          <w:highlight w:val="none"/>
        </w:rPr>
        <w:t>11.2</w:t>
      </w:r>
      <w:r>
        <w:rPr>
          <w:rFonts w:hint="eastAsia" w:ascii="仿宋_GB2312" w:eastAsia="仿宋_GB2312" w:hAnsiTheme="minorEastAsia"/>
          <w:sz w:val="28"/>
          <w:szCs w:val="28"/>
          <w:lang w:val="en-US" w:eastAsia="zh-CN"/>
        </w:rPr>
        <w:t>结合防护林带的实际功能综合考虑常绿和落叶乔木配比和乔灌草比例</w:t>
      </w:r>
    </w:p>
    <w:p>
      <w:pPr>
        <w:suppressLineNumbers/>
        <w:adjustRightInd w:val="0"/>
        <w:snapToGrid w:val="0"/>
        <w:spacing w:line="500" w:lineRule="exact"/>
        <w:ind w:firstLine="548" w:firstLineChars="196"/>
        <w:rPr>
          <w:rFonts w:ascii="仿宋_GB2312" w:eastAsia="仿宋_GB2312" w:hAnsiTheme="minorEastAsia"/>
          <w:bCs/>
          <w:sz w:val="28"/>
          <w:szCs w:val="28"/>
        </w:rPr>
      </w:pPr>
      <w:r>
        <w:rPr>
          <w:rFonts w:hint="eastAsia" w:ascii="仿宋_GB2312" w:eastAsia="仿宋_GB2312" w:hAnsiTheme="minorEastAsia"/>
          <w:bCs/>
          <w:sz w:val="28"/>
          <w:szCs w:val="28"/>
          <w:highlight w:val="none"/>
        </w:rPr>
        <w:t>11.3</w:t>
      </w:r>
      <w:r>
        <w:rPr>
          <w:rFonts w:hint="eastAsia" w:ascii="仿宋_GB2312" w:eastAsia="仿宋_GB2312" w:hAnsiTheme="minorEastAsia"/>
          <w:bCs/>
          <w:sz w:val="28"/>
          <w:szCs w:val="28"/>
        </w:rPr>
        <w:t>防护林宜采用“初期密植，后期间移”的方式，留出植物足够的生长空间，间移的间隔时间不宜超过10年，以满足近远期防护绿带的绿化效果。</w:t>
      </w:r>
    </w:p>
    <w:p>
      <w:pPr>
        <w:suppressLineNumbers/>
        <w:adjustRightInd w:val="0"/>
        <w:snapToGrid w:val="0"/>
        <w:spacing w:line="500" w:lineRule="exact"/>
        <w:ind w:firstLine="551" w:firstLineChars="196"/>
        <w:rPr>
          <w:rFonts w:ascii="仿宋_GB2312" w:eastAsia="仿宋_GB2312" w:hAnsiTheme="minorEastAsia"/>
          <w:b/>
          <w:bCs/>
          <w:sz w:val="28"/>
          <w:szCs w:val="28"/>
        </w:rPr>
      </w:pPr>
      <w:r>
        <w:rPr>
          <w:rFonts w:hint="eastAsia" w:ascii="仿宋_GB2312" w:eastAsia="仿宋_GB2312" w:hAnsiTheme="minorEastAsia"/>
          <w:b/>
          <w:bCs/>
          <w:sz w:val="28"/>
          <w:szCs w:val="28"/>
        </w:rPr>
        <w:t>十二、居住区和单位附属绿地</w:t>
      </w:r>
    </w:p>
    <w:p>
      <w:pPr>
        <w:suppressLineNumbers/>
        <w:adjustRightInd w:val="0"/>
        <w:snapToGrid w:val="0"/>
        <w:spacing w:line="500" w:lineRule="exact"/>
        <w:ind w:firstLine="548" w:firstLineChars="196"/>
        <w:rPr>
          <w:rFonts w:ascii="仿宋_GB2312" w:eastAsia="仿宋_GB2312" w:hAnsiTheme="minorEastAsia"/>
          <w:bCs/>
          <w:sz w:val="28"/>
          <w:szCs w:val="28"/>
        </w:rPr>
      </w:pPr>
      <w:r>
        <w:rPr>
          <w:rFonts w:hint="eastAsia" w:ascii="仿宋_GB2312" w:eastAsia="仿宋_GB2312" w:hAnsiTheme="minorEastAsia"/>
          <w:bCs/>
          <w:sz w:val="28"/>
          <w:szCs w:val="28"/>
          <w:highlight w:val="none"/>
        </w:rPr>
        <w:t>12.1</w:t>
      </w:r>
      <w:r>
        <w:rPr>
          <w:rFonts w:hint="eastAsia" w:ascii="仿宋_GB2312" w:eastAsia="仿宋_GB2312" w:hAnsiTheme="minorEastAsia"/>
          <w:bCs/>
          <w:sz w:val="28"/>
          <w:szCs w:val="28"/>
        </w:rPr>
        <w:t>在工厂等有特殊洁净度要求的区域，新栽植的乔木不应大量选用多飞毛、飞絮的乔木。</w:t>
      </w:r>
      <w:bookmarkStart w:id="17" w:name="_Toc93995903"/>
    </w:p>
    <w:bookmarkEnd w:id="17"/>
    <w:p>
      <w:pPr>
        <w:suppressLineNumbers/>
        <w:adjustRightInd w:val="0"/>
        <w:snapToGrid w:val="0"/>
        <w:spacing w:line="500" w:lineRule="exact"/>
        <w:ind w:firstLine="560" w:firstLineChars="200"/>
        <w:rPr>
          <w:rFonts w:hint="eastAsia" w:ascii="仿宋_GB2312" w:eastAsia="仿宋_GB2312" w:hAnsiTheme="minorEastAsia"/>
          <w:sz w:val="28"/>
          <w:szCs w:val="28"/>
        </w:rPr>
      </w:pPr>
      <w:bookmarkStart w:id="18" w:name="_Toc93995904"/>
      <w:r>
        <w:rPr>
          <w:rFonts w:hint="eastAsia" w:ascii="仿宋_GB2312" w:eastAsia="仿宋_GB2312" w:hAnsiTheme="minorEastAsia"/>
          <w:sz w:val="28"/>
          <w:szCs w:val="28"/>
          <w:highlight w:val="none"/>
        </w:rPr>
        <w:t>12.2</w:t>
      </w:r>
      <w:r>
        <w:rPr>
          <w:rFonts w:hint="eastAsia" w:ascii="仿宋_GB2312" w:eastAsia="仿宋_GB2312" w:hAnsiTheme="minorEastAsia"/>
          <w:sz w:val="28"/>
          <w:szCs w:val="28"/>
        </w:rPr>
        <w:t>单位绿化内应严格控制较大规模的人工水景、水池、喷泉、假山、大型硬质铺装广场等设施建设。</w:t>
      </w:r>
    </w:p>
    <w:p>
      <w:pPr>
        <w:suppressLineNumbers/>
        <w:adjustRightInd w:val="0"/>
        <w:snapToGrid w:val="0"/>
        <w:spacing w:line="500" w:lineRule="exact"/>
        <w:ind w:firstLine="560" w:firstLineChars="200"/>
        <w:rPr>
          <w:rFonts w:hint="eastAsia" w:ascii="仿宋_GB2312" w:eastAsia="仿宋_GB2312" w:hAnsiTheme="minorEastAsia"/>
          <w:sz w:val="28"/>
          <w:szCs w:val="28"/>
        </w:rPr>
      </w:pPr>
      <w:r>
        <w:rPr>
          <w:rFonts w:hint="eastAsia" w:ascii="仿宋_GB2312" w:eastAsia="仿宋_GB2312" w:hAnsiTheme="minorEastAsia"/>
          <w:sz w:val="28"/>
          <w:szCs w:val="28"/>
          <w:highlight w:val="none"/>
        </w:rPr>
        <w:t>12.3</w:t>
      </w:r>
      <w:r>
        <w:rPr>
          <w:rFonts w:hint="eastAsia" w:ascii="仿宋_GB2312" w:eastAsia="仿宋_GB2312" w:hAnsiTheme="minorEastAsia"/>
          <w:sz w:val="28"/>
          <w:szCs w:val="28"/>
        </w:rPr>
        <w:t>居住区绿地应严格控制大型人工水景、水池、喷泉等设施及驳岸、池底硬化的水体建设。</w:t>
      </w:r>
    </w:p>
    <w:p>
      <w:pPr>
        <w:suppressLineNumbers/>
        <w:adjustRightInd w:val="0"/>
        <w:snapToGrid w:val="0"/>
        <w:spacing w:line="500" w:lineRule="exact"/>
        <w:ind w:firstLine="560" w:firstLineChars="200"/>
        <w:rPr>
          <w:rFonts w:hint="eastAsia" w:ascii="仿宋_GB2312" w:eastAsia="仿宋_GB2312" w:hAnsiTheme="minorEastAsia"/>
          <w:sz w:val="28"/>
          <w:szCs w:val="28"/>
          <w:lang w:val="en-US" w:eastAsia="zh-CN"/>
        </w:rPr>
      </w:pPr>
      <w:r>
        <w:rPr>
          <w:rFonts w:hint="eastAsia" w:ascii="仿宋_GB2312" w:eastAsia="仿宋_GB2312" w:hAnsiTheme="minorEastAsia"/>
          <w:sz w:val="28"/>
          <w:szCs w:val="28"/>
          <w:highlight w:val="none"/>
        </w:rPr>
        <w:t>12.4</w:t>
      </w:r>
      <w:r>
        <w:rPr>
          <w:rFonts w:hint="eastAsia" w:ascii="仿宋_GB2312" w:eastAsia="仿宋_GB2312" w:hAnsiTheme="minorEastAsia"/>
          <w:sz w:val="28"/>
          <w:szCs w:val="28"/>
        </w:rPr>
        <w:t>居住区绿地应根据居住区不同的规划布局形式设置相应的中心绿地和老年人、儿童的活动场地。</w:t>
      </w:r>
    </w:p>
    <w:p>
      <w:pPr>
        <w:suppressLineNumbers/>
        <w:adjustRightInd w:val="0"/>
        <w:snapToGrid w:val="0"/>
        <w:spacing w:line="500" w:lineRule="exact"/>
        <w:ind w:firstLine="560" w:firstLineChars="200"/>
        <w:rPr>
          <w:rFonts w:hint="default" w:ascii="仿宋_GB2312" w:eastAsia="仿宋_GB2312" w:hAnsiTheme="minorEastAsia"/>
          <w:sz w:val="28"/>
          <w:szCs w:val="28"/>
          <w:lang w:val="en-US" w:eastAsia="zh-CN"/>
        </w:rPr>
      </w:pPr>
      <w:r>
        <w:rPr>
          <w:rFonts w:hint="eastAsia" w:ascii="仿宋_GB2312" w:eastAsia="仿宋_GB2312" w:hAnsiTheme="minorEastAsia"/>
          <w:sz w:val="28"/>
          <w:szCs w:val="28"/>
        </w:rPr>
        <w:t>12.5</w:t>
      </w:r>
      <w:r>
        <w:rPr>
          <w:rFonts w:hint="eastAsia" w:ascii="仿宋_GB2312" w:eastAsia="仿宋_GB2312" w:hAnsiTheme="minorEastAsia"/>
          <w:sz w:val="28"/>
          <w:szCs w:val="28"/>
        </w:rPr>
        <w:t>居住用地内应严格控制照射植物、缠绕植物的亮化及装饰包裹植物。</w:t>
      </w:r>
    </w:p>
    <w:p>
      <w:pPr>
        <w:suppressLineNumbers/>
        <w:adjustRightInd w:val="0"/>
        <w:snapToGrid w:val="0"/>
        <w:spacing w:line="500" w:lineRule="exact"/>
        <w:ind w:firstLine="560" w:firstLineChars="200"/>
        <w:rPr>
          <w:rFonts w:hint="eastAsia" w:ascii="仿宋_GB2312" w:eastAsia="仿宋_GB2312" w:hAnsiTheme="minorEastAsia"/>
          <w:sz w:val="28"/>
          <w:szCs w:val="28"/>
        </w:rPr>
      </w:pPr>
      <w:r>
        <w:rPr>
          <w:rFonts w:hint="eastAsia" w:ascii="仿宋_GB2312" w:eastAsia="仿宋_GB2312" w:hAnsiTheme="minorEastAsia"/>
          <w:sz w:val="28"/>
          <w:szCs w:val="28"/>
        </w:rPr>
        <w:t>十三、道路附属绿地</w:t>
      </w:r>
      <w:bookmarkEnd w:id="18"/>
    </w:p>
    <w:p>
      <w:pPr>
        <w:suppressLineNumbers/>
        <w:adjustRightInd w:val="0"/>
        <w:snapToGrid w:val="0"/>
        <w:spacing w:line="500" w:lineRule="exact"/>
        <w:ind w:firstLine="560" w:firstLineChars="200"/>
        <w:rPr>
          <w:rFonts w:hint="eastAsia" w:ascii="仿宋_GB2312" w:eastAsia="仿宋_GB2312" w:hAnsiTheme="minorEastAsia"/>
          <w:sz w:val="28"/>
          <w:szCs w:val="28"/>
        </w:rPr>
      </w:pPr>
      <w:r>
        <w:rPr>
          <w:rFonts w:hint="eastAsia" w:ascii="仿宋_GB2312" w:eastAsia="仿宋_GB2312" w:hAnsiTheme="minorEastAsia"/>
          <w:sz w:val="28"/>
          <w:szCs w:val="28"/>
        </w:rPr>
        <w:t>13.1</w:t>
      </w:r>
      <w:r>
        <w:rPr>
          <w:rFonts w:hint="eastAsia" w:ascii="仿宋_GB2312" w:eastAsia="仿宋_GB2312" w:hAnsiTheme="minorEastAsia"/>
          <w:sz w:val="28"/>
          <w:szCs w:val="28"/>
          <w:lang w:val="en-US" w:eastAsia="zh-CN"/>
        </w:rPr>
        <w:t>城市道路应按林荫路标准设置行道树。</w:t>
      </w:r>
      <w:r>
        <w:rPr>
          <w:rFonts w:hint="eastAsia" w:ascii="仿宋_GB2312" w:eastAsia="仿宋_GB2312" w:hAnsiTheme="minorEastAsia"/>
          <w:sz w:val="28"/>
          <w:szCs w:val="28"/>
        </w:rPr>
        <w:t>行道树应选择树干挺拔端直、冠大荫浓、根系发达、耐寒耐瘠薄、抗逆性强、少病虫害、对人体及环境无明显不利影响的树种。宜选用落叶树。应保障行道树绿带地下土壤的连通性。</w:t>
      </w:r>
    </w:p>
    <w:p>
      <w:pPr>
        <w:suppressLineNumbers/>
        <w:adjustRightInd w:val="0"/>
        <w:snapToGrid w:val="0"/>
        <w:spacing w:line="500" w:lineRule="exact"/>
        <w:ind w:firstLine="551" w:firstLineChars="196"/>
        <w:rPr>
          <w:rFonts w:hint="default" w:ascii="仿宋_GB2312" w:eastAsia="仿宋_GB2312" w:hAnsiTheme="minorEastAsia"/>
          <w:b w:val="0"/>
          <w:bCs/>
          <w:color w:val="0000FF"/>
          <w:sz w:val="28"/>
          <w:szCs w:val="28"/>
          <w:lang w:val="en-US" w:eastAsia="zh-CN"/>
        </w:rPr>
      </w:pPr>
      <w:r>
        <w:rPr>
          <w:rFonts w:hint="eastAsia" w:ascii="仿宋_GB2312" w:eastAsia="仿宋_GB2312" w:hAnsiTheme="minorEastAsia"/>
          <w:b/>
          <w:bCs w:val="0"/>
          <w:sz w:val="28"/>
          <w:szCs w:val="28"/>
          <w:highlight w:val="none"/>
        </w:rPr>
        <w:t>13.2</w:t>
      </w:r>
      <w:r>
        <w:rPr>
          <w:rFonts w:hint="eastAsia" w:ascii="仿宋_GB2312" w:eastAsia="仿宋_GB2312" w:hAnsiTheme="minorEastAsia"/>
          <w:b/>
          <w:bCs w:val="0"/>
          <w:sz w:val="28"/>
          <w:szCs w:val="28"/>
        </w:rPr>
        <w:t>行道树严禁大规模移植大树或栽植重度修剪的截干树。</w:t>
      </w:r>
      <w:r>
        <w:rPr>
          <w:rFonts w:hint="eastAsia" w:ascii="仿宋_GB2312" w:eastAsia="仿宋_GB2312" w:hAnsiTheme="minorEastAsia"/>
          <w:b w:val="0"/>
          <w:bCs/>
          <w:sz w:val="28"/>
          <w:szCs w:val="28"/>
        </w:rPr>
        <w:t>在使用截干树时，应选择截干生长三年以上的植株。</w:t>
      </w:r>
    </w:p>
    <w:p>
      <w:pPr>
        <w:suppressLineNumbers/>
        <w:adjustRightInd w:val="0"/>
        <w:snapToGrid w:val="0"/>
        <w:spacing w:line="500" w:lineRule="exact"/>
        <w:ind w:firstLine="560" w:firstLineChars="200"/>
        <w:rPr>
          <w:rFonts w:ascii="仿宋_GB2312" w:eastAsia="仿宋_GB2312" w:hAnsiTheme="minorEastAsia"/>
          <w:b w:val="0"/>
          <w:bCs/>
          <w:sz w:val="28"/>
          <w:szCs w:val="28"/>
        </w:rPr>
      </w:pPr>
      <w:r>
        <w:rPr>
          <w:rFonts w:hint="eastAsia" w:ascii="仿宋_GB2312" w:eastAsia="仿宋_GB2312" w:hAnsiTheme="minorEastAsia"/>
          <w:b w:val="0"/>
          <w:bCs/>
          <w:sz w:val="28"/>
          <w:szCs w:val="28"/>
        </w:rPr>
        <w:t>1）中分带、机非隔离带的行道树枝下高应不小于3.5m。人行道的行道树枝下高应不小于2.8m，且同一条路的枝下高应一致；</w:t>
      </w:r>
    </w:p>
    <w:p>
      <w:pPr>
        <w:suppressLineNumbers/>
        <w:adjustRightInd w:val="0"/>
        <w:snapToGrid w:val="0"/>
        <w:spacing w:line="500" w:lineRule="exact"/>
        <w:ind w:firstLine="560" w:firstLineChars="200"/>
        <w:rPr>
          <w:rFonts w:ascii="仿宋_GB2312" w:eastAsia="仿宋_GB2312" w:hAnsiTheme="minorEastAsia"/>
          <w:b w:val="0"/>
          <w:bCs/>
          <w:sz w:val="28"/>
          <w:szCs w:val="28"/>
        </w:rPr>
      </w:pPr>
      <w:r>
        <w:rPr>
          <w:rFonts w:hint="eastAsia" w:ascii="仿宋_GB2312" w:eastAsia="仿宋_GB2312" w:hAnsiTheme="minorEastAsia"/>
          <w:b w:val="0"/>
          <w:bCs/>
          <w:sz w:val="28"/>
          <w:szCs w:val="28"/>
        </w:rPr>
        <w:t>2）城市内有大型车辆通行的省道、国道，其通行范围内不应有低于5.0m高度的枝条；</w:t>
      </w:r>
    </w:p>
    <w:p>
      <w:pPr>
        <w:suppressLineNumbers/>
        <w:adjustRightInd w:val="0"/>
        <w:snapToGrid w:val="0"/>
        <w:spacing w:line="500" w:lineRule="exact"/>
        <w:ind w:firstLine="548" w:firstLineChars="196"/>
        <w:rPr>
          <w:rFonts w:ascii="仿宋_GB2312" w:eastAsia="仿宋_GB2312" w:hAnsiTheme="minorEastAsia"/>
          <w:sz w:val="28"/>
          <w:szCs w:val="28"/>
        </w:rPr>
      </w:pPr>
      <w:r>
        <w:rPr>
          <w:rFonts w:hint="eastAsia" w:ascii="仿宋_GB2312" w:eastAsia="仿宋_GB2312" w:hAnsiTheme="minorEastAsia"/>
          <w:sz w:val="28"/>
          <w:szCs w:val="28"/>
          <w:highlight w:val="none"/>
        </w:rPr>
        <w:t>13.3城市绿地内的行道树株距依据成株树冠直径确定。除特殊景观需求外，行道树株距杉类植物宜不小于3.0米、香樟宜不小于8米。</w:t>
      </w:r>
      <w:r>
        <w:rPr>
          <w:rFonts w:hint="eastAsia" w:ascii="仿宋_GB2312" w:eastAsia="仿宋_GB2312" w:hAnsiTheme="minorEastAsia"/>
          <w:sz w:val="28"/>
          <w:szCs w:val="28"/>
        </w:rPr>
        <w:t>行道树与相关设施的最小水平距离应符合表13.1的规定：</w:t>
      </w:r>
    </w:p>
    <w:p>
      <w:pPr>
        <w:suppressLineNumbers/>
        <w:adjustRightInd w:val="0"/>
        <w:snapToGrid w:val="0"/>
        <w:spacing w:line="500" w:lineRule="exact"/>
        <w:jc w:val="center"/>
        <w:rPr>
          <w:rFonts w:ascii="仿宋_GB2312" w:eastAsia="仿宋_GB2312" w:hAnsiTheme="minorEastAsia"/>
          <w:sz w:val="28"/>
          <w:szCs w:val="28"/>
        </w:rPr>
      </w:pPr>
      <w:r>
        <w:rPr>
          <w:rFonts w:hint="eastAsia" w:ascii="仿宋_GB2312" w:eastAsia="仿宋_GB2312" w:hAnsiTheme="minorEastAsia"/>
          <w:sz w:val="28"/>
          <w:szCs w:val="28"/>
        </w:rPr>
        <w:t>表13.1</w:t>
      </w:r>
      <w:r>
        <w:rPr>
          <w:rFonts w:hint="eastAsia" w:ascii="仿宋_GB2312" w:eastAsia="仿宋_GB2312" w:hAnsiTheme="minorEastAsia"/>
          <w:sz w:val="28"/>
          <w:szCs w:val="28"/>
        </w:rPr>
        <w:tab/>
      </w:r>
      <w:r>
        <w:rPr>
          <w:rFonts w:hint="eastAsia" w:ascii="仿宋_GB2312" w:eastAsia="仿宋_GB2312" w:hAnsiTheme="minorEastAsia"/>
          <w:sz w:val="28"/>
          <w:szCs w:val="28"/>
        </w:rPr>
        <w:t>行道树与相关设施的最小水平距离</w:t>
      </w:r>
    </w:p>
    <w:tbl>
      <w:tblPr>
        <w:tblStyle w:val="23"/>
        <w:tblW w:w="82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89"/>
        <w:gridCol w:w="38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9" w:type="dxa"/>
            <w:tcBorders>
              <w:tl2br w:val="single" w:color="auto" w:sz="4" w:space="0"/>
            </w:tcBorders>
            <w:vAlign w:val="center"/>
          </w:tcPr>
          <w:p>
            <w:pPr>
              <w:pStyle w:val="21"/>
              <w:suppressLineNumbers/>
              <w:adjustRightInd w:val="0"/>
              <w:snapToGrid w:val="0"/>
              <w:spacing w:before="0" w:beforeAutospacing="0" w:after="0" w:afterAutospacing="0" w:line="0" w:lineRule="atLeast"/>
              <w:ind w:firstLine="2760" w:firstLineChars="1150"/>
              <w:rPr>
                <w:rFonts w:ascii="仿宋_GB2312" w:eastAsia="仿宋_GB2312" w:hAnsiTheme="minorEastAsia" w:cstheme="minorBidi"/>
                <w:kern w:val="2"/>
              </w:rPr>
            </w:pPr>
            <w:r>
              <w:rPr>
                <w:rFonts w:hint="eastAsia" w:ascii="仿宋_GB2312" w:eastAsia="仿宋_GB2312" w:hAnsiTheme="minorEastAsia" w:cstheme="minorBidi"/>
                <w:kern w:val="2"/>
              </w:rPr>
              <w:t>距离</w:t>
            </w:r>
          </w:p>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设施名称</w:t>
            </w:r>
          </w:p>
        </w:tc>
        <w:tc>
          <w:tcPr>
            <w:tcW w:w="387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距行道树中心不小于（m）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9"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路灯杆中心</w:t>
            </w:r>
          </w:p>
        </w:tc>
        <w:tc>
          <w:tcPr>
            <w:tcW w:w="387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6.0（杉类4.0）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9"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路旁变压器外缘、交通灯柱</w:t>
            </w:r>
          </w:p>
        </w:tc>
        <w:tc>
          <w:tcPr>
            <w:tcW w:w="387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6.0（杉类4.0）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89" w:type="dxa"/>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路牌、交通指示牌、车站标志</w:t>
            </w:r>
          </w:p>
        </w:tc>
        <w:tc>
          <w:tcPr>
            <w:tcW w:w="387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6.0（杉类4.0）</w:t>
            </w:r>
          </w:p>
        </w:tc>
      </w:tr>
    </w:tbl>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highlight w:val="none"/>
        </w:rPr>
      </w:pPr>
      <w:r>
        <w:rPr>
          <w:rFonts w:hint="eastAsia" w:ascii="仿宋_GB2312" w:eastAsia="仿宋_GB2312" w:hAnsiTheme="minorEastAsia"/>
          <w:b w:val="0"/>
          <w:bCs w:val="0"/>
          <w:sz w:val="28"/>
          <w:szCs w:val="28"/>
          <w:highlight w:val="none"/>
        </w:rPr>
        <w:t>13.4乔木树干中心至路缘石外侧最小距离不宜低于0.75m。</w:t>
      </w:r>
    </w:p>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highlight w:val="none"/>
        </w:rPr>
      </w:pPr>
      <w:r>
        <w:rPr>
          <w:rFonts w:hint="eastAsia" w:ascii="仿宋_GB2312" w:eastAsia="仿宋_GB2312" w:hAnsiTheme="minorEastAsia"/>
          <w:b w:val="0"/>
          <w:bCs w:val="0"/>
          <w:sz w:val="28"/>
          <w:szCs w:val="28"/>
          <w:highlight w:val="none"/>
        </w:rPr>
        <w:t>13.5人行道边绿带宽度大于2.5m时，行道树宜种植在绿带内。</w:t>
      </w:r>
    </w:p>
    <w:p>
      <w:pPr>
        <w:pStyle w:val="4"/>
        <w:suppressLineNumbers/>
        <w:adjustRightInd w:val="0"/>
        <w:snapToGrid w:val="0"/>
        <w:spacing w:before="0" w:after="0" w:line="500" w:lineRule="exact"/>
        <w:ind w:firstLine="560" w:firstLineChars="200"/>
        <w:rPr>
          <w:rFonts w:ascii="仿宋_GB2312" w:eastAsia="仿宋_GB2312" w:hAnsiTheme="minorEastAsia"/>
          <w:b/>
          <w:bCs/>
          <w:sz w:val="28"/>
          <w:szCs w:val="28"/>
          <w:highlight w:val="none"/>
        </w:rPr>
      </w:pPr>
      <w:r>
        <w:rPr>
          <w:rFonts w:hint="eastAsia" w:ascii="仿宋_GB2312" w:eastAsia="仿宋_GB2312" w:hAnsiTheme="minorEastAsia"/>
          <w:b w:val="0"/>
          <w:bCs w:val="0"/>
          <w:sz w:val="28"/>
          <w:szCs w:val="28"/>
          <w:highlight w:val="none"/>
        </w:rPr>
        <w:t>13.6道路分车绿带大于1.5m的宜种植小乔木，大于或等于3.0m的，宜种植高大乔木。小乔木株距宜不小于</w:t>
      </w:r>
      <w:r>
        <w:rPr>
          <w:rFonts w:ascii="仿宋_GB2312" w:eastAsia="仿宋_GB2312" w:hAnsiTheme="minorEastAsia"/>
          <w:b w:val="0"/>
          <w:bCs w:val="0"/>
          <w:sz w:val="28"/>
          <w:szCs w:val="28"/>
          <w:highlight w:val="none"/>
        </w:rPr>
        <w:t>4</w:t>
      </w:r>
      <w:r>
        <w:rPr>
          <w:rFonts w:hint="eastAsia" w:ascii="仿宋_GB2312" w:eastAsia="仿宋_GB2312" w:hAnsiTheme="minorEastAsia"/>
          <w:b w:val="0"/>
          <w:bCs w:val="0"/>
          <w:sz w:val="28"/>
          <w:szCs w:val="28"/>
          <w:highlight w:val="none"/>
        </w:rPr>
        <w:t>m，枝下净空满足通行要求。</w:t>
      </w:r>
    </w:p>
    <w:p>
      <w:pPr>
        <w:pStyle w:val="4"/>
        <w:suppressLineNumbers/>
        <w:adjustRightInd w:val="0"/>
        <w:snapToGrid w:val="0"/>
        <w:spacing w:before="0" w:after="0" w:line="500" w:lineRule="exact"/>
        <w:ind w:firstLine="560" w:firstLineChars="200"/>
        <w:rPr>
          <w:rFonts w:hint="default" w:eastAsia="仿宋_GB2312"/>
          <w:color w:val="FF0000"/>
          <w:sz w:val="20"/>
          <w:szCs w:val="21"/>
          <w:lang w:val="en-US" w:eastAsia="zh-CN"/>
        </w:rPr>
      </w:pPr>
      <w:r>
        <w:rPr>
          <w:rFonts w:hint="eastAsia" w:ascii="仿宋_GB2312" w:eastAsia="仿宋_GB2312" w:hAnsiTheme="minorEastAsia"/>
          <w:b w:val="0"/>
          <w:bCs w:val="0"/>
          <w:sz w:val="28"/>
          <w:szCs w:val="28"/>
          <w:highlight w:val="none"/>
        </w:rPr>
        <w:t>13.7新</w:t>
      </w:r>
      <w:r>
        <w:rPr>
          <w:rFonts w:hint="eastAsia" w:ascii="仿宋_GB2312" w:eastAsia="仿宋_GB2312" w:hAnsiTheme="minorEastAsia"/>
          <w:b w:val="0"/>
          <w:bCs w:val="0"/>
          <w:sz w:val="28"/>
          <w:szCs w:val="28"/>
          <w:highlight w:val="none"/>
          <w:lang w:val="en-US" w:eastAsia="zh-CN"/>
        </w:rPr>
        <w:t>建、改建</w:t>
      </w:r>
      <w:r>
        <w:rPr>
          <w:rFonts w:hint="eastAsia" w:ascii="仿宋_GB2312" w:eastAsia="仿宋_GB2312" w:hAnsiTheme="minorEastAsia"/>
          <w:b w:val="0"/>
          <w:bCs w:val="0"/>
          <w:sz w:val="28"/>
          <w:szCs w:val="28"/>
          <w:highlight w:val="none"/>
        </w:rPr>
        <w:t>道路的</w:t>
      </w:r>
      <w:r>
        <w:rPr>
          <w:rFonts w:hint="eastAsia" w:ascii="仿宋_GB2312" w:eastAsia="仿宋_GB2312" w:hAnsiTheme="minorEastAsia"/>
          <w:b w:val="0"/>
          <w:bCs w:val="0"/>
          <w:sz w:val="28"/>
          <w:szCs w:val="28"/>
        </w:rPr>
        <w:t>交叉路口和分车带开口的停车视距三角范围内植物应进行通透式配置，保证行车视线通透。机动车道的弯道内侧及交叉口停车视距（见表13.1）三角形范围宜种植草坪、地被等低矮植物，地被高度不宜超过0.3m。</w:t>
      </w:r>
      <w:bookmarkStart w:id="19" w:name="_Toc93995905"/>
      <w:r>
        <w:rPr>
          <w:rFonts w:hint="eastAsia" w:ascii="仿宋_GB2312" w:eastAsia="仿宋_GB2312" w:hAnsiTheme="minorEastAsia"/>
          <w:b w:val="0"/>
          <w:bCs w:val="0"/>
          <w:sz w:val="28"/>
          <w:szCs w:val="28"/>
          <w:lang w:val="en-US" w:eastAsia="zh-CN"/>
        </w:rPr>
        <w:t>已建成道路沿线植物需定期修剪养护，确保满足行车视线通透的要求。</w:t>
      </w:r>
    </w:p>
    <w:p>
      <w:pPr>
        <w:suppressLineNumbers/>
        <w:adjustRightInd w:val="0"/>
        <w:snapToGrid w:val="0"/>
        <w:spacing w:line="500" w:lineRule="exact"/>
        <w:jc w:val="center"/>
        <w:rPr>
          <w:rFonts w:ascii="仿宋_GB2312" w:eastAsia="仿宋_GB2312" w:hAnsiTheme="minorEastAsia"/>
          <w:sz w:val="28"/>
          <w:szCs w:val="28"/>
        </w:rPr>
      </w:pPr>
      <w:r>
        <w:rPr>
          <w:rFonts w:ascii="仿宋_GB2312" w:eastAsia="仿宋_GB2312" w:hAnsiTheme="minorEastAsia"/>
          <w:sz w:val="28"/>
          <w:szCs w:val="28"/>
        </w:rPr>
        <w:t>表</w:t>
      </w:r>
      <w:r>
        <w:rPr>
          <w:rFonts w:hint="eastAsia" w:ascii="仿宋_GB2312" w:eastAsia="仿宋_GB2312" w:hAnsiTheme="minorEastAsia"/>
          <w:sz w:val="28"/>
          <w:szCs w:val="28"/>
        </w:rPr>
        <w:t>13.1</w:t>
      </w:r>
      <w:r>
        <w:rPr>
          <w:rFonts w:ascii="仿宋_GB2312" w:eastAsia="仿宋_GB2312" w:hAnsiTheme="minorEastAsia"/>
          <w:sz w:val="28"/>
          <w:szCs w:val="28"/>
        </w:rPr>
        <w:tab/>
      </w:r>
      <w:r>
        <w:rPr>
          <w:rFonts w:ascii="仿宋_GB2312" w:eastAsia="仿宋_GB2312" w:hAnsiTheme="minorEastAsia"/>
          <w:sz w:val="28"/>
          <w:szCs w:val="28"/>
        </w:rPr>
        <w:t>停车视距</w:t>
      </w:r>
    </w:p>
    <w:tbl>
      <w:tblPr>
        <w:tblStyle w:val="24"/>
        <w:tblW w:w="8777" w:type="dxa"/>
        <w:tblInd w:w="12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256"/>
        <w:gridCol w:w="931"/>
        <w:gridCol w:w="932"/>
        <w:gridCol w:w="931"/>
        <w:gridCol w:w="932"/>
        <w:gridCol w:w="931"/>
        <w:gridCol w:w="932"/>
        <w:gridCol w:w="93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56"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设计速度(Km/h)</w:t>
            </w:r>
          </w:p>
        </w:tc>
        <w:tc>
          <w:tcPr>
            <w:tcW w:w="93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100</w:t>
            </w:r>
          </w:p>
        </w:tc>
        <w:tc>
          <w:tcPr>
            <w:tcW w:w="93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80</w:t>
            </w:r>
          </w:p>
        </w:tc>
        <w:tc>
          <w:tcPr>
            <w:tcW w:w="93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60</w:t>
            </w:r>
          </w:p>
        </w:tc>
        <w:tc>
          <w:tcPr>
            <w:tcW w:w="93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50</w:t>
            </w:r>
          </w:p>
        </w:tc>
        <w:tc>
          <w:tcPr>
            <w:tcW w:w="93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40</w:t>
            </w:r>
          </w:p>
        </w:tc>
        <w:tc>
          <w:tcPr>
            <w:tcW w:w="93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30</w:t>
            </w:r>
          </w:p>
        </w:tc>
        <w:tc>
          <w:tcPr>
            <w:tcW w:w="93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256"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停车视距（m）</w:t>
            </w:r>
          </w:p>
        </w:tc>
        <w:tc>
          <w:tcPr>
            <w:tcW w:w="93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160</w:t>
            </w:r>
          </w:p>
        </w:tc>
        <w:tc>
          <w:tcPr>
            <w:tcW w:w="93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110</w:t>
            </w:r>
          </w:p>
        </w:tc>
        <w:tc>
          <w:tcPr>
            <w:tcW w:w="93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7</w:t>
            </w:r>
            <w:r>
              <w:rPr>
                <w:rFonts w:hint="eastAsia" w:ascii="仿宋_GB2312" w:eastAsia="仿宋_GB2312" w:hAnsiTheme="minorEastAsia" w:cstheme="minorBidi"/>
                <w:kern w:val="2"/>
              </w:rPr>
              <w:t>0</w:t>
            </w:r>
          </w:p>
        </w:tc>
        <w:tc>
          <w:tcPr>
            <w:tcW w:w="93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ascii="仿宋_GB2312" w:eastAsia="仿宋_GB2312" w:hAnsiTheme="minorEastAsia" w:cstheme="minorBidi"/>
                <w:kern w:val="2"/>
              </w:rPr>
              <w:t>60</w:t>
            </w:r>
          </w:p>
        </w:tc>
        <w:tc>
          <w:tcPr>
            <w:tcW w:w="931"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40</w:t>
            </w:r>
          </w:p>
        </w:tc>
        <w:tc>
          <w:tcPr>
            <w:tcW w:w="93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30</w:t>
            </w:r>
          </w:p>
        </w:tc>
        <w:tc>
          <w:tcPr>
            <w:tcW w:w="93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20</w:t>
            </w:r>
          </w:p>
        </w:tc>
      </w:tr>
    </w:tbl>
    <w:p>
      <w:pPr>
        <w:suppressLineNumbers/>
        <w:adjustRightInd w:val="0"/>
        <w:snapToGrid w:val="0"/>
        <w:spacing w:line="500" w:lineRule="exact"/>
        <w:ind w:firstLine="560" w:firstLineChars="200"/>
        <w:rPr>
          <w:rFonts w:ascii="仿宋_GB2312" w:eastAsia="仿宋_GB2312" w:hAnsiTheme="minorEastAsia"/>
          <w:highlight w:val="none"/>
        </w:rPr>
      </w:pPr>
      <w:r>
        <w:rPr>
          <w:rFonts w:hint="eastAsia" w:ascii="仿宋_GB2312" w:eastAsia="仿宋_GB2312" w:hAnsiTheme="minorEastAsia"/>
          <w:sz w:val="28"/>
          <w:szCs w:val="28"/>
          <w:highlight w:val="none"/>
        </w:rPr>
        <w:t>13.8城市道路绿化覆盖率应符合表13.2的规定。城市景观道路可适度增加绿化覆盖率；城市快速路主辅路并行的路段，按辅路宽度适用。</w:t>
      </w:r>
    </w:p>
    <w:p>
      <w:pPr>
        <w:suppressLineNumbers/>
        <w:adjustRightInd w:val="0"/>
        <w:snapToGrid w:val="0"/>
        <w:spacing w:line="500" w:lineRule="exact"/>
        <w:jc w:val="center"/>
        <w:rPr>
          <w:rFonts w:ascii="仿宋_GB2312" w:eastAsia="仿宋_GB2312" w:hAnsiTheme="minorEastAsia"/>
          <w:sz w:val="28"/>
          <w:szCs w:val="28"/>
          <w:highlight w:val="none"/>
        </w:rPr>
      </w:pPr>
      <w:r>
        <w:rPr>
          <w:rFonts w:ascii="仿宋_GB2312" w:eastAsia="仿宋_GB2312" w:hAnsiTheme="minorEastAsia"/>
          <w:sz w:val="28"/>
          <w:szCs w:val="28"/>
          <w:highlight w:val="none"/>
        </w:rPr>
        <w:t>表</w:t>
      </w:r>
      <w:r>
        <w:rPr>
          <w:rFonts w:hint="eastAsia" w:ascii="仿宋_GB2312" w:eastAsia="仿宋_GB2312" w:hAnsiTheme="minorEastAsia"/>
          <w:sz w:val="28"/>
          <w:szCs w:val="28"/>
          <w:highlight w:val="none"/>
        </w:rPr>
        <w:t>13.2</w:t>
      </w:r>
      <w:r>
        <w:rPr>
          <w:rFonts w:ascii="仿宋_GB2312" w:eastAsia="仿宋_GB2312" w:hAnsiTheme="minorEastAsia"/>
          <w:sz w:val="28"/>
          <w:szCs w:val="28"/>
          <w:highlight w:val="none"/>
        </w:rPr>
        <w:tab/>
      </w:r>
      <w:r>
        <w:rPr>
          <w:rFonts w:hint="eastAsia" w:ascii="仿宋_GB2312" w:eastAsia="仿宋_GB2312" w:hAnsiTheme="minorEastAsia"/>
          <w:sz w:val="28"/>
          <w:szCs w:val="28"/>
          <w:highlight w:val="none"/>
        </w:rPr>
        <w:t>城市道路绿化覆盖率要求</w:t>
      </w:r>
    </w:p>
    <w:tbl>
      <w:tblPr>
        <w:tblStyle w:val="24"/>
        <w:tblW w:w="8777" w:type="dxa"/>
        <w:tblInd w:w="12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3249"/>
        <w:gridCol w:w="1382"/>
        <w:gridCol w:w="1382"/>
        <w:gridCol w:w="1382"/>
        <w:gridCol w:w="138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249"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highlight w:val="none"/>
              </w:rPr>
            </w:pPr>
            <w:r>
              <w:rPr>
                <w:rFonts w:hint="eastAsia" w:ascii="仿宋_GB2312" w:eastAsia="仿宋_GB2312" w:hAnsiTheme="minorEastAsia" w:cstheme="minorBidi"/>
                <w:kern w:val="2"/>
                <w:highlight w:val="none"/>
              </w:rPr>
              <w:t>城市</w:t>
            </w:r>
            <w:r>
              <w:rPr>
                <w:rFonts w:ascii="仿宋_GB2312" w:eastAsia="仿宋_GB2312" w:hAnsiTheme="minorEastAsia" w:cstheme="minorBidi"/>
                <w:kern w:val="2"/>
                <w:highlight w:val="none"/>
              </w:rPr>
              <w:t>道路红线宽度</w:t>
            </w:r>
            <w:r>
              <w:rPr>
                <w:rFonts w:hint="eastAsia" w:ascii="仿宋_GB2312" w:eastAsia="仿宋_GB2312" w:hAnsiTheme="minorEastAsia" w:cstheme="minorBidi"/>
                <w:kern w:val="2"/>
                <w:highlight w:val="none"/>
              </w:rPr>
              <w:t>（</w:t>
            </w:r>
            <w:r>
              <w:rPr>
                <w:rFonts w:ascii="仿宋_GB2312" w:eastAsia="仿宋_GB2312" w:hAnsiTheme="minorEastAsia" w:cstheme="minorBidi"/>
                <w:kern w:val="2"/>
                <w:highlight w:val="none"/>
              </w:rPr>
              <w:t>m</w:t>
            </w:r>
            <w:r>
              <w:rPr>
                <w:rFonts w:hint="eastAsia" w:ascii="仿宋_GB2312" w:eastAsia="仿宋_GB2312" w:hAnsiTheme="minorEastAsia" w:cstheme="minorBidi"/>
                <w:kern w:val="2"/>
                <w:highlight w:val="none"/>
              </w:rPr>
              <w:t>）</w:t>
            </w:r>
          </w:p>
        </w:tc>
        <w:tc>
          <w:tcPr>
            <w:tcW w:w="138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highlight w:val="none"/>
              </w:rPr>
            </w:pPr>
            <w:r>
              <w:rPr>
                <w:rFonts w:hint="eastAsia" w:ascii="仿宋_GB2312" w:eastAsia="仿宋_GB2312" w:hAnsiTheme="minorEastAsia" w:cstheme="minorBidi"/>
                <w:kern w:val="2"/>
                <w:highlight w:val="none"/>
              </w:rPr>
              <w:t>＞45</w:t>
            </w:r>
          </w:p>
        </w:tc>
        <w:tc>
          <w:tcPr>
            <w:tcW w:w="138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highlight w:val="none"/>
              </w:rPr>
            </w:pPr>
            <w:r>
              <w:rPr>
                <w:rFonts w:hint="eastAsia" w:ascii="仿宋_GB2312" w:eastAsia="仿宋_GB2312" w:hAnsiTheme="minorEastAsia" w:cstheme="minorBidi"/>
                <w:kern w:val="2"/>
                <w:highlight w:val="none"/>
              </w:rPr>
              <w:t>30～45</w:t>
            </w:r>
          </w:p>
        </w:tc>
        <w:tc>
          <w:tcPr>
            <w:tcW w:w="138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highlight w:val="none"/>
              </w:rPr>
            </w:pPr>
            <w:r>
              <w:rPr>
                <w:rFonts w:hint="eastAsia" w:ascii="仿宋_GB2312" w:eastAsia="仿宋_GB2312" w:hAnsiTheme="minorEastAsia" w:cstheme="minorBidi"/>
                <w:kern w:val="2"/>
                <w:highlight w:val="none"/>
              </w:rPr>
              <w:t>15～30</w:t>
            </w:r>
          </w:p>
        </w:tc>
        <w:tc>
          <w:tcPr>
            <w:tcW w:w="138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highlight w:val="none"/>
              </w:rPr>
            </w:pPr>
            <w:r>
              <w:rPr>
                <w:rFonts w:ascii="仿宋_GB2312" w:eastAsia="仿宋_GB2312" w:hAnsiTheme="minorEastAsia" w:cstheme="minorBidi"/>
                <w:kern w:val="2"/>
                <w:highlight w:val="none"/>
              </w:rPr>
              <w:t>＜</w:t>
            </w:r>
            <w:r>
              <w:rPr>
                <w:rFonts w:hint="eastAsia" w:ascii="仿宋_GB2312" w:eastAsia="仿宋_GB2312" w:hAnsiTheme="minorEastAsia" w:cstheme="minorBidi"/>
                <w:kern w:val="2"/>
                <w:highlight w:val="none"/>
              </w:rPr>
              <w:t>15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249"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highlight w:val="none"/>
              </w:rPr>
            </w:pPr>
            <w:r>
              <w:rPr>
                <w:rFonts w:hint="eastAsia" w:ascii="仿宋_GB2312" w:eastAsia="仿宋_GB2312" w:hAnsiTheme="minorEastAsia" w:cstheme="minorBidi"/>
                <w:kern w:val="2"/>
                <w:highlight w:val="none"/>
              </w:rPr>
              <w:t>绿化</w:t>
            </w:r>
            <w:r>
              <w:rPr>
                <w:rFonts w:ascii="仿宋_GB2312" w:eastAsia="仿宋_GB2312" w:hAnsiTheme="minorEastAsia" w:cstheme="minorBidi"/>
                <w:kern w:val="2"/>
                <w:highlight w:val="none"/>
              </w:rPr>
              <w:t>覆盖率（</w:t>
            </w:r>
            <w:r>
              <w:rPr>
                <w:rFonts w:hint="eastAsia" w:ascii="仿宋_GB2312" w:eastAsia="仿宋_GB2312" w:hAnsiTheme="minorEastAsia" w:cstheme="minorBidi"/>
                <w:kern w:val="2"/>
                <w:highlight w:val="none"/>
              </w:rPr>
              <w:t>%</w:t>
            </w:r>
            <w:r>
              <w:rPr>
                <w:rFonts w:ascii="仿宋_GB2312" w:eastAsia="仿宋_GB2312" w:hAnsiTheme="minorEastAsia" w:cstheme="minorBidi"/>
                <w:kern w:val="2"/>
                <w:highlight w:val="none"/>
              </w:rPr>
              <w:t>）</w:t>
            </w:r>
          </w:p>
        </w:tc>
        <w:tc>
          <w:tcPr>
            <w:tcW w:w="138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highlight w:val="none"/>
              </w:rPr>
            </w:pPr>
            <w:r>
              <w:rPr>
                <w:rFonts w:hint="eastAsia" w:ascii="仿宋_GB2312" w:eastAsia="仿宋_GB2312" w:hAnsiTheme="minorEastAsia" w:cstheme="minorBidi"/>
                <w:kern w:val="2"/>
                <w:highlight w:val="none"/>
              </w:rPr>
              <w:t>≥20</w:t>
            </w:r>
          </w:p>
        </w:tc>
        <w:tc>
          <w:tcPr>
            <w:tcW w:w="138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highlight w:val="none"/>
              </w:rPr>
            </w:pPr>
            <w:r>
              <w:rPr>
                <w:rFonts w:hint="eastAsia" w:ascii="仿宋_GB2312" w:eastAsia="仿宋_GB2312" w:hAnsiTheme="minorEastAsia" w:cstheme="minorBidi"/>
                <w:kern w:val="2"/>
                <w:highlight w:val="none"/>
              </w:rPr>
              <w:t>≥15</w:t>
            </w:r>
          </w:p>
        </w:tc>
        <w:tc>
          <w:tcPr>
            <w:tcW w:w="138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highlight w:val="none"/>
              </w:rPr>
            </w:pPr>
            <w:r>
              <w:rPr>
                <w:rFonts w:hint="eastAsia" w:ascii="仿宋_GB2312" w:eastAsia="仿宋_GB2312" w:hAnsiTheme="minorEastAsia" w:cstheme="minorBidi"/>
                <w:kern w:val="2"/>
                <w:highlight w:val="none"/>
              </w:rPr>
              <w:t>≥10</w:t>
            </w:r>
          </w:p>
        </w:tc>
        <w:tc>
          <w:tcPr>
            <w:tcW w:w="1382"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highlight w:val="none"/>
              </w:rPr>
            </w:pPr>
            <w:r>
              <w:rPr>
                <w:rFonts w:ascii="仿宋_GB2312" w:eastAsia="仿宋_GB2312" w:hAnsiTheme="minorEastAsia" w:cstheme="minorBidi"/>
                <w:kern w:val="2"/>
                <w:highlight w:val="none"/>
              </w:rPr>
              <w:t>酌情设置</w:t>
            </w:r>
          </w:p>
        </w:tc>
      </w:tr>
    </w:tbl>
    <w:p>
      <w:pPr>
        <w:suppressLineNumbers/>
        <w:adjustRightInd w:val="0"/>
        <w:snapToGrid w:val="0"/>
        <w:spacing w:line="500" w:lineRule="exact"/>
        <w:ind w:firstLine="562" w:firstLineChars="200"/>
        <w:rPr>
          <w:rFonts w:ascii="仿宋_GB2312" w:eastAsia="仿宋_GB2312" w:hAnsiTheme="minorEastAsia"/>
          <w:b/>
          <w:bCs/>
          <w:sz w:val="28"/>
          <w:szCs w:val="28"/>
          <w:highlight w:val="none"/>
        </w:rPr>
      </w:pPr>
      <w:r>
        <w:rPr>
          <w:rFonts w:hint="eastAsia" w:ascii="仿宋_GB2312" w:eastAsia="仿宋_GB2312" w:hAnsiTheme="minorEastAsia"/>
          <w:b/>
          <w:bCs/>
          <w:sz w:val="28"/>
          <w:szCs w:val="28"/>
          <w:highlight w:val="none"/>
        </w:rPr>
        <w:t>十四、林荫停车场</w:t>
      </w:r>
      <w:bookmarkEnd w:id="19"/>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highlight w:val="none"/>
        </w:rPr>
        <w:t>14.1室外停车场在满足停车要求的条件下，应种植庇荫乔木或采取立体绿化的方式，停车位绿化遮阴面积</w:t>
      </w:r>
      <w:r>
        <w:rPr>
          <w:rFonts w:hint="eastAsia" w:ascii="仿宋_GB2312" w:eastAsia="仿宋_GB2312" w:hAnsiTheme="minorEastAsia"/>
          <w:bCs/>
          <w:sz w:val="28"/>
          <w:szCs w:val="28"/>
        </w:rPr>
        <w:t>应不小于停车位总面积的30％。</w:t>
      </w:r>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highlight w:val="none"/>
        </w:rPr>
        <w:t>14.2</w:t>
      </w:r>
      <w:r>
        <w:rPr>
          <w:rFonts w:hint="eastAsia" w:ascii="仿宋_GB2312" w:eastAsia="仿宋_GB2312" w:hAnsiTheme="minorEastAsia"/>
          <w:bCs/>
          <w:sz w:val="28"/>
          <w:szCs w:val="28"/>
        </w:rPr>
        <w:t>停车场的树木间距应满足车位、通道、转弯、回车半径的要求。</w:t>
      </w:r>
    </w:p>
    <w:p>
      <w:pPr>
        <w:suppressLineNumbers/>
        <w:adjustRightInd w:val="0"/>
        <w:snapToGrid w:val="0"/>
        <w:spacing w:line="500" w:lineRule="exact"/>
        <w:ind w:firstLine="560" w:firstLineChars="200"/>
        <w:rPr>
          <w:rFonts w:ascii="仿宋_GB2312" w:eastAsia="仿宋_GB2312" w:hAnsiTheme="minorEastAsia"/>
          <w:bCs/>
          <w:sz w:val="28"/>
          <w:szCs w:val="28"/>
        </w:rPr>
      </w:pPr>
      <w:r>
        <w:rPr>
          <w:rFonts w:hint="eastAsia" w:ascii="仿宋_GB2312" w:eastAsia="仿宋_GB2312" w:hAnsiTheme="minorEastAsia"/>
          <w:bCs/>
          <w:sz w:val="28"/>
          <w:szCs w:val="28"/>
          <w:highlight w:val="none"/>
        </w:rPr>
        <w:t>14.3</w:t>
      </w:r>
      <w:r>
        <w:rPr>
          <w:rFonts w:hint="eastAsia" w:ascii="仿宋_GB2312" w:eastAsia="仿宋_GB2312" w:hAnsiTheme="minorEastAsia"/>
          <w:bCs/>
          <w:sz w:val="28"/>
          <w:szCs w:val="28"/>
        </w:rPr>
        <w:t>停车场种植的庇荫乔木，其树木枝下高度应符合：自行车停车场大于2.2m，小汽车停车场大于2.5m，中型客货车停车场大于3.5m，载货汽车停车场大于4.5m。</w:t>
      </w:r>
      <w:bookmarkStart w:id="20" w:name="_Toc93995906"/>
    </w:p>
    <w:p>
      <w:pPr>
        <w:suppressLineNumbers/>
        <w:adjustRightInd w:val="0"/>
        <w:snapToGrid w:val="0"/>
        <w:spacing w:line="500" w:lineRule="exact"/>
        <w:ind w:firstLine="562" w:firstLineChars="200"/>
        <w:rPr>
          <w:rFonts w:ascii="仿宋_GB2312" w:eastAsia="仿宋_GB2312" w:hAnsiTheme="minorEastAsia"/>
          <w:b/>
          <w:sz w:val="28"/>
          <w:szCs w:val="28"/>
        </w:rPr>
      </w:pPr>
      <w:r>
        <w:rPr>
          <w:rFonts w:hint="eastAsia" w:ascii="仿宋_GB2312" w:eastAsia="仿宋_GB2312" w:hAnsiTheme="minorEastAsia"/>
          <w:b/>
          <w:sz w:val="28"/>
          <w:szCs w:val="28"/>
        </w:rPr>
        <w:t>十五.立体绿化</w:t>
      </w:r>
      <w:bookmarkEnd w:id="20"/>
      <w:r>
        <w:rPr>
          <w:rFonts w:hint="eastAsia" w:ascii="仿宋_GB2312" w:eastAsia="仿宋_GB2312" w:hAnsiTheme="minorEastAsia"/>
          <w:b/>
          <w:sz w:val="28"/>
          <w:szCs w:val="28"/>
        </w:rPr>
        <w:t>（屋顶绿化、垂直绿化）</w:t>
      </w:r>
    </w:p>
    <w:p>
      <w:pPr>
        <w:suppressLineNumbers/>
        <w:adjustRightInd w:val="0"/>
        <w:snapToGrid w:val="0"/>
        <w:spacing w:line="500" w:lineRule="exact"/>
        <w:ind w:firstLine="560" w:firstLineChars="200"/>
        <w:rPr>
          <w:rFonts w:hint="default" w:ascii="仿宋_GB2312" w:eastAsia="仿宋_GB2312" w:hAnsiTheme="minorEastAsia"/>
          <w:b w:val="0"/>
          <w:bCs/>
          <w:color w:val="1D41D5"/>
          <w:sz w:val="28"/>
          <w:szCs w:val="28"/>
          <w:highlight w:val="none"/>
          <w:lang w:val="en-US" w:eastAsia="zh-CN"/>
        </w:rPr>
      </w:pPr>
      <w:r>
        <w:rPr>
          <w:rFonts w:hint="eastAsia" w:ascii="仿宋_GB2312" w:eastAsia="仿宋_GB2312" w:hAnsiTheme="minorEastAsia"/>
          <w:sz w:val="28"/>
          <w:szCs w:val="28"/>
          <w:highlight w:val="none"/>
        </w:rPr>
        <w:t>15.1</w:t>
      </w:r>
      <w:r>
        <w:rPr>
          <w:rFonts w:hint="eastAsia" w:ascii="仿宋_GB2312" w:eastAsia="仿宋_GB2312" w:hAnsiTheme="minorEastAsia"/>
          <w:sz w:val="28"/>
          <w:szCs w:val="28"/>
        </w:rPr>
        <w:t>根据建(构)筑物特点因地制宜采用不同的立体绿化形式。立体绿化不得影响原有建(构)筑物的安全性、功能性和耐久性。立体绿化设计应对所依附的载体进行荷载、支撑能力验算，确保安全性。</w:t>
      </w:r>
    </w:p>
    <w:p>
      <w:pPr>
        <w:spacing w:line="500" w:lineRule="exact"/>
        <w:ind w:firstLine="551" w:firstLineChars="196"/>
        <w:rPr>
          <w:rFonts w:ascii="仿宋_GB2312" w:eastAsia="仿宋_GB2312"/>
          <w:b/>
          <w:bCs w:val="0"/>
          <w:sz w:val="28"/>
          <w:szCs w:val="28"/>
        </w:rPr>
      </w:pPr>
      <w:r>
        <w:rPr>
          <w:rFonts w:hint="eastAsia" w:ascii="仿宋_GB2312" w:eastAsia="仿宋_GB2312" w:hAnsiTheme="minorEastAsia"/>
          <w:b/>
          <w:bCs w:val="0"/>
          <w:sz w:val="28"/>
          <w:szCs w:val="28"/>
          <w:highlight w:val="none"/>
        </w:rPr>
        <w:t>15.2</w:t>
      </w:r>
      <w:r>
        <w:rPr>
          <w:rFonts w:hint="eastAsia" w:ascii="仿宋_GB2312" w:eastAsia="仿宋_GB2312" w:hAnsiTheme="minorEastAsia"/>
          <w:b/>
          <w:bCs w:val="0"/>
          <w:sz w:val="28"/>
          <w:szCs w:val="28"/>
        </w:rPr>
        <w:t>地下空间顶面、建筑屋顶和构筑物顶面的立体绿化应保证植物自然生长，应在不透水层上设置防水排灌系统，且栽植土壤有效土层厚度必须符合植物正常生长的要求，不小于表15.1规定：</w:t>
      </w:r>
    </w:p>
    <w:p>
      <w:pPr>
        <w:suppressLineNumbers/>
        <w:adjustRightInd w:val="0"/>
        <w:snapToGrid w:val="0"/>
        <w:spacing w:line="500" w:lineRule="exact"/>
        <w:ind w:firstLine="562" w:firstLineChars="200"/>
        <w:jc w:val="center"/>
        <w:rPr>
          <w:rFonts w:ascii="仿宋_GB2312" w:eastAsia="仿宋_GB2312" w:hAnsiTheme="minorEastAsia"/>
          <w:b/>
          <w:bCs w:val="0"/>
          <w:sz w:val="28"/>
          <w:szCs w:val="28"/>
        </w:rPr>
      </w:pPr>
      <w:r>
        <w:rPr>
          <w:rFonts w:hint="eastAsia" w:ascii="仿宋_GB2312" w:eastAsia="仿宋_GB2312" w:hAnsiTheme="minorEastAsia"/>
          <w:b/>
          <w:bCs w:val="0"/>
          <w:sz w:val="28"/>
          <w:szCs w:val="28"/>
        </w:rPr>
        <w:t>表15.1绿化栽植土壤有效土层厚度（厘米）</w:t>
      </w:r>
    </w:p>
    <w:tbl>
      <w:tblPr>
        <w:tblStyle w:val="24"/>
        <w:tblW w:w="0" w:type="auto"/>
        <w:tblInd w:w="25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835"/>
        <w:gridCol w:w="2835"/>
        <w:gridCol w:w="283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5" w:type="dxa"/>
            <w:vMerge w:val="restart"/>
            <w:vAlign w:val="center"/>
          </w:tcPr>
          <w:p>
            <w:pPr>
              <w:suppressLineNumbers/>
              <w:adjustRightInd w:val="0"/>
              <w:snapToGrid w:val="0"/>
              <w:spacing w:line="0" w:lineRule="atLeast"/>
              <w:jc w:val="center"/>
              <w:rPr>
                <w:rFonts w:ascii="仿宋_GB2312" w:eastAsia="仿宋_GB2312" w:hAnsiTheme="minorEastAsia" w:cstheme="minorBidi"/>
                <w:b/>
                <w:bCs w:val="0"/>
                <w:kern w:val="2"/>
                <w:sz w:val="24"/>
                <w:szCs w:val="24"/>
              </w:rPr>
            </w:pPr>
            <w:r>
              <w:rPr>
                <w:rFonts w:hint="eastAsia" w:ascii="仿宋_GB2312" w:eastAsia="仿宋_GB2312" w:hAnsiTheme="minorEastAsia" w:cstheme="minorBidi"/>
                <w:b/>
                <w:bCs w:val="0"/>
                <w:kern w:val="2"/>
                <w:sz w:val="24"/>
                <w:szCs w:val="24"/>
              </w:rPr>
              <w:t>设施空间绿化</w:t>
            </w:r>
          </w:p>
        </w:tc>
        <w:tc>
          <w:tcPr>
            <w:tcW w:w="2835" w:type="dxa"/>
            <w:vAlign w:val="center"/>
          </w:tcPr>
          <w:p>
            <w:pPr>
              <w:suppressLineNumbers/>
              <w:adjustRightInd w:val="0"/>
              <w:snapToGrid w:val="0"/>
              <w:spacing w:line="0" w:lineRule="atLeast"/>
              <w:jc w:val="center"/>
              <w:rPr>
                <w:rFonts w:ascii="仿宋_GB2312" w:eastAsia="仿宋_GB2312" w:hAnsiTheme="minorEastAsia" w:cstheme="minorBidi"/>
                <w:b/>
                <w:bCs w:val="0"/>
                <w:kern w:val="2"/>
                <w:sz w:val="24"/>
                <w:szCs w:val="24"/>
              </w:rPr>
            </w:pPr>
            <w:r>
              <w:rPr>
                <w:rFonts w:hint="eastAsia" w:ascii="仿宋_GB2312" w:eastAsia="仿宋_GB2312" w:hAnsiTheme="minorEastAsia" w:cstheme="minorBidi"/>
                <w:b/>
                <w:bCs w:val="0"/>
                <w:kern w:val="2"/>
                <w:sz w:val="24"/>
                <w:szCs w:val="24"/>
              </w:rPr>
              <w:t>乔木</w:t>
            </w:r>
          </w:p>
        </w:tc>
        <w:tc>
          <w:tcPr>
            <w:tcW w:w="2835" w:type="dxa"/>
            <w:vAlign w:val="center"/>
          </w:tcPr>
          <w:p>
            <w:pPr>
              <w:suppressLineNumbers/>
              <w:adjustRightInd w:val="0"/>
              <w:snapToGrid w:val="0"/>
              <w:spacing w:line="0" w:lineRule="atLeast"/>
              <w:jc w:val="center"/>
              <w:rPr>
                <w:rFonts w:ascii="仿宋_GB2312" w:eastAsia="仿宋_GB2312" w:hAnsiTheme="minorEastAsia" w:cstheme="minorBidi"/>
                <w:b/>
                <w:bCs w:val="0"/>
                <w:kern w:val="2"/>
                <w:sz w:val="24"/>
                <w:szCs w:val="24"/>
              </w:rPr>
            </w:pPr>
            <w:r>
              <w:rPr>
                <w:rFonts w:hint="eastAsia" w:ascii="仿宋_GB2312" w:eastAsia="仿宋_GB2312" w:hAnsiTheme="minorEastAsia" w:cstheme="minorBidi"/>
                <w:b/>
                <w:bCs w:val="0"/>
                <w:kern w:val="2"/>
                <w:sz w:val="24"/>
                <w:szCs w:val="24"/>
              </w:rPr>
              <w:t>≥120（深根）</w:t>
            </w:r>
          </w:p>
          <w:p>
            <w:pPr>
              <w:suppressLineNumbers/>
              <w:adjustRightInd w:val="0"/>
              <w:snapToGrid w:val="0"/>
              <w:spacing w:line="0" w:lineRule="atLeast"/>
              <w:jc w:val="center"/>
              <w:rPr>
                <w:rFonts w:ascii="仿宋_GB2312" w:eastAsia="仿宋_GB2312" w:hAnsiTheme="minorEastAsia" w:cstheme="minorBidi"/>
                <w:b/>
                <w:bCs w:val="0"/>
                <w:kern w:val="2"/>
                <w:sz w:val="24"/>
                <w:szCs w:val="24"/>
              </w:rPr>
            </w:pPr>
            <w:r>
              <w:rPr>
                <w:rFonts w:hint="eastAsia" w:ascii="仿宋_GB2312" w:eastAsia="仿宋_GB2312" w:hAnsiTheme="minorEastAsia" w:cstheme="minorBidi"/>
                <w:b/>
                <w:bCs w:val="0"/>
                <w:kern w:val="2"/>
                <w:sz w:val="24"/>
                <w:szCs w:val="24"/>
              </w:rPr>
              <w:t>≥100（浅根）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5" w:type="dxa"/>
            <w:vMerge w:val="continue"/>
            <w:vAlign w:val="center"/>
          </w:tcPr>
          <w:p>
            <w:pPr>
              <w:suppressLineNumbers/>
              <w:adjustRightInd w:val="0"/>
              <w:snapToGrid w:val="0"/>
              <w:spacing w:line="0" w:lineRule="atLeast"/>
              <w:ind w:firstLine="482" w:firstLineChars="200"/>
              <w:jc w:val="center"/>
              <w:rPr>
                <w:rFonts w:ascii="仿宋_GB2312" w:eastAsia="仿宋_GB2312" w:hAnsiTheme="minorEastAsia" w:cstheme="minorBidi"/>
                <w:b/>
                <w:bCs w:val="0"/>
                <w:kern w:val="2"/>
                <w:sz w:val="24"/>
                <w:szCs w:val="24"/>
              </w:rPr>
            </w:pPr>
          </w:p>
        </w:tc>
        <w:tc>
          <w:tcPr>
            <w:tcW w:w="2835" w:type="dxa"/>
            <w:vAlign w:val="center"/>
          </w:tcPr>
          <w:p>
            <w:pPr>
              <w:suppressLineNumbers/>
              <w:adjustRightInd w:val="0"/>
              <w:snapToGrid w:val="0"/>
              <w:spacing w:line="0" w:lineRule="atLeast"/>
              <w:jc w:val="center"/>
              <w:rPr>
                <w:rFonts w:ascii="仿宋_GB2312" w:eastAsia="仿宋_GB2312" w:hAnsiTheme="minorEastAsia" w:cstheme="minorBidi"/>
                <w:b/>
                <w:bCs w:val="0"/>
                <w:kern w:val="2"/>
                <w:sz w:val="24"/>
                <w:szCs w:val="24"/>
              </w:rPr>
            </w:pPr>
            <w:r>
              <w:rPr>
                <w:rFonts w:hint="eastAsia" w:ascii="仿宋_GB2312" w:eastAsia="仿宋_GB2312" w:hAnsiTheme="minorEastAsia" w:cstheme="minorBidi"/>
                <w:b/>
                <w:bCs w:val="0"/>
                <w:kern w:val="2"/>
                <w:sz w:val="24"/>
                <w:szCs w:val="24"/>
              </w:rPr>
              <w:t>灌木</w:t>
            </w:r>
          </w:p>
        </w:tc>
        <w:tc>
          <w:tcPr>
            <w:tcW w:w="2835" w:type="dxa"/>
            <w:vAlign w:val="center"/>
          </w:tcPr>
          <w:p>
            <w:pPr>
              <w:suppressLineNumbers/>
              <w:adjustRightInd w:val="0"/>
              <w:snapToGrid w:val="0"/>
              <w:spacing w:line="0" w:lineRule="atLeast"/>
              <w:jc w:val="center"/>
              <w:rPr>
                <w:rFonts w:ascii="仿宋_GB2312" w:eastAsia="仿宋_GB2312" w:hAnsiTheme="minorEastAsia" w:cstheme="minorBidi"/>
                <w:b/>
                <w:bCs w:val="0"/>
                <w:kern w:val="2"/>
                <w:sz w:val="24"/>
                <w:szCs w:val="24"/>
              </w:rPr>
            </w:pPr>
            <w:r>
              <w:rPr>
                <w:rFonts w:hint="eastAsia" w:ascii="仿宋_GB2312" w:eastAsia="仿宋_GB2312" w:hAnsiTheme="minorEastAsia" w:cstheme="minorBidi"/>
                <w:b/>
                <w:bCs w:val="0"/>
                <w:kern w:val="2"/>
                <w:sz w:val="24"/>
                <w:szCs w:val="24"/>
              </w:rPr>
              <w:t>≥45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5" w:type="dxa"/>
            <w:vMerge w:val="continue"/>
            <w:vAlign w:val="center"/>
          </w:tcPr>
          <w:p>
            <w:pPr>
              <w:suppressLineNumbers/>
              <w:adjustRightInd w:val="0"/>
              <w:snapToGrid w:val="0"/>
              <w:spacing w:line="0" w:lineRule="atLeast"/>
              <w:ind w:firstLine="482" w:firstLineChars="200"/>
              <w:jc w:val="center"/>
              <w:rPr>
                <w:rFonts w:ascii="仿宋_GB2312" w:eastAsia="仿宋_GB2312" w:hAnsiTheme="minorEastAsia" w:cstheme="minorBidi"/>
                <w:b/>
                <w:bCs w:val="0"/>
                <w:kern w:val="2"/>
                <w:sz w:val="24"/>
                <w:szCs w:val="24"/>
              </w:rPr>
            </w:pPr>
          </w:p>
        </w:tc>
        <w:tc>
          <w:tcPr>
            <w:tcW w:w="2835" w:type="dxa"/>
            <w:vAlign w:val="center"/>
          </w:tcPr>
          <w:p>
            <w:pPr>
              <w:suppressLineNumbers/>
              <w:adjustRightInd w:val="0"/>
              <w:snapToGrid w:val="0"/>
              <w:spacing w:line="0" w:lineRule="atLeast"/>
              <w:jc w:val="center"/>
              <w:rPr>
                <w:rFonts w:ascii="仿宋_GB2312" w:eastAsia="仿宋_GB2312" w:hAnsiTheme="minorEastAsia" w:cstheme="minorBidi"/>
                <w:b/>
                <w:bCs w:val="0"/>
                <w:kern w:val="2"/>
                <w:sz w:val="24"/>
                <w:szCs w:val="24"/>
              </w:rPr>
            </w:pPr>
            <w:r>
              <w:rPr>
                <w:rFonts w:hint="eastAsia" w:ascii="仿宋_GB2312" w:eastAsia="仿宋_GB2312" w:hAnsiTheme="minorEastAsia" w:cstheme="minorBidi"/>
                <w:b/>
                <w:bCs w:val="0"/>
                <w:kern w:val="2"/>
                <w:sz w:val="24"/>
                <w:szCs w:val="24"/>
              </w:rPr>
              <w:t>草坪、花卉、草本地被</w:t>
            </w:r>
          </w:p>
        </w:tc>
        <w:tc>
          <w:tcPr>
            <w:tcW w:w="2835" w:type="dxa"/>
            <w:vAlign w:val="center"/>
          </w:tcPr>
          <w:p>
            <w:pPr>
              <w:suppressLineNumbers/>
              <w:adjustRightInd w:val="0"/>
              <w:snapToGrid w:val="0"/>
              <w:spacing w:line="0" w:lineRule="atLeast"/>
              <w:jc w:val="center"/>
              <w:rPr>
                <w:rFonts w:ascii="仿宋_GB2312" w:eastAsia="仿宋_GB2312" w:hAnsiTheme="minorEastAsia" w:cstheme="minorBidi"/>
                <w:b/>
                <w:bCs w:val="0"/>
                <w:kern w:val="2"/>
                <w:sz w:val="24"/>
                <w:szCs w:val="24"/>
              </w:rPr>
            </w:pPr>
            <w:r>
              <w:rPr>
                <w:rFonts w:hint="eastAsia" w:ascii="仿宋_GB2312" w:eastAsia="仿宋_GB2312" w:hAnsiTheme="minorEastAsia" w:cstheme="minorBidi"/>
                <w:b/>
                <w:bCs w:val="0"/>
                <w:kern w:val="2"/>
                <w:sz w:val="24"/>
                <w:szCs w:val="24"/>
              </w:rPr>
              <w:t>≥30</w:t>
            </w:r>
          </w:p>
        </w:tc>
      </w:tr>
    </w:tbl>
    <w:p>
      <w:pPr>
        <w:suppressLineNumbers/>
        <w:adjustRightInd w:val="0"/>
        <w:snapToGrid w:val="0"/>
        <w:spacing w:line="500" w:lineRule="exact"/>
        <w:ind w:firstLine="560" w:firstLineChars="200"/>
        <w:rPr>
          <w:rFonts w:ascii="仿宋_GB2312" w:eastAsia="仿宋_GB2312" w:hAnsiTheme="minorEastAsia"/>
          <w:b w:val="0"/>
          <w:bCs w:val="0"/>
          <w:sz w:val="28"/>
          <w:szCs w:val="28"/>
        </w:rPr>
      </w:pPr>
      <w:r>
        <w:rPr>
          <w:rFonts w:hint="eastAsia" w:ascii="仿宋_GB2312" w:eastAsia="仿宋_GB2312" w:hAnsiTheme="minorEastAsia"/>
          <w:b w:val="0"/>
          <w:bCs w:val="0"/>
          <w:sz w:val="28"/>
          <w:szCs w:val="28"/>
          <w:highlight w:val="none"/>
        </w:rPr>
        <w:t>15.3</w:t>
      </w:r>
      <w:r>
        <w:rPr>
          <w:rFonts w:hint="eastAsia" w:ascii="仿宋_GB2312" w:eastAsia="仿宋_GB2312" w:hAnsiTheme="minorEastAsia"/>
          <w:b w:val="0"/>
          <w:bCs w:val="0"/>
          <w:sz w:val="28"/>
          <w:szCs w:val="28"/>
        </w:rPr>
        <w:t>立体绿化灌溉应采用自动灌溉控制系统。雨水收集、太阳能利用等生态环保技术宜同步设计应用。</w:t>
      </w:r>
    </w:p>
    <w:p>
      <w:pPr>
        <w:pStyle w:val="4"/>
        <w:suppressLineNumbers/>
        <w:adjustRightInd w:val="0"/>
        <w:snapToGrid w:val="0"/>
        <w:spacing w:before="0" w:after="0" w:line="500" w:lineRule="exact"/>
        <w:ind w:firstLine="560" w:firstLineChars="200"/>
        <w:rPr>
          <w:rFonts w:hint="eastAsia" w:ascii="仿宋_GB2312" w:eastAsia="仿宋_GB2312" w:hAnsiTheme="minorEastAsia"/>
          <w:b w:val="0"/>
          <w:bCs w:val="0"/>
          <w:color w:val="auto"/>
          <w:sz w:val="28"/>
          <w:szCs w:val="28"/>
        </w:rPr>
      </w:pPr>
      <w:r>
        <w:rPr>
          <w:rFonts w:hint="eastAsia" w:ascii="仿宋_GB2312" w:eastAsia="仿宋_GB2312" w:hAnsiTheme="minorEastAsia"/>
          <w:b w:val="0"/>
          <w:bCs w:val="0"/>
          <w:sz w:val="28"/>
          <w:szCs w:val="28"/>
          <w:highlight w:val="none"/>
        </w:rPr>
        <w:t>15.4</w:t>
      </w:r>
      <w:r>
        <w:rPr>
          <w:rFonts w:hint="eastAsia" w:ascii="仿宋_GB2312" w:eastAsia="仿宋_GB2312" w:hAnsiTheme="minorEastAsia"/>
          <w:b w:val="0"/>
          <w:bCs w:val="0"/>
          <w:sz w:val="28"/>
          <w:szCs w:val="28"/>
        </w:rPr>
        <w:t>屋顶绿化。应按现行国家标准《建筑结构荷载规范》GB50009规定取值。</w:t>
      </w:r>
      <w:r>
        <w:rPr>
          <w:rFonts w:hint="eastAsia" w:ascii="仿宋_GB2312" w:eastAsia="仿宋_GB2312" w:hAnsiTheme="minorEastAsia"/>
          <w:b w:val="0"/>
          <w:bCs w:val="0"/>
          <w:color w:val="auto"/>
          <w:sz w:val="28"/>
          <w:szCs w:val="28"/>
          <w:u w:val="none"/>
        </w:rPr>
        <w:t>对现有建筑进行屋顶绿化时，应</w:t>
      </w:r>
      <w:r>
        <w:rPr>
          <w:rFonts w:hint="eastAsia" w:ascii="仿宋_GB2312" w:eastAsia="仿宋_GB2312" w:hAnsiTheme="minorEastAsia" w:cstheme="minorBidi"/>
          <w:b w:val="0"/>
          <w:bCs/>
          <w:color w:val="auto"/>
          <w:kern w:val="2"/>
          <w:sz w:val="28"/>
          <w:szCs w:val="28"/>
          <w:highlight w:val="none"/>
          <w:lang w:val="en-US" w:eastAsia="zh-CN" w:bidi="ar-SA"/>
        </w:rPr>
        <w:t>由具有相应资质的单位</w:t>
      </w:r>
      <w:r>
        <w:rPr>
          <w:rFonts w:hint="eastAsia" w:ascii="仿宋_GB2312" w:eastAsia="仿宋_GB2312" w:hAnsiTheme="minorEastAsia"/>
          <w:b w:val="0"/>
          <w:bCs w:val="0"/>
          <w:color w:val="auto"/>
          <w:sz w:val="28"/>
          <w:szCs w:val="28"/>
          <w:u w:val="none"/>
        </w:rPr>
        <w:t>对原结构进行鉴定。</w:t>
      </w:r>
      <w:r>
        <w:rPr>
          <w:rFonts w:hint="eastAsia" w:ascii="仿宋_GB2312" w:eastAsia="仿宋_GB2312" w:hAnsiTheme="minorEastAsia"/>
          <w:b w:val="0"/>
          <w:bCs w:val="0"/>
          <w:color w:val="auto"/>
          <w:sz w:val="28"/>
          <w:szCs w:val="28"/>
        </w:rPr>
        <w:t>种植不应影响建筑结构安全及排水。并符合以下规定：</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1）建设屋顶绿化应满足规划、消防、环保、安全和卫生等方面规定要求，不应建设建筑物；</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2）屋顶绿化内的园林小品设施应控制建设规模，总体风格与原有建筑环境协调；</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3）屋顶绿化的土壤应采用轻型介质，其底层应设置性能良好的滤水层、排水层、防水层和耐根穿刺防水层；</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4）屋顶绿化应选择耐寒、耐旱、抗风、抗日灼、不易倒伏的植物。不宜选择深根、主根穿透能力强的植物。</w:t>
      </w:r>
    </w:p>
    <w:p>
      <w:pPr>
        <w:spacing w:line="500" w:lineRule="exact"/>
        <w:ind w:firstLine="551" w:firstLineChars="196"/>
        <w:rPr>
          <w:rFonts w:hint="default" w:ascii="仿宋_GB2312" w:eastAsia="仿宋_GB2312"/>
          <w:b/>
          <w:bCs/>
          <w:color w:val="auto"/>
          <w:sz w:val="28"/>
          <w:szCs w:val="28"/>
          <w:lang w:val="en-US"/>
        </w:rPr>
      </w:pPr>
      <w:r>
        <w:rPr>
          <w:rFonts w:hint="eastAsia" w:ascii="仿宋_GB2312" w:eastAsia="仿宋_GB2312" w:hAnsiTheme="minorEastAsia"/>
          <w:b/>
          <w:bCs/>
          <w:color w:val="auto"/>
          <w:sz w:val="28"/>
          <w:szCs w:val="28"/>
        </w:rPr>
        <w:t>5）除有特殊安全稳定设计外，建筑屋顶树木种植的定植点与屋顶防护围栏的安全距离应大于树木高度。</w:t>
      </w:r>
    </w:p>
    <w:p>
      <w:pPr>
        <w:suppressLineNumbers/>
        <w:adjustRightInd w:val="0"/>
        <w:snapToGrid w:val="0"/>
        <w:spacing w:line="500" w:lineRule="exact"/>
        <w:ind w:firstLine="560" w:firstLineChars="200"/>
        <w:rPr>
          <w:rFonts w:hint="eastAsia" w:ascii="仿宋_GB2312" w:eastAsia="仿宋_GB2312" w:hAnsiTheme="minorEastAsia"/>
          <w:color w:val="auto"/>
          <w:sz w:val="28"/>
          <w:szCs w:val="28"/>
        </w:rPr>
      </w:pPr>
      <w:r>
        <w:rPr>
          <w:rFonts w:hint="eastAsia" w:ascii="仿宋_GB2312" w:eastAsia="仿宋_GB2312" w:hAnsiTheme="minorEastAsia"/>
          <w:color w:val="auto"/>
          <w:sz w:val="28"/>
          <w:szCs w:val="28"/>
        </w:rPr>
        <w:t>6）屋顶绿化的种植土距离女儿墙应有不小于0.5m的距离。</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highlight w:val="none"/>
        </w:rPr>
        <w:t>15.5</w:t>
      </w:r>
      <w:r>
        <w:rPr>
          <w:rFonts w:hint="eastAsia" w:ascii="仿宋_GB2312" w:eastAsia="仿宋_GB2312" w:hAnsiTheme="minorEastAsia"/>
          <w:color w:val="auto"/>
          <w:sz w:val="28"/>
          <w:szCs w:val="28"/>
        </w:rPr>
        <w:t>垂直绿化。栽植前应对种植位置的朝向、光照、地势、土壤状况等进行勘察，因地制宜选择适宜的垂直绿化形式。</w:t>
      </w:r>
    </w:p>
    <w:p>
      <w:pPr>
        <w:suppressLineNumbers/>
        <w:adjustRightInd w:val="0"/>
        <w:snapToGrid w:val="0"/>
        <w:spacing w:line="500" w:lineRule="exact"/>
        <w:ind w:firstLine="560" w:firstLineChars="200"/>
        <w:rPr>
          <w:rFonts w:hint="eastAsia" w:ascii="仿宋_GB2312" w:eastAsia="仿宋_GB2312" w:hAnsiTheme="minorEastAsia"/>
          <w:color w:val="auto"/>
          <w:sz w:val="28"/>
          <w:szCs w:val="28"/>
        </w:rPr>
      </w:pPr>
      <w:r>
        <w:rPr>
          <w:rFonts w:hint="eastAsia" w:ascii="仿宋_GB2312" w:eastAsia="仿宋_GB2312" w:hAnsiTheme="minorEastAsia"/>
          <w:color w:val="auto"/>
          <w:sz w:val="28"/>
          <w:szCs w:val="28"/>
        </w:rPr>
        <w:t>1）墙面攀爬或墙面贴植应充分利用周边绿地进行栽植。如无适宜的立地条件，可使用种植槽或种植箱。</w:t>
      </w:r>
    </w:p>
    <w:p>
      <w:pPr>
        <w:suppressLineNumbers/>
        <w:adjustRightInd w:val="0"/>
        <w:snapToGrid w:val="0"/>
        <w:spacing w:line="500" w:lineRule="exact"/>
        <w:ind w:firstLine="560" w:firstLineChars="200"/>
        <w:rPr>
          <w:rFonts w:hint="eastAsia" w:ascii="仿宋_GB2312" w:eastAsia="仿宋_GB2312" w:hAnsiTheme="minorEastAsia"/>
          <w:color w:val="auto"/>
          <w:sz w:val="28"/>
          <w:szCs w:val="28"/>
        </w:rPr>
      </w:pPr>
      <w:r>
        <w:rPr>
          <w:rFonts w:hint="eastAsia" w:ascii="仿宋_GB2312" w:eastAsia="仿宋_GB2312" w:hAnsiTheme="minorEastAsia"/>
          <w:color w:val="auto"/>
          <w:sz w:val="28"/>
          <w:szCs w:val="28"/>
        </w:rPr>
        <w:t>2）垂直绿化以木本植物或多年生草本植物为主，选择抗性强、低养护的植物品种。</w:t>
      </w:r>
    </w:p>
    <w:p>
      <w:pPr>
        <w:suppressLineNumbers/>
        <w:adjustRightInd w:val="0"/>
        <w:snapToGrid w:val="0"/>
        <w:spacing w:line="500" w:lineRule="exact"/>
        <w:ind w:firstLine="560" w:firstLineChars="200"/>
        <w:rPr>
          <w:rFonts w:hint="eastAsia" w:ascii="仿宋_GB2312" w:eastAsia="仿宋_GB2312" w:hAnsiTheme="minorEastAsia"/>
          <w:color w:val="auto"/>
          <w:sz w:val="28"/>
          <w:szCs w:val="28"/>
        </w:rPr>
      </w:pPr>
      <w:r>
        <w:rPr>
          <w:rFonts w:hint="eastAsia" w:ascii="仿宋_GB2312" w:eastAsia="仿宋_GB2312" w:hAnsiTheme="minorEastAsia"/>
          <w:color w:val="auto"/>
          <w:sz w:val="28"/>
          <w:szCs w:val="28"/>
        </w:rPr>
        <w:t>3）墙面攀爬植物宜选择2年生3分枝以上规格。</w:t>
      </w:r>
    </w:p>
    <w:p>
      <w:pPr>
        <w:suppressLineNumbers/>
        <w:adjustRightInd w:val="0"/>
        <w:snapToGrid w:val="0"/>
        <w:spacing w:line="500" w:lineRule="exact"/>
        <w:ind w:firstLine="560" w:firstLineChars="200"/>
        <w:rPr>
          <w:rFonts w:hint="eastAsia" w:ascii="仿宋_GB2312" w:eastAsia="仿宋_GB2312" w:hAnsiTheme="minorEastAsia"/>
          <w:color w:val="auto"/>
          <w:sz w:val="28"/>
          <w:szCs w:val="28"/>
        </w:rPr>
      </w:pPr>
      <w:r>
        <w:rPr>
          <w:rFonts w:hint="eastAsia" w:ascii="仿宋_GB2312" w:eastAsia="仿宋_GB2312" w:hAnsiTheme="minorEastAsia"/>
          <w:color w:val="auto"/>
          <w:sz w:val="28"/>
          <w:szCs w:val="28"/>
        </w:rPr>
        <w:t>4）墙面贴植宜选择高度150cm以上、枝条柔韧、耐修剪植物。</w:t>
      </w:r>
    </w:p>
    <w:p>
      <w:pPr>
        <w:suppressLineNumbers/>
        <w:adjustRightInd w:val="0"/>
        <w:snapToGrid w:val="0"/>
        <w:spacing w:line="500" w:lineRule="exact"/>
        <w:ind w:firstLine="560" w:firstLineChars="200"/>
        <w:rPr>
          <w:rFonts w:ascii="仿宋_GB2312" w:eastAsia="仿宋_GB2312" w:hAnsiTheme="minorEastAsia"/>
          <w:b/>
          <w:bCs/>
          <w:color w:val="auto"/>
          <w:sz w:val="28"/>
          <w:szCs w:val="28"/>
        </w:rPr>
      </w:pPr>
      <w:r>
        <w:rPr>
          <w:rFonts w:hint="eastAsia" w:ascii="仿宋_GB2312" w:eastAsia="仿宋_GB2312" w:hAnsiTheme="minorEastAsia"/>
          <w:color w:val="auto"/>
          <w:sz w:val="28"/>
          <w:szCs w:val="28"/>
        </w:rPr>
        <w:t>5）构件绿墙应根据立地条件选择适宜植物。</w:t>
      </w:r>
    </w:p>
    <w:p>
      <w:pPr>
        <w:pStyle w:val="2"/>
        <w:suppressLineNumbers/>
        <w:adjustRightInd w:val="0"/>
        <w:snapToGrid w:val="0"/>
        <w:spacing w:before="0" w:after="0" w:line="500" w:lineRule="exact"/>
        <w:ind w:firstLine="562" w:firstLineChars="200"/>
        <w:rPr>
          <w:rFonts w:ascii="仿宋_GB2312" w:eastAsia="仿宋_GB2312" w:hAnsiTheme="minorEastAsia"/>
          <w:b/>
          <w:bCs w:val="0"/>
          <w:color w:val="auto"/>
          <w:kern w:val="2"/>
          <w:sz w:val="28"/>
          <w:szCs w:val="28"/>
        </w:rPr>
      </w:pPr>
      <w:bookmarkStart w:id="21" w:name="_Toc93995910"/>
      <w:r>
        <w:rPr>
          <w:rFonts w:hint="eastAsia" w:ascii="仿宋_GB2312" w:eastAsia="仿宋_GB2312" w:hAnsiTheme="minorEastAsia"/>
          <w:b/>
          <w:bCs w:val="0"/>
          <w:color w:val="auto"/>
          <w:kern w:val="2"/>
          <w:sz w:val="28"/>
          <w:szCs w:val="28"/>
        </w:rPr>
        <w:t>十六、施工及验收规定</w:t>
      </w:r>
      <w:bookmarkEnd w:id="21"/>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highlight w:val="none"/>
        </w:rPr>
        <w:t>16.1绿化施工应符合园林绿化工程施工及验收规范、大气污染防治等国家、省和市的相关要求。</w:t>
      </w:r>
    </w:p>
    <w:p>
      <w:pPr>
        <w:suppressLineNumbers/>
        <w:adjustRightInd w:val="0"/>
        <w:snapToGrid w:val="0"/>
        <w:spacing w:line="500" w:lineRule="exact"/>
        <w:ind w:firstLine="560" w:firstLineChars="200"/>
        <w:rPr>
          <w:rFonts w:hint="default" w:ascii="仿宋_GB2312" w:eastAsia="仿宋_GB2312" w:hAnsiTheme="minorEastAsia"/>
          <w:b w:val="0"/>
          <w:bCs/>
          <w:color w:val="auto"/>
          <w:sz w:val="28"/>
          <w:szCs w:val="28"/>
          <w:highlight w:val="none"/>
          <w:lang w:val="en-US" w:eastAsia="zh-CN"/>
        </w:rPr>
      </w:pPr>
      <w:r>
        <w:rPr>
          <w:rFonts w:hint="eastAsia" w:ascii="仿宋_GB2312" w:eastAsia="仿宋_GB2312" w:hAnsiTheme="minorEastAsia"/>
          <w:color w:val="auto"/>
          <w:sz w:val="28"/>
          <w:szCs w:val="28"/>
          <w:highlight w:val="none"/>
        </w:rPr>
        <w:t>16.2</w:t>
      </w:r>
      <w:r>
        <w:rPr>
          <w:rFonts w:hint="eastAsia" w:ascii="仿宋_GB2312" w:eastAsia="仿宋_GB2312" w:hAnsiTheme="minorEastAsia"/>
          <w:color w:val="auto"/>
          <w:sz w:val="28"/>
          <w:szCs w:val="28"/>
        </w:rPr>
        <w:t>施工单位应依据合同约定对园林绿化工程进行施工和管理，并应符合下列规定：</w:t>
      </w:r>
    </w:p>
    <w:p>
      <w:pPr>
        <w:suppressLineNumbers/>
        <w:adjustRightInd w:val="0"/>
        <w:snapToGrid w:val="0"/>
        <w:spacing w:line="500" w:lineRule="exact"/>
        <w:ind w:firstLine="560" w:firstLineChars="200"/>
        <w:rPr>
          <w:rFonts w:hint="eastAsia" w:ascii="仿宋_GB2312" w:eastAsia="仿宋_GB2312" w:hAnsiTheme="minorEastAsia"/>
          <w:color w:val="auto"/>
          <w:sz w:val="28"/>
          <w:szCs w:val="28"/>
          <w:lang w:val="en-US" w:eastAsia="zh-CN"/>
        </w:rPr>
      </w:pPr>
      <w:r>
        <w:rPr>
          <w:rFonts w:hint="eastAsia" w:ascii="仿宋_GB2312" w:eastAsia="仿宋_GB2312" w:hAnsiTheme="minorEastAsia"/>
          <w:color w:val="auto"/>
          <w:sz w:val="28"/>
          <w:szCs w:val="28"/>
        </w:rPr>
        <w:t>1）应配备与从事工程建设活动相匹配的专业技术管理人员和技术工人，相关人员应具备相应的职业资格、履约能力及良好的从业信用记录，</w:t>
      </w:r>
      <w:r>
        <w:rPr>
          <w:rFonts w:hint="eastAsia" w:ascii="仿宋_GB2312" w:eastAsia="仿宋_GB2312" w:hAnsiTheme="minorEastAsia"/>
          <w:color w:val="auto"/>
          <w:sz w:val="28"/>
          <w:szCs w:val="28"/>
          <w:lang w:val="en-US" w:eastAsia="zh-CN"/>
        </w:rPr>
        <w:t>绿化工程中园林绿化工持证上岗率100%，三级工以上应不少于20%。</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2）应建立并落实质量控制、安全生产、文明施工、大气污染防治等各项规章管理制度；</w:t>
      </w:r>
    </w:p>
    <w:p>
      <w:pPr>
        <w:suppressLineNumbers/>
        <w:adjustRightInd w:val="0"/>
        <w:snapToGrid w:val="0"/>
        <w:spacing w:line="500" w:lineRule="exact"/>
        <w:ind w:firstLine="560" w:firstLineChars="200"/>
        <w:rPr>
          <w:rFonts w:ascii="仿宋_GB2312" w:eastAsia="仿宋_GB2312" w:hAnsiTheme="minorEastAsia"/>
          <w:color w:val="auto"/>
          <w:sz w:val="28"/>
          <w:szCs w:val="28"/>
          <w:highlight w:val="yellow"/>
        </w:rPr>
      </w:pPr>
      <w:r>
        <w:rPr>
          <w:rFonts w:hint="eastAsia" w:ascii="仿宋_GB2312" w:eastAsia="仿宋_GB2312" w:hAnsiTheme="minorEastAsia"/>
          <w:color w:val="auto"/>
          <w:sz w:val="28"/>
          <w:szCs w:val="28"/>
        </w:rPr>
        <w:t>3）应根据工程类别、规模、技术复杂程度，配备满足施工需要的设备、常规检测仪器和工具，</w:t>
      </w:r>
      <w:r>
        <w:rPr>
          <w:rFonts w:hint="eastAsia" w:ascii="仿宋_GB2312" w:eastAsia="仿宋_GB2312" w:hAnsiTheme="minorEastAsia"/>
          <w:color w:val="auto"/>
          <w:sz w:val="28"/>
          <w:szCs w:val="28"/>
          <w:highlight w:val="none"/>
        </w:rPr>
        <w:t>在施工建设中宜采用机械化的施工技术。</w:t>
      </w:r>
    </w:p>
    <w:p>
      <w:pPr>
        <w:suppressLineNumbers/>
        <w:adjustRightInd w:val="0"/>
        <w:snapToGrid w:val="0"/>
        <w:spacing w:line="500" w:lineRule="exact"/>
        <w:ind w:firstLine="560" w:firstLineChars="200"/>
        <w:rPr>
          <w:rFonts w:hint="eastAsia" w:ascii="仿宋_GB2312" w:eastAsia="仿宋_GB2312" w:hAnsiTheme="minorEastAsia"/>
          <w:color w:val="auto"/>
          <w:sz w:val="28"/>
          <w:szCs w:val="28"/>
        </w:rPr>
      </w:pPr>
      <w:r>
        <w:rPr>
          <w:rFonts w:hint="eastAsia" w:ascii="仿宋_GB2312" w:eastAsia="仿宋_GB2312" w:hAnsiTheme="minorEastAsia"/>
          <w:color w:val="auto"/>
          <w:sz w:val="28"/>
          <w:szCs w:val="28"/>
          <w:lang w:val="en-US" w:eastAsia="zh-CN"/>
        </w:rPr>
        <w:t>16.3</w:t>
      </w:r>
      <w:r>
        <w:rPr>
          <w:rFonts w:hint="eastAsia" w:ascii="仿宋_GB2312" w:eastAsia="仿宋_GB2312" w:hAnsiTheme="minorEastAsia"/>
          <w:color w:val="auto"/>
          <w:sz w:val="28"/>
          <w:szCs w:val="28"/>
        </w:rPr>
        <w:t>施工单位应熟悉图纸、掌握设计意图与要求、参加设计交底，并应符合下列规定：</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1）对施工图中出现的差错、疑问，应提出书面建议，如需变更设计，应按照相应程序报审，经相关单位签证后实施。</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2）应编制施工组织设计(施工方案)，应在工程开工前完成并与开工申请报告一并报予建设单位和监理单位。</w:t>
      </w:r>
    </w:p>
    <w:p>
      <w:pPr>
        <w:suppressLineNumbers/>
        <w:adjustRightInd w:val="0"/>
        <w:snapToGrid w:val="0"/>
        <w:spacing w:line="500" w:lineRule="exact"/>
        <w:ind w:firstLine="560" w:firstLineChars="200"/>
        <w:rPr>
          <w:rFonts w:hint="eastAsia" w:ascii="仿宋_GB2312" w:eastAsia="仿宋_GB2312" w:hAnsiTheme="minorEastAsia"/>
          <w:color w:val="auto"/>
          <w:sz w:val="28"/>
          <w:szCs w:val="28"/>
        </w:rPr>
      </w:pPr>
      <w:r>
        <w:rPr>
          <w:rFonts w:hint="eastAsia" w:ascii="仿宋_GB2312" w:eastAsia="仿宋_GB2312" w:hAnsiTheme="minorEastAsia"/>
          <w:b w:val="0"/>
          <w:bCs/>
          <w:color w:val="auto"/>
          <w:sz w:val="28"/>
          <w:szCs w:val="28"/>
          <w:highlight w:val="none"/>
          <w:lang w:val="en-US" w:eastAsia="zh-CN"/>
        </w:rPr>
        <w:t>16.4</w:t>
      </w:r>
      <w:r>
        <w:rPr>
          <w:rFonts w:hint="eastAsia" w:ascii="仿宋_GB2312" w:eastAsia="仿宋_GB2312" w:hAnsiTheme="minorEastAsia"/>
          <w:color w:val="auto"/>
          <w:sz w:val="28"/>
          <w:szCs w:val="28"/>
        </w:rPr>
        <w:t>施工单位进场后，应组织施工人员熟悉工程合同及与工程项目有关的技术标准。了解现场的地上地下障碍物、管网、地形地貌、土质、控制桩点设置、红线范围、周边情况及现场水源、水质、电源、交通情况。</w:t>
      </w:r>
    </w:p>
    <w:p>
      <w:pPr>
        <w:suppressLineNumbers/>
        <w:adjustRightInd w:val="0"/>
        <w:snapToGrid w:val="0"/>
        <w:spacing w:line="500" w:lineRule="exact"/>
        <w:ind w:firstLine="560" w:firstLineChars="200"/>
        <w:rPr>
          <w:rFonts w:hint="eastAsia" w:ascii="仿宋_GB2312" w:eastAsia="仿宋_GB2312" w:hAnsiTheme="minorEastAsia"/>
          <w:color w:val="auto"/>
          <w:sz w:val="28"/>
          <w:szCs w:val="28"/>
        </w:rPr>
      </w:pPr>
      <w:r>
        <w:rPr>
          <w:rFonts w:hint="eastAsia" w:ascii="仿宋_GB2312" w:eastAsia="仿宋_GB2312" w:hAnsiTheme="minorEastAsia"/>
          <w:b w:val="0"/>
          <w:bCs/>
          <w:color w:val="auto"/>
          <w:sz w:val="28"/>
          <w:szCs w:val="28"/>
          <w:highlight w:val="none"/>
          <w:lang w:val="en-US" w:eastAsia="zh-CN"/>
        </w:rPr>
        <w:t>16.5</w:t>
      </w:r>
      <w:r>
        <w:rPr>
          <w:rFonts w:hint="eastAsia" w:ascii="仿宋_GB2312" w:eastAsia="仿宋_GB2312" w:hAnsiTheme="minorEastAsia"/>
          <w:color w:val="auto"/>
          <w:sz w:val="28"/>
          <w:szCs w:val="28"/>
        </w:rPr>
        <w:t>施工测量应符合下列要求：</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1）应按照园林绿化工程总平面或根据建设单位提供的现场高程控制点及坐标控制点，建立工程测量控制网；</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 xml:space="preserve">2）各个单位工程应根据建立的工程测量控制网进行测量放线，并应做好测量放线记录； </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3）施工测量时，施工单位应进行自检、互检双复核，监理单位应进行复测。</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4）对原高程控制点及坐标控制点应设保护措施。</w:t>
      </w:r>
    </w:p>
    <w:p>
      <w:pPr>
        <w:suppressLineNumbers/>
        <w:adjustRightInd w:val="0"/>
        <w:snapToGrid w:val="0"/>
        <w:spacing w:line="500" w:lineRule="exact"/>
        <w:ind w:firstLine="560" w:firstLineChars="200"/>
        <w:rPr>
          <w:rFonts w:hint="eastAsia" w:ascii="仿宋_GB2312" w:eastAsia="仿宋_GB2312" w:hAnsiTheme="minorEastAsia"/>
          <w:color w:val="auto"/>
          <w:sz w:val="28"/>
          <w:szCs w:val="28"/>
        </w:rPr>
      </w:pPr>
      <w:r>
        <w:rPr>
          <w:rFonts w:hint="eastAsia" w:ascii="仿宋_GB2312" w:eastAsia="仿宋_GB2312" w:hAnsiTheme="minorEastAsia"/>
          <w:b w:val="0"/>
          <w:bCs/>
          <w:color w:val="auto"/>
          <w:sz w:val="28"/>
          <w:szCs w:val="28"/>
          <w:highlight w:val="none"/>
          <w:lang w:val="en-US" w:eastAsia="zh-CN"/>
        </w:rPr>
        <w:t>16.6</w:t>
      </w:r>
      <w:r>
        <w:rPr>
          <w:rFonts w:hint="eastAsia" w:ascii="仿宋_GB2312" w:eastAsia="仿宋_GB2312" w:hAnsiTheme="minorEastAsia"/>
          <w:color w:val="auto"/>
          <w:sz w:val="28"/>
          <w:szCs w:val="28"/>
        </w:rPr>
        <w:t>绿化栽植前场地清理应符合下列规定：</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1）有各种管线的区域、建(构)筑物周边的整理绿化用地，应在其完工并验收合格后进行。</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2）应将现场内的渣土、工程废料、宿根性杂草、树根及其有害污染物清除干净。</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3）对清理的废弃构筑物、工程渣土、不符合栽植土理化标准的原状土等应做好测量记录、签证。</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4）场地标高及清理程度应符合设计和栽植要求。</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5）填垫范围内不应有坑洼、积水。</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6）对软泥和不透水层应进行处理。</w:t>
      </w:r>
    </w:p>
    <w:p>
      <w:pPr>
        <w:suppressLineNumbers/>
        <w:adjustRightInd w:val="0"/>
        <w:snapToGrid w:val="0"/>
        <w:spacing w:line="500" w:lineRule="exact"/>
        <w:ind w:firstLine="560" w:firstLineChars="200"/>
        <w:rPr>
          <w:rFonts w:hint="eastAsia" w:ascii="仿宋_GB2312" w:eastAsia="仿宋_GB2312" w:hAnsiTheme="minorEastAsia"/>
          <w:b/>
          <w:bCs/>
          <w:color w:val="auto"/>
          <w:sz w:val="28"/>
          <w:szCs w:val="28"/>
        </w:rPr>
      </w:pPr>
      <w:r>
        <w:rPr>
          <w:rFonts w:hint="eastAsia" w:ascii="仿宋_GB2312" w:eastAsia="仿宋_GB2312" w:hAnsiTheme="minorEastAsia"/>
          <w:b w:val="0"/>
          <w:bCs/>
          <w:color w:val="auto"/>
          <w:sz w:val="28"/>
          <w:szCs w:val="28"/>
          <w:highlight w:val="none"/>
          <w:lang w:val="en-US" w:eastAsia="zh-CN"/>
        </w:rPr>
        <w:t>16.7</w:t>
      </w:r>
      <w:r>
        <w:rPr>
          <w:rFonts w:hint="eastAsia" w:ascii="仿宋_GB2312" w:eastAsia="仿宋_GB2312" w:hAnsiTheme="minorEastAsia"/>
          <w:b/>
          <w:bCs/>
          <w:color w:val="auto"/>
          <w:sz w:val="28"/>
          <w:szCs w:val="28"/>
        </w:rPr>
        <w:t>土壤有害重金属含量不应影响植物正常生长。土壤质量不良时，应进行土壤改良或更换种植土。</w:t>
      </w:r>
    </w:p>
    <w:p>
      <w:pPr>
        <w:suppressLineNumbers/>
        <w:adjustRightInd w:val="0"/>
        <w:snapToGrid w:val="0"/>
        <w:spacing w:line="500" w:lineRule="exact"/>
        <w:ind w:firstLine="560" w:firstLineChars="200"/>
        <w:rPr>
          <w:rFonts w:hint="eastAsia" w:ascii="仿宋_GB2312" w:eastAsia="仿宋_GB2312" w:hAnsiTheme="minorEastAsia"/>
          <w:color w:val="auto"/>
          <w:sz w:val="28"/>
          <w:szCs w:val="28"/>
        </w:rPr>
      </w:pPr>
      <w:r>
        <w:rPr>
          <w:rFonts w:hint="eastAsia" w:ascii="仿宋_GB2312" w:eastAsia="仿宋_GB2312" w:hAnsiTheme="minorEastAsia"/>
          <w:color w:val="auto"/>
          <w:sz w:val="28"/>
          <w:szCs w:val="28"/>
        </w:rPr>
        <w:t>对原地表层适宜栽植的土壤，应加以保护并有效利用。</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b w:val="0"/>
          <w:bCs/>
          <w:color w:val="auto"/>
          <w:sz w:val="28"/>
          <w:szCs w:val="28"/>
          <w:highlight w:val="none"/>
          <w:lang w:val="en-US" w:eastAsia="zh-CN"/>
        </w:rPr>
        <w:t>16.8</w:t>
      </w:r>
      <w:r>
        <w:rPr>
          <w:rFonts w:hint="eastAsia" w:ascii="仿宋_GB2312" w:eastAsia="仿宋_GB2312" w:hAnsiTheme="minorEastAsia"/>
          <w:color w:val="auto"/>
          <w:sz w:val="28"/>
          <w:szCs w:val="28"/>
        </w:rPr>
        <w:t>城市绿地的新建、改扩建的土壤改良应优先使用经过杀虫、除菌等措施符合要求的绿化植物废弃物。</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b w:val="0"/>
          <w:bCs/>
          <w:color w:val="auto"/>
          <w:sz w:val="28"/>
          <w:szCs w:val="28"/>
          <w:highlight w:val="none"/>
          <w:lang w:val="en-US" w:eastAsia="zh-CN"/>
        </w:rPr>
        <w:t>16.9</w:t>
      </w:r>
      <w:r>
        <w:rPr>
          <w:rFonts w:hint="eastAsia" w:ascii="仿宋_GB2312" w:eastAsia="仿宋_GB2312" w:hAnsiTheme="minorEastAsia"/>
          <w:color w:val="auto"/>
          <w:sz w:val="28"/>
          <w:szCs w:val="28"/>
        </w:rPr>
        <w:t>栽植穴、槽的宽度应大于土球或裸根苗根系展幅40cm～60cm，穴深应大于土球厚度或裸根苗木根系高度10cm～20cm，穴、槽应垂直下挖，上口下底应相等。</w:t>
      </w:r>
    </w:p>
    <w:p>
      <w:pPr>
        <w:suppressLineNumbers/>
        <w:adjustRightInd w:val="0"/>
        <w:snapToGrid w:val="0"/>
        <w:spacing w:line="500" w:lineRule="exact"/>
        <w:ind w:firstLine="560" w:firstLineChars="200"/>
        <w:rPr>
          <w:rFonts w:hint="eastAsia" w:ascii="仿宋_GB2312" w:eastAsia="仿宋_GB2312" w:hAnsiTheme="minorEastAsia"/>
          <w:color w:val="auto"/>
          <w:sz w:val="28"/>
          <w:szCs w:val="28"/>
        </w:rPr>
      </w:pPr>
      <w:r>
        <w:rPr>
          <w:rFonts w:hint="eastAsia" w:ascii="仿宋_GB2312" w:eastAsia="仿宋_GB2312" w:hAnsiTheme="minorEastAsia"/>
          <w:b w:val="0"/>
          <w:bCs/>
          <w:color w:val="auto"/>
          <w:sz w:val="28"/>
          <w:szCs w:val="28"/>
          <w:highlight w:val="none"/>
          <w:lang w:val="en-US" w:eastAsia="zh-CN"/>
        </w:rPr>
        <w:t>16.10</w:t>
      </w:r>
      <w:r>
        <w:rPr>
          <w:rFonts w:hint="eastAsia" w:ascii="仿宋_GB2312" w:eastAsia="仿宋_GB2312" w:hAnsiTheme="minorEastAsia"/>
          <w:color w:val="auto"/>
          <w:sz w:val="28"/>
          <w:szCs w:val="28"/>
        </w:rPr>
        <w:t>园林绿化工程施工质量验收应符合下列规定：</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1）参加工程施工质量验收的各方人员应具备规定的资格。</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2）园林绿化工程的施工应符合工程设计文件的要求。</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3）园林绿化工程施工质量应符合本规范及国家现行相关专业验收标准的规定。</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4）工程质量的验收均应在施工单位自行检查评定的基础上进行。</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5）隐蔽工程在隐蔽前应由施工单位通知有关单位进行验收，并应形成验收文件。</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6）关系到植物成活的水、土、基质，涉及结构安全的试块、试件及有关材料，应按规定进行见证取样检测。</w:t>
      </w:r>
    </w:p>
    <w:p>
      <w:pPr>
        <w:pStyle w:val="2"/>
        <w:suppressLineNumbers/>
        <w:adjustRightInd w:val="0"/>
        <w:snapToGrid w:val="0"/>
        <w:spacing w:before="0" w:after="0" w:line="500" w:lineRule="exact"/>
        <w:ind w:firstLine="562" w:firstLineChars="200"/>
        <w:rPr>
          <w:rFonts w:ascii="仿宋_GB2312" w:eastAsia="仿宋_GB2312" w:hAnsiTheme="minorEastAsia"/>
          <w:b/>
          <w:bCs w:val="0"/>
          <w:color w:val="auto"/>
          <w:kern w:val="2"/>
          <w:sz w:val="28"/>
          <w:szCs w:val="28"/>
          <w:highlight w:val="none"/>
        </w:rPr>
      </w:pPr>
      <w:bookmarkStart w:id="22" w:name="_Toc93995911"/>
      <w:r>
        <w:rPr>
          <w:rFonts w:hint="eastAsia" w:ascii="仿宋_GB2312" w:eastAsia="仿宋_GB2312" w:hAnsiTheme="minorEastAsia"/>
          <w:b/>
          <w:bCs w:val="0"/>
          <w:color w:val="auto"/>
          <w:kern w:val="2"/>
          <w:sz w:val="28"/>
          <w:szCs w:val="28"/>
        </w:rPr>
        <w:t>十七、质保期内的管理与养护</w:t>
      </w:r>
      <w:bookmarkEnd w:id="22"/>
    </w:p>
    <w:p>
      <w:pPr>
        <w:suppressLineNumbers/>
        <w:adjustRightInd w:val="0"/>
        <w:snapToGrid w:val="0"/>
        <w:spacing w:line="500" w:lineRule="exact"/>
        <w:ind w:firstLine="560" w:firstLineChars="200"/>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17.1绿化施工的质保（管养）期应不少于一个生长季，宜为两年。</w:t>
      </w:r>
    </w:p>
    <w:p>
      <w:pPr>
        <w:suppressLineNumbers/>
        <w:adjustRightInd w:val="0"/>
        <w:snapToGrid w:val="0"/>
        <w:spacing w:line="500" w:lineRule="exact"/>
        <w:ind w:firstLine="560" w:firstLineChars="200"/>
        <w:rPr>
          <w:rFonts w:hint="eastAsia" w:ascii="仿宋_GB2312" w:eastAsia="仿宋_GB2312" w:hAnsiTheme="minorEastAsia"/>
          <w:color w:val="auto"/>
          <w:sz w:val="28"/>
          <w:szCs w:val="28"/>
        </w:rPr>
      </w:pPr>
      <w:r>
        <w:rPr>
          <w:rFonts w:hint="eastAsia" w:ascii="仿宋_GB2312" w:eastAsia="仿宋_GB2312" w:hAnsiTheme="minorEastAsia"/>
          <w:color w:val="auto"/>
          <w:sz w:val="28"/>
          <w:szCs w:val="28"/>
          <w:highlight w:val="none"/>
        </w:rPr>
        <w:t>17.2</w:t>
      </w:r>
      <w:r>
        <w:rPr>
          <w:rFonts w:hint="eastAsia" w:ascii="仿宋_GB2312" w:eastAsia="仿宋_GB2312" w:hAnsiTheme="minorEastAsia"/>
          <w:color w:val="auto"/>
          <w:sz w:val="28"/>
          <w:szCs w:val="28"/>
        </w:rPr>
        <w:t>绿化栽植工程应编制养护管理计划，并按计划认真组织实施，养护计划至少应包括下列内容：</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1）及时灌溉、追肥、施肥；</w:t>
      </w:r>
      <w:r>
        <w:rPr>
          <w:rFonts w:ascii="仿宋_GB2312" w:eastAsia="仿宋_GB2312" w:hAnsiTheme="minorEastAsia"/>
          <w:color w:val="auto"/>
          <w:sz w:val="28"/>
          <w:szCs w:val="28"/>
        </w:rPr>
        <w:t xml:space="preserve"> </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2）中耕除草，平整树台；</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3）加强病虫害观测，及时防治，控制突发性病虫害发生；</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4）草坪等应适时进行修剪；</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5）树木应及时剥芽、去蘖、疏枝整形；</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6）花坛、花境应及时清除残花败叶，做好水肥管理，确保植株生长健壮；</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7）绿地应保持整洁，及时清理枯枝、落叶、杂草、垃圾；</w:t>
      </w:r>
    </w:p>
    <w:p>
      <w:pPr>
        <w:suppressLineNumbers/>
        <w:adjustRightInd w:val="0"/>
        <w:snapToGrid w:val="0"/>
        <w:spacing w:line="500" w:lineRule="exact"/>
        <w:ind w:firstLine="560" w:firstLineChars="200"/>
        <w:rPr>
          <w:rFonts w:ascii="仿宋_GB2312" w:eastAsia="仿宋_GB2312" w:hAnsiTheme="minorEastAsia"/>
          <w:color w:val="auto"/>
          <w:sz w:val="28"/>
          <w:szCs w:val="28"/>
        </w:rPr>
      </w:pPr>
      <w:r>
        <w:rPr>
          <w:rFonts w:hint="eastAsia" w:ascii="仿宋_GB2312" w:eastAsia="仿宋_GB2312" w:hAnsiTheme="minorEastAsia"/>
          <w:color w:val="auto"/>
          <w:sz w:val="28"/>
          <w:szCs w:val="28"/>
        </w:rPr>
        <w:t>8）加强支撑、绑扎及裹干措施，做好防强风、干热、洪涝、越冬防寒等工作。</w:t>
      </w:r>
    </w:p>
    <w:p>
      <w:pPr>
        <w:suppressLineNumbers/>
        <w:adjustRightInd w:val="0"/>
        <w:snapToGrid w:val="0"/>
        <w:spacing w:line="500" w:lineRule="exact"/>
        <w:ind w:firstLine="560" w:firstLineChars="200"/>
        <w:rPr>
          <w:rFonts w:ascii="仿宋_GB2312" w:eastAsia="仿宋_GB2312" w:hAnsiTheme="minorEastAsia"/>
          <w:bCs/>
          <w:color w:val="auto"/>
          <w:sz w:val="28"/>
          <w:szCs w:val="28"/>
          <w:highlight w:val="none"/>
        </w:rPr>
      </w:pPr>
      <w:r>
        <w:rPr>
          <w:rFonts w:hint="eastAsia" w:ascii="仿宋_GB2312" w:eastAsia="仿宋_GB2312" w:hAnsiTheme="minorEastAsia"/>
          <w:bCs/>
          <w:color w:val="auto"/>
          <w:sz w:val="28"/>
          <w:szCs w:val="28"/>
          <w:highlight w:val="none"/>
        </w:rPr>
        <w:t>17.3</w:t>
      </w:r>
      <w:r>
        <w:rPr>
          <w:rFonts w:hint="eastAsia" w:ascii="仿宋_GB2312" w:eastAsia="仿宋_GB2312" w:hAnsiTheme="minorEastAsia"/>
          <w:bCs/>
          <w:color w:val="auto"/>
          <w:sz w:val="28"/>
          <w:szCs w:val="28"/>
        </w:rPr>
        <w:t>对枯死、损坏、缺株的园林植物应及时更换或补栽，用于更换及补栽的植物材料应和原植</w:t>
      </w:r>
      <w:r>
        <w:rPr>
          <w:rFonts w:hint="eastAsia" w:ascii="仿宋_GB2312" w:eastAsia="仿宋_GB2312" w:hAnsiTheme="minorEastAsia"/>
          <w:bCs/>
          <w:color w:val="auto"/>
          <w:sz w:val="28"/>
          <w:szCs w:val="28"/>
          <w:highlight w:val="none"/>
        </w:rPr>
        <w:t>株的种类、规格一致。除建设单位书面同意外，树冠缺失50%以上、生长不良等不符合设计要求的园林植物，无法人工或自然修复的，按枯死植物处置。</w:t>
      </w:r>
    </w:p>
    <w:p>
      <w:pPr>
        <w:suppressLineNumbers/>
        <w:adjustRightInd w:val="0"/>
        <w:snapToGrid w:val="0"/>
        <w:spacing w:line="500" w:lineRule="exact"/>
        <w:ind w:firstLine="562" w:firstLineChars="200"/>
        <w:rPr>
          <w:rFonts w:ascii="仿宋_GB2312" w:eastAsia="仿宋_GB2312" w:hAnsiTheme="minorEastAsia"/>
          <w:b/>
          <w:bCs w:val="0"/>
          <w:color w:val="auto"/>
          <w:sz w:val="28"/>
          <w:szCs w:val="28"/>
        </w:rPr>
      </w:pPr>
      <w:r>
        <w:rPr>
          <w:rFonts w:hint="eastAsia" w:ascii="仿宋_GB2312" w:eastAsia="仿宋_GB2312" w:hAnsiTheme="minorEastAsia"/>
          <w:b/>
          <w:bCs w:val="0"/>
          <w:color w:val="auto"/>
          <w:sz w:val="28"/>
          <w:szCs w:val="28"/>
          <w:highlight w:val="none"/>
        </w:rPr>
        <w:t>17.4禁用、限用剧毒（高毒、高残留）</w:t>
      </w:r>
      <w:r>
        <w:rPr>
          <w:rFonts w:hint="eastAsia" w:ascii="仿宋_GB2312" w:eastAsia="仿宋_GB2312" w:hAnsiTheme="minorEastAsia"/>
          <w:b/>
          <w:bCs w:val="0"/>
          <w:color w:val="auto"/>
          <w:sz w:val="28"/>
          <w:szCs w:val="28"/>
        </w:rPr>
        <w:t>药剂。植物病虫害防治不得污染水源，水生植物病虫害防治不得使用农药。</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highlight w:val="none"/>
        </w:rPr>
        <w:t>17.5</w:t>
      </w:r>
      <w:r>
        <w:rPr>
          <w:rFonts w:hint="eastAsia" w:ascii="仿宋_GB2312" w:eastAsia="仿宋_GB2312" w:hAnsiTheme="minorEastAsia"/>
          <w:sz w:val="28"/>
          <w:szCs w:val="28"/>
        </w:rPr>
        <w:t>经处理用作基质、肥料、覆盖物的产品，应经过杀虫、除菌措施，避免病虫害扩散。</w:t>
      </w:r>
    </w:p>
    <w:p>
      <w:pPr>
        <w:suppressLineNumbers/>
        <w:adjustRightInd w:val="0"/>
        <w:snapToGrid w:val="0"/>
        <w:spacing w:line="500" w:lineRule="exact"/>
        <w:ind w:firstLine="560" w:firstLineChars="200"/>
        <w:rPr>
          <w:rFonts w:ascii="仿宋_GB2312" w:eastAsia="仿宋_GB2312" w:hAnsiTheme="minorEastAsia"/>
          <w:sz w:val="28"/>
          <w:szCs w:val="28"/>
        </w:rPr>
      </w:pPr>
      <w:r>
        <w:rPr>
          <w:rFonts w:hint="eastAsia" w:ascii="仿宋_GB2312" w:eastAsia="仿宋_GB2312" w:hAnsiTheme="minorEastAsia"/>
          <w:sz w:val="28"/>
          <w:szCs w:val="28"/>
          <w:highlight w:val="none"/>
        </w:rPr>
        <w:t>17.6</w:t>
      </w:r>
      <w:r>
        <w:rPr>
          <w:rFonts w:hint="eastAsia" w:ascii="仿宋_GB2312" w:eastAsia="仿宋_GB2312" w:hAnsiTheme="minorEastAsia"/>
          <w:sz w:val="28"/>
          <w:szCs w:val="28"/>
        </w:rPr>
        <w:t>绿化植物废弃物按规定进行收集运输处置。应收集至专用的园林绿化废弃物处理点，并分类堆放，并采取控制虫害迁飞扩散措施。</w:t>
      </w:r>
    </w:p>
    <w:p>
      <w:pPr>
        <w:pStyle w:val="4"/>
        <w:suppressLineNumbers/>
        <w:adjustRightInd w:val="0"/>
        <w:snapToGrid w:val="0"/>
        <w:spacing w:before="0" w:after="0" w:line="500" w:lineRule="exact"/>
        <w:ind w:firstLine="562" w:firstLineChars="200"/>
        <w:rPr>
          <w:rFonts w:ascii="仿宋_GB2312" w:eastAsia="仿宋_GB2312" w:hAnsiTheme="minorEastAsia"/>
          <w:sz w:val="28"/>
          <w:szCs w:val="28"/>
        </w:rPr>
      </w:pPr>
      <w:bookmarkStart w:id="23" w:name="_Toc93995913"/>
      <w:r>
        <w:rPr>
          <w:rFonts w:hint="eastAsia" w:ascii="仿宋_GB2312" w:eastAsia="仿宋_GB2312" w:hAnsiTheme="minorEastAsia"/>
          <w:sz w:val="28"/>
          <w:szCs w:val="28"/>
        </w:rPr>
        <w:t>十八、本规范用词说明</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18.1．为便于在执行本规范条文时区别对待，对要求严格程度不同的用词说明如下：</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1）表示很严格，非这样做不可的用词：</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正面词采用“必须”，反面词采用“严禁”。</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2)表示严格，在正常情况下均应这样做的用词：</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正面词采用“应”，反面词采用“不应”或“不得”。</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3)表示允许稍有选择，在条件许可时首先应这样做的用词：</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正面词采用“宜”，反面词采用“不宜”，</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表示有选择，在一定条件下可以这样做的用词，采用“可”。</w:t>
      </w: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r>
        <w:rPr>
          <w:rFonts w:hint="eastAsia" w:ascii="仿宋_GB2312" w:eastAsia="仿宋_GB2312" w:hAnsiTheme="minorEastAsia" w:cstheme="minorBidi"/>
          <w:kern w:val="2"/>
          <w:sz w:val="28"/>
          <w:szCs w:val="28"/>
        </w:rPr>
        <w:t>18.2本规范中指明应按其他有关标准、规范执行的写法为“应符合……的规定”或“应按……执行”。</w:t>
      </w:r>
    </w:p>
    <w:p>
      <w:pPr>
        <w:spacing w:line="500" w:lineRule="exact"/>
        <w:rPr>
          <w:rFonts w:ascii="仿宋_GB2312" w:eastAsia="仿宋_GB2312"/>
          <w:sz w:val="28"/>
          <w:szCs w:val="28"/>
        </w:rPr>
      </w:pPr>
    </w:p>
    <w:p>
      <w:pPr>
        <w:pStyle w:val="4"/>
        <w:suppressLineNumbers/>
        <w:adjustRightInd w:val="0"/>
        <w:snapToGrid w:val="0"/>
        <w:spacing w:before="0" w:after="0" w:line="500" w:lineRule="exact"/>
        <w:ind w:firstLine="560" w:firstLineChars="200"/>
        <w:rPr>
          <w:rFonts w:ascii="仿宋_GB2312" w:eastAsia="仿宋_GB2312" w:hAnsiTheme="minorEastAsia"/>
          <w:b w:val="0"/>
          <w:bCs w:val="0"/>
          <w:sz w:val="28"/>
          <w:szCs w:val="28"/>
        </w:rPr>
      </w:pPr>
    </w:p>
    <w:p/>
    <w:p/>
    <w:p/>
    <w:bookmarkEnd w:id="23"/>
    <w:p>
      <w:pPr>
        <w:suppressLineNumbers/>
        <w:adjustRightInd w:val="0"/>
        <w:snapToGrid w:val="0"/>
        <w:spacing w:line="500" w:lineRule="exact"/>
        <w:rPr>
          <w:rFonts w:ascii="仿宋_GB2312" w:eastAsia="仿宋_GB2312" w:hAnsiTheme="minorEastAsia"/>
          <w:sz w:val="28"/>
          <w:szCs w:val="28"/>
        </w:rPr>
      </w:pPr>
      <w:r>
        <w:rPr>
          <w:rFonts w:hint="eastAsia" w:ascii="仿宋_GB2312" w:eastAsia="仿宋_GB2312" w:hAnsiTheme="minorEastAsia"/>
          <w:sz w:val="28"/>
          <w:szCs w:val="28"/>
        </w:rPr>
        <w:t>附表2.1</w:t>
      </w:r>
      <w:r>
        <w:rPr>
          <w:rFonts w:hint="eastAsia" w:ascii="仿宋_GB2312" w:eastAsia="仿宋_GB2312" w:hAnsiTheme="minorEastAsia"/>
          <w:sz w:val="28"/>
          <w:szCs w:val="28"/>
        </w:rPr>
        <w:tab/>
      </w:r>
      <w:r>
        <w:rPr>
          <w:rFonts w:hint="eastAsia" w:ascii="仿宋_GB2312" w:eastAsia="仿宋_GB2312" w:hAnsiTheme="minorEastAsia"/>
          <w:sz w:val="28"/>
          <w:szCs w:val="28"/>
        </w:rPr>
        <w:t>设计各阶段所需图纸</w:t>
      </w:r>
    </w:p>
    <w:tbl>
      <w:tblPr>
        <w:tblStyle w:val="24"/>
        <w:tblW w:w="8277"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559"/>
        <w:gridCol w:w="3517"/>
        <w:gridCol w:w="1067"/>
        <w:gridCol w:w="1067"/>
        <w:gridCol w:w="106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3" w:hRule="atLeast"/>
          <w:jc w:val="center"/>
        </w:trPr>
        <w:tc>
          <w:tcPr>
            <w:tcW w:w="5076" w:type="dxa"/>
            <w:gridSpan w:val="2"/>
            <w:tcBorders>
              <w:tl2br w:val="single" w:color="auto" w:sz="4" w:space="0"/>
            </w:tcBorders>
            <w:vAlign w:val="center"/>
          </w:tcPr>
          <w:p>
            <w:pPr>
              <w:pStyle w:val="21"/>
              <w:suppressLineNumbers/>
              <w:adjustRightInd w:val="0"/>
              <w:snapToGrid w:val="0"/>
              <w:spacing w:before="0" w:beforeAutospacing="0" w:after="0" w:afterAutospacing="0" w:line="0" w:lineRule="atLeast"/>
              <w:ind w:firstLine="480" w:firstLineChars="200"/>
              <w:jc w:val="center"/>
              <w:rPr>
                <w:rFonts w:ascii="仿宋_GB2312" w:eastAsia="仿宋_GB2312" w:hAnsiTheme="minorEastAsia" w:cstheme="minorBidi"/>
                <w:kern w:val="2"/>
              </w:rPr>
            </w:pPr>
            <w:r>
              <w:rPr>
                <w:rFonts w:hint="eastAsia" w:ascii="仿宋_GB2312" w:eastAsia="仿宋_GB2312" w:hAnsiTheme="minorEastAsia" w:cstheme="minorBidi"/>
                <w:kern w:val="2"/>
              </w:rPr>
              <w:t>阶段</w:t>
            </w:r>
          </w:p>
          <w:p>
            <w:pPr>
              <w:pStyle w:val="21"/>
              <w:suppressLineNumbers/>
              <w:adjustRightInd w:val="0"/>
              <w:snapToGrid w:val="0"/>
              <w:spacing w:before="0" w:beforeAutospacing="0" w:after="0" w:afterAutospacing="0" w:line="0" w:lineRule="atLeast"/>
              <w:ind w:firstLine="480" w:firstLineChars="200"/>
              <w:rPr>
                <w:rFonts w:ascii="仿宋_GB2312" w:eastAsia="仿宋_GB2312" w:hAnsiTheme="minorEastAsia" w:cstheme="minorBidi"/>
                <w:kern w:val="2"/>
              </w:rPr>
            </w:pPr>
            <w:r>
              <w:rPr>
                <w:rFonts w:hint="eastAsia" w:ascii="仿宋_GB2312" w:eastAsia="仿宋_GB2312" w:hAnsiTheme="minorEastAsia" w:cstheme="minorBidi"/>
                <w:kern w:val="2"/>
              </w:rPr>
              <w:t>内容</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方案</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扩初</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施工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5076" w:type="dxa"/>
            <w:gridSpan w:val="2"/>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前期调研</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5076" w:type="dxa"/>
            <w:gridSpan w:val="2"/>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现状分析</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5076" w:type="dxa"/>
            <w:gridSpan w:val="2"/>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上位规划解读</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5076" w:type="dxa"/>
            <w:gridSpan w:val="2"/>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景观方案中各类分析图</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restart"/>
            <w:tcBorders>
              <w:right w:val="single" w:color="auto" w:sz="4" w:space="0"/>
            </w:tcBorders>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总图</w:t>
            </w: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总平面图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索引总平面图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定位放线总平面图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竖向平面图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铺装平面图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户外家具、标识布置平面图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管道综合总平面图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restart"/>
            <w:tcBorders>
              <w:right w:val="single" w:color="auto" w:sz="4" w:space="0"/>
            </w:tcBorders>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效果图</w:t>
            </w: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鸟瞰图</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透视图</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restart"/>
            <w:tcBorders>
              <w:right w:val="single" w:color="auto" w:sz="4" w:space="0"/>
            </w:tcBorders>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景观</w:t>
            </w: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景观给水排水设计说明</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景观给水排水施工图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景观电气设计说明</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景观电气施工图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restart"/>
            <w:tcBorders>
              <w:top w:val="single" w:color="auto" w:sz="4" w:space="0"/>
              <w:right w:val="single" w:color="auto" w:sz="4" w:space="0"/>
            </w:tcBorders>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种植</w:t>
            </w:r>
          </w:p>
        </w:tc>
        <w:tc>
          <w:tcPr>
            <w:tcW w:w="3517" w:type="dxa"/>
            <w:tcBorders>
              <w:top w:val="single" w:color="auto" w:sz="4" w:space="0"/>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种植设计总平面</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top w:val="single" w:color="auto" w:sz="4" w:space="0"/>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top w:val="single" w:color="auto" w:sz="4" w:space="0"/>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种植设计说明</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top w:val="single" w:color="auto" w:sz="4" w:space="0"/>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top w:val="single" w:color="auto" w:sz="4" w:space="0"/>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苗木表</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种植设计施工图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restart"/>
            <w:tcBorders>
              <w:right w:val="single" w:color="auto" w:sz="4" w:space="0"/>
            </w:tcBorders>
            <w:vAlign w:val="center"/>
          </w:tcPr>
          <w:p>
            <w:pPr>
              <w:pStyle w:val="21"/>
              <w:suppressLineNumbers/>
              <w:adjustRightInd w:val="0"/>
              <w:snapToGrid w:val="0"/>
              <w:spacing w:before="0" w:beforeAutospacing="0" w:after="0" w:afterAutospacing="0" w:line="0" w:lineRule="atLeast"/>
              <w:rPr>
                <w:rFonts w:ascii="仿宋_GB2312" w:eastAsia="仿宋_GB2312" w:hAnsiTheme="minorEastAsia" w:cstheme="minorBidi"/>
                <w:kern w:val="2"/>
              </w:rPr>
            </w:pPr>
            <w:r>
              <w:rPr>
                <w:rFonts w:hint="eastAsia" w:ascii="仿宋_GB2312" w:eastAsia="仿宋_GB2312" w:hAnsiTheme="minorEastAsia" w:cstheme="minorBidi"/>
                <w:kern w:val="2"/>
              </w:rPr>
              <w:t>建筑及小品</w:t>
            </w:r>
          </w:p>
        </w:tc>
        <w:tc>
          <w:tcPr>
            <w:tcW w:w="3517" w:type="dxa"/>
            <w:tcBorders>
              <w:left w:val="single" w:color="auto" w:sz="4" w:space="0"/>
              <w:bottom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建筑方案图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bottom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建筑设计说明</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bottom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建筑施工图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bottom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建筑结构总设计说明</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结构施工图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建筑给水排水设计说明</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建筑给水排水施工图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建筑电气说明</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建筑电气施工图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大样图</w:t>
            </w:r>
          </w:p>
        </w:tc>
        <w:tc>
          <w:tcPr>
            <w:tcW w:w="1067" w:type="dxa"/>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1559" w:type="dxa"/>
            <w:vMerge w:val="continue"/>
            <w:tcBorders>
              <w:righ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p>
        </w:tc>
        <w:tc>
          <w:tcPr>
            <w:tcW w:w="3517" w:type="dxa"/>
            <w:tcBorders>
              <w:left w:val="single" w:color="auto" w:sz="4" w:space="0"/>
            </w:tcBorders>
            <w:vAlign w:val="center"/>
          </w:tcPr>
          <w:p>
            <w:pPr>
              <w:pStyle w:val="21"/>
              <w:suppressLineNumbers/>
              <w:adjustRightInd w:val="0"/>
              <w:snapToGrid w:val="0"/>
              <w:spacing w:before="0" w:beforeAutospacing="0" w:after="0" w:afterAutospacing="0" w:line="0" w:lineRule="atLeast"/>
              <w:jc w:val="center"/>
              <w:rPr>
                <w:rFonts w:ascii="仿宋_GB2312" w:eastAsia="仿宋_GB2312" w:hAnsiTheme="minorEastAsia" w:cstheme="minorBidi"/>
                <w:kern w:val="2"/>
              </w:rPr>
            </w:pPr>
            <w:r>
              <w:rPr>
                <w:rFonts w:hint="eastAsia" w:ascii="仿宋_GB2312" w:eastAsia="仿宋_GB2312" w:hAnsiTheme="minorEastAsia" w:cstheme="minorBidi"/>
                <w:kern w:val="2"/>
              </w:rPr>
              <w:t>平、立、剖断面</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067" w:type="dxa"/>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bl>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p>
    <w:p>
      <w:pPr>
        <w:suppressLineNumbers/>
        <w:adjustRightInd w:val="0"/>
        <w:snapToGrid w:val="0"/>
        <w:spacing w:line="500" w:lineRule="exact"/>
        <w:rPr>
          <w:rFonts w:ascii="仿宋_GB2312" w:eastAsia="仿宋_GB2312" w:hAnsiTheme="minorEastAsia"/>
          <w:sz w:val="28"/>
          <w:szCs w:val="28"/>
        </w:rPr>
      </w:pPr>
      <w:r>
        <w:rPr>
          <w:rFonts w:hint="eastAsia" w:ascii="仿宋_GB2312" w:eastAsia="仿宋_GB2312" w:hAnsiTheme="minorEastAsia"/>
          <w:sz w:val="28"/>
          <w:szCs w:val="28"/>
        </w:rPr>
        <w:t>附表2.2</w:t>
      </w:r>
      <w:r>
        <w:rPr>
          <w:rFonts w:hint="eastAsia" w:ascii="仿宋_GB2312" w:eastAsia="仿宋_GB2312" w:hAnsiTheme="minorEastAsia"/>
          <w:sz w:val="28"/>
          <w:szCs w:val="28"/>
        </w:rPr>
        <w:tab/>
      </w:r>
      <w:r>
        <w:rPr>
          <w:rFonts w:hint="eastAsia" w:ascii="仿宋_GB2312" w:eastAsia="仿宋_GB2312" w:hAnsiTheme="minorEastAsia"/>
          <w:sz w:val="28"/>
          <w:szCs w:val="28"/>
        </w:rPr>
        <w:t>绿化方案经济技术指标表</w:t>
      </w:r>
    </w:p>
    <w:tbl>
      <w:tblPr>
        <w:tblStyle w:val="24"/>
        <w:tblW w:w="8222" w:type="dxa"/>
        <w:tblInd w:w="25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410"/>
        <w:gridCol w:w="567"/>
        <w:gridCol w:w="2551"/>
        <w:gridCol w:w="1418"/>
        <w:gridCol w:w="127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410"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项目类型</w:t>
            </w:r>
          </w:p>
        </w:tc>
        <w:tc>
          <w:tcPr>
            <w:tcW w:w="4536" w:type="dxa"/>
            <w:gridSpan w:val="3"/>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面积（</w:t>
            </w:r>
            <w:r>
              <w:rPr>
                <w:rFonts w:hint="eastAsia" w:ascii="仿宋_GB2312" w:hAnsiTheme="minorEastAsia" w:eastAsiaTheme="minorEastAsia" w:cstheme="minorBidi"/>
                <w:kern w:val="2"/>
                <w:sz w:val="24"/>
                <w:szCs w:val="24"/>
              </w:rPr>
              <w:t>㎡</w:t>
            </w:r>
            <w:r>
              <w:rPr>
                <w:rFonts w:hint="eastAsia" w:ascii="仿宋_GB2312" w:eastAsia="仿宋_GB2312" w:hAnsiTheme="minorEastAsia" w:cstheme="minorBidi"/>
                <w:kern w:val="2"/>
                <w:sz w:val="24"/>
                <w:szCs w:val="24"/>
              </w:rPr>
              <w:t>）</w:t>
            </w:r>
          </w:p>
        </w:tc>
        <w:tc>
          <w:tcPr>
            <w:tcW w:w="1276"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占地比例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410" w:type="dxa"/>
            <w:vMerge w:val="restart"/>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绿化面积</w:t>
            </w:r>
          </w:p>
        </w:tc>
        <w:tc>
          <w:tcPr>
            <w:tcW w:w="3118" w:type="dxa"/>
            <w:gridSpan w:val="2"/>
            <w:tcBorders>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总绿化面积</w:t>
            </w:r>
          </w:p>
        </w:tc>
        <w:tc>
          <w:tcPr>
            <w:tcW w:w="1418" w:type="dxa"/>
            <w:tcBorders>
              <w:lef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Merge w:val="restart"/>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410"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567" w:type="dxa"/>
            <w:vMerge w:val="restart"/>
            <w:tcBorders>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其中</w:t>
            </w:r>
          </w:p>
        </w:tc>
        <w:tc>
          <w:tcPr>
            <w:tcW w:w="2551" w:type="dxa"/>
            <w:tcBorders>
              <w:left w:val="single" w:color="auto" w:sz="4" w:space="0"/>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立体绿化</w:t>
            </w:r>
          </w:p>
        </w:tc>
        <w:tc>
          <w:tcPr>
            <w:tcW w:w="1418" w:type="dxa"/>
            <w:tcBorders>
              <w:lef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410"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567" w:type="dxa"/>
            <w:vMerge w:val="continue"/>
            <w:tcBorders>
              <w:righ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2551" w:type="dxa"/>
            <w:tcBorders>
              <w:left w:val="single" w:color="auto" w:sz="4" w:space="0"/>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屋顶绿化</w:t>
            </w:r>
          </w:p>
        </w:tc>
        <w:tc>
          <w:tcPr>
            <w:tcW w:w="1418" w:type="dxa"/>
            <w:tcBorders>
              <w:lef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2410" w:type="dxa"/>
            <w:vMerge w:val="restart"/>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建筑面积</w:t>
            </w:r>
          </w:p>
        </w:tc>
        <w:tc>
          <w:tcPr>
            <w:tcW w:w="3118" w:type="dxa"/>
            <w:gridSpan w:val="2"/>
            <w:tcBorders>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总建筑面积</w:t>
            </w:r>
          </w:p>
        </w:tc>
        <w:tc>
          <w:tcPr>
            <w:tcW w:w="1418" w:type="dxa"/>
            <w:tcBorders>
              <w:lef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2410"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567" w:type="dxa"/>
            <w:vMerge w:val="restart"/>
            <w:tcBorders>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其中</w:t>
            </w:r>
          </w:p>
        </w:tc>
        <w:tc>
          <w:tcPr>
            <w:tcW w:w="2551" w:type="dxa"/>
            <w:tcBorders>
              <w:lef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管理建筑</w:t>
            </w:r>
          </w:p>
        </w:tc>
        <w:tc>
          <w:tcPr>
            <w:tcW w:w="1418"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2410"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567" w:type="dxa"/>
            <w:vMerge w:val="continue"/>
            <w:tcBorders>
              <w:righ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2551" w:type="dxa"/>
            <w:tcBorders>
              <w:lef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游憩建筑和服务建筑</w:t>
            </w:r>
          </w:p>
        </w:tc>
        <w:tc>
          <w:tcPr>
            <w:tcW w:w="1418"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2410"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上人平屋顶面积</w:t>
            </w:r>
          </w:p>
        </w:tc>
        <w:tc>
          <w:tcPr>
            <w:tcW w:w="4536" w:type="dxa"/>
            <w:gridSpan w:val="3"/>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2410"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建筑占地面积</w:t>
            </w:r>
          </w:p>
        </w:tc>
        <w:tc>
          <w:tcPr>
            <w:tcW w:w="4536" w:type="dxa"/>
            <w:gridSpan w:val="3"/>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2410"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园路及铺装场地</w:t>
            </w:r>
          </w:p>
        </w:tc>
        <w:tc>
          <w:tcPr>
            <w:tcW w:w="4536" w:type="dxa"/>
            <w:gridSpan w:val="3"/>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2410" w:type="dxa"/>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水域面积</w:t>
            </w:r>
          </w:p>
        </w:tc>
        <w:tc>
          <w:tcPr>
            <w:tcW w:w="4536" w:type="dxa"/>
            <w:gridSpan w:val="3"/>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2410" w:type="dxa"/>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绿地边界周长</w:t>
            </w:r>
          </w:p>
        </w:tc>
        <w:tc>
          <w:tcPr>
            <w:tcW w:w="4536" w:type="dxa"/>
            <w:gridSpan w:val="3"/>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bl>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p>
    <w:p>
      <w:pPr>
        <w:pStyle w:val="21"/>
        <w:suppressLineNumbers/>
        <w:adjustRightInd w:val="0"/>
        <w:snapToGrid w:val="0"/>
        <w:spacing w:before="0" w:beforeAutospacing="0" w:after="0" w:afterAutospacing="0" w:line="500" w:lineRule="exact"/>
        <w:ind w:firstLine="560" w:firstLineChars="200"/>
        <w:rPr>
          <w:rFonts w:ascii="仿宋_GB2312" w:eastAsia="仿宋_GB2312" w:hAnsiTheme="minorEastAsia" w:cstheme="minorBidi"/>
          <w:kern w:val="2"/>
          <w:sz w:val="28"/>
          <w:szCs w:val="28"/>
        </w:rPr>
      </w:pPr>
    </w:p>
    <w:p>
      <w:pPr>
        <w:suppressLineNumbers/>
        <w:adjustRightInd w:val="0"/>
        <w:snapToGrid w:val="0"/>
        <w:spacing w:line="500" w:lineRule="exact"/>
        <w:rPr>
          <w:rFonts w:ascii="仿宋_GB2312" w:eastAsia="仿宋_GB2312" w:hAnsiTheme="minorEastAsia"/>
          <w:sz w:val="28"/>
          <w:szCs w:val="28"/>
        </w:rPr>
      </w:pPr>
      <w:r>
        <w:rPr>
          <w:rFonts w:hint="eastAsia" w:ascii="仿宋_GB2312" w:eastAsia="仿宋_GB2312" w:hAnsiTheme="minorEastAsia"/>
          <w:sz w:val="28"/>
          <w:szCs w:val="28"/>
        </w:rPr>
        <w:t>附表2.3绿化施工图植物种类数、大树数量及比例</w:t>
      </w:r>
    </w:p>
    <w:tbl>
      <w:tblPr>
        <w:tblStyle w:val="24"/>
        <w:tblW w:w="8222" w:type="dxa"/>
        <w:tblInd w:w="25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843"/>
        <w:gridCol w:w="425"/>
        <w:gridCol w:w="1843"/>
        <w:gridCol w:w="567"/>
        <w:gridCol w:w="850"/>
        <w:gridCol w:w="1418"/>
        <w:gridCol w:w="127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80" w:hRule="atLeast"/>
        </w:trPr>
        <w:tc>
          <w:tcPr>
            <w:tcW w:w="1843"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植物类型</w:t>
            </w:r>
          </w:p>
        </w:tc>
        <w:tc>
          <w:tcPr>
            <w:tcW w:w="2835" w:type="dxa"/>
            <w:gridSpan w:val="3"/>
            <w:vAlign w:val="center"/>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规格</w:t>
            </w:r>
          </w:p>
        </w:tc>
        <w:tc>
          <w:tcPr>
            <w:tcW w:w="850" w:type="dxa"/>
            <w:tcBorders>
              <w:right w:val="single" w:color="auto" w:sz="4" w:space="0"/>
            </w:tcBorders>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数量</w:t>
            </w:r>
          </w:p>
        </w:tc>
        <w:tc>
          <w:tcPr>
            <w:tcW w:w="1418" w:type="dxa"/>
            <w:tcBorders>
              <w:left w:val="single" w:color="auto" w:sz="4" w:space="0"/>
            </w:tcBorders>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占总数量比（%）</w:t>
            </w:r>
          </w:p>
        </w:tc>
        <w:tc>
          <w:tcPr>
            <w:tcW w:w="1276" w:type="dxa"/>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植物品种数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3" w:type="dxa"/>
            <w:vMerge w:val="restart"/>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大、中乔木</w:t>
            </w:r>
          </w:p>
        </w:tc>
        <w:tc>
          <w:tcPr>
            <w:tcW w:w="2268" w:type="dxa"/>
            <w:gridSpan w:val="2"/>
            <w:tcBorders>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总数</w:t>
            </w:r>
          </w:p>
        </w:tc>
        <w:tc>
          <w:tcPr>
            <w:tcW w:w="567" w:type="dxa"/>
            <w:tcBorders>
              <w:lef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株</w:t>
            </w:r>
          </w:p>
        </w:tc>
        <w:tc>
          <w:tcPr>
            <w:tcW w:w="850" w:type="dxa"/>
            <w:tcBorders>
              <w:right w:val="single" w:color="auto" w:sz="4" w:space="0"/>
            </w:tcBorders>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418" w:type="dxa"/>
            <w:tcBorders>
              <w:left w:val="single" w:color="auto" w:sz="4" w:space="0"/>
            </w:tcBorders>
          </w:tcPr>
          <w:p>
            <w:pPr>
              <w:suppressLineNumbers/>
              <w:adjustRightInd w:val="0"/>
              <w:snapToGrid w:val="0"/>
              <w:spacing w:line="0" w:lineRule="atLeast"/>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3"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425" w:type="dxa"/>
            <w:vMerge w:val="restart"/>
            <w:tcBorders>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其中</w:t>
            </w:r>
          </w:p>
        </w:tc>
        <w:tc>
          <w:tcPr>
            <w:tcW w:w="1843" w:type="dxa"/>
            <w:tcBorders>
              <w:left w:val="single" w:color="auto" w:sz="4" w:space="0"/>
              <w:righ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胸径＞15cm的速生树种</w:t>
            </w:r>
          </w:p>
        </w:tc>
        <w:tc>
          <w:tcPr>
            <w:tcW w:w="567" w:type="dxa"/>
            <w:tcBorders>
              <w:left w:val="single" w:color="auto" w:sz="4" w:space="0"/>
            </w:tcBorders>
          </w:tcPr>
          <w:p>
            <w:pPr>
              <w:suppressLineNumbers/>
              <w:adjustRightInd w:val="0"/>
              <w:snapToGrid w:val="0"/>
              <w:spacing w:line="0" w:lineRule="atLeast"/>
              <w:ind w:right="420"/>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株</w:t>
            </w:r>
          </w:p>
        </w:tc>
        <w:tc>
          <w:tcPr>
            <w:tcW w:w="850" w:type="dxa"/>
            <w:tcBorders>
              <w:right w:val="single" w:color="auto" w:sz="4" w:space="0"/>
            </w:tcBorders>
          </w:tcPr>
          <w:p>
            <w:pPr>
              <w:suppressLineNumbers/>
              <w:adjustRightInd w:val="0"/>
              <w:snapToGrid w:val="0"/>
              <w:spacing w:line="0" w:lineRule="atLeast"/>
              <w:ind w:firstLine="480" w:firstLineChars="200"/>
              <w:jc w:val="right"/>
              <w:rPr>
                <w:rFonts w:ascii="仿宋_GB2312" w:eastAsia="仿宋_GB2312" w:hAnsiTheme="minorEastAsia" w:cstheme="minorBidi"/>
                <w:kern w:val="2"/>
                <w:sz w:val="24"/>
                <w:szCs w:val="24"/>
              </w:rPr>
            </w:pPr>
          </w:p>
        </w:tc>
        <w:tc>
          <w:tcPr>
            <w:tcW w:w="1418" w:type="dxa"/>
            <w:tcBorders>
              <w:left w:val="single" w:color="auto" w:sz="4" w:space="0"/>
            </w:tcBorders>
          </w:tcPr>
          <w:p>
            <w:pPr>
              <w:suppressLineNumbers/>
              <w:adjustRightInd w:val="0"/>
              <w:snapToGrid w:val="0"/>
              <w:spacing w:line="0" w:lineRule="atLeast"/>
              <w:ind w:right="420" w:firstLine="480" w:firstLineChars="200"/>
              <w:jc w:val="center"/>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3"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425" w:type="dxa"/>
            <w:vMerge w:val="continue"/>
            <w:tcBorders>
              <w:righ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843" w:type="dxa"/>
            <w:tcBorders>
              <w:lef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胸径＞12cm的慢生树种</w:t>
            </w:r>
          </w:p>
        </w:tc>
        <w:tc>
          <w:tcPr>
            <w:tcW w:w="567" w:type="dxa"/>
          </w:tcPr>
          <w:p>
            <w:pPr>
              <w:suppressLineNumbers/>
              <w:adjustRightInd w:val="0"/>
              <w:snapToGrid w:val="0"/>
              <w:spacing w:line="0" w:lineRule="atLeast"/>
              <w:ind w:right="420"/>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株</w:t>
            </w:r>
          </w:p>
        </w:tc>
        <w:tc>
          <w:tcPr>
            <w:tcW w:w="850" w:type="dxa"/>
            <w:tcBorders>
              <w:right w:val="single" w:color="auto" w:sz="4" w:space="0"/>
            </w:tcBorders>
          </w:tcPr>
          <w:p>
            <w:pPr>
              <w:suppressLineNumbers/>
              <w:adjustRightInd w:val="0"/>
              <w:snapToGrid w:val="0"/>
              <w:spacing w:line="0" w:lineRule="atLeast"/>
              <w:ind w:firstLine="480" w:firstLineChars="200"/>
              <w:jc w:val="right"/>
              <w:rPr>
                <w:rFonts w:ascii="仿宋_GB2312" w:eastAsia="仿宋_GB2312" w:hAnsiTheme="minorEastAsia" w:cstheme="minorBidi"/>
                <w:kern w:val="2"/>
                <w:sz w:val="24"/>
                <w:szCs w:val="24"/>
              </w:rPr>
            </w:pPr>
          </w:p>
        </w:tc>
        <w:tc>
          <w:tcPr>
            <w:tcW w:w="1418" w:type="dxa"/>
            <w:tcBorders>
              <w:left w:val="single" w:color="auto" w:sz="4" w:space="0"/>
            </w:tcBorders>
          </w:tcPr>
          <w:p>
            <w:pPr>
              <w:suppressLineNumbers/>
              <w:adjustRightInd w:val="0"/>
              <w:snapToGrid w:val="0"/>
              <w:spacing w:line="0" w:lineRule="atLeast"/>
              <w:ind w:right="675" w:firstLine="480" w:firstLineChars="200"/>
              <w:jc w:val="righ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3"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425" w:type="dxa"/>
            <w:vMerge w:val="continue"/>
            <w:tcBorders>
              <w:righ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843" w:type="dxa"/>
            <w:tcBorders>
              <w:lef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落叶树</w:t>
            </w:r>
          </w:p>
        </w:tc>
        <w:tc>
          <w:tcPr>
            <w:tcW w:w="567" w:type="dxa"/>
          </w:tcPr>
          <w:p>
            <w:pPr>
              <w:suppressLineNumbers/>
              <w:adjustRightInd w:val="0"/>
              <w:snapToGrid w:val="0"/>
              <w:spacing w:line="0" w:lineRule="atLeast"/>
              <w:ind w:right="420"/>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株</w:t>
            </w:r>
          </w:p>
        </w:tc>
        <w:tc>
          <w:tcPr>
            <w:tcW w:w="850" w:type="dxa"/>
            <w:tcBorders>
              <w:right w:val="single" w:color="auto" w:sz="4" w:space="0"/>
            </w:tcBorders>
          </w:tcPr>
          <w:p>
            <w:pPr>
              <w:suppressLineNumbers/>
              <w:adjustRightInd w:val="0"/>
              <w:snapToGrid w:val="0"/>
              <w:spacing w:line="0" w:lineRule="atLeast"/>
              <w:ind w:firstLine="480" w:firstLineChars="200"/>
              <w:jc w:val="right"/>
              <w:rPr>
                <w:rFonts w:ascii="仿宋_GB2312" w:eastAsia="仿宋_GB2312" w:hAnsiTheme="minorEastAsia" w:cstheme="minorBidi"/>
                <w:kern w:val="2"/>
                <w:sz w:val="24"/>
                <w:szCs w:val="24"/>
              </w:rPr>
            </w:pPr>
          </w:p>
        </w:tc>
        <w:tc>
          <w:tcPr>
            <w:tcW w:w="1418" w:type="dxa"/>
            <w:tcBorders>
              <w:left w:val="single" w:color="auto" w:sz="4" w:space="0"/>
            </w:tcBorders>
          </w:tcPr>
          <w:p>
            <w:pPr>
              <w:suppressLineNumbers/>
              <w:adjustRightInd w:val="0"/>
              <w:snapToGrid w:val="0"/>
              <w:spacing w:line="0" w:lineRule="atLeast"/>
              <w:ind w:right="555" w:firstLine="480" w:firstLineChars="200"/>
              <w:jc w:val="righ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843" w:type="dxa"/>
            <w:vMerge w:val="continue"/>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425" w:type="dxa"/>
            <w:vMerge w:val="continue"/>
            <w:tcBorders>
              <w:right w:val="single" w:color="auto" w:sz="4" w:space="0"/>
            </w:tcBorders>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c>
          <w:tcPr>
            <w:tcW w:w="1843" w:type="dxa"/>
            <w:tcBorders>
              <w:left w:val="single" w:color="auto" w:sz="4" w:space="0"/>
            </w:tcBorders>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常绿树</w:t>
            </w:r>
          </w:p>
        </w:tc>
        <w:tc>
          <w:tcPr>
            <w:tcW w:w="567" w:type="dxa"/>
          </w:tcPr>
          <w:p>
            <w:pPr>
              <w:suppressLineNumbers/>
              <w:adjustRightInd w:val="0"/>
              <w:snapToGrid w:val="0"/>
              <w:spacing w:line="0" w:lineRule="atLeast"/>
              <w:ind w:right="420"/>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株</w:t>
            </w:r>
          </w:p>
        </w:tc>
        <w:tc>
          <w:tcPr>
            <w:tcW w:w="850" w:type="dxa"/>
            <w:tcBorders>
              <w:right w:val="single" w:color="auto" w:sz="4" w:space="0"/>
            </w:tcBorders>
          </w:tcPr>
          <w:p>
            <w:pPr>
              <w:suppressLineNumbers/>
              <w:adjustRightInd w:val="0"/>
              <w:snapToGrid w:val="0"/>
              <w:spacing w:line="0" w:lineRule="atLeast"/>
              <w:ind w:firstLine="480" w:firstLineChars="200"/>
              <w:jc w:val="right"/>
              <w:rPr>
                <w:rFonts w:ascii="仿宋_GB2312" w:eastAsia="仿宋_GB2312" w:hAnsiTheme="minorEastAsia" w:cstheme="minorBidi"/>
                <w:kern w:val="2"/>
                <w:sz w:val="24"/>
                <w:szCs w:val="24"/>
              </w:rPr>
            </w:pPr>
          </w:p>
        </w:tc>
        <w:tc>
          <w:tcPr>
            <w:tcW w:w="1418" w:type="dxa"/>
            <w:tcBorders>
              <w:left w:val="single" w:color="auto" w:sz="4" w:space="0"/>
            </w:tcBorders>
          </w:tcPr>
          <w:p>
            <w:pPr>
              <w:suppressLineNumbers/>
              <w:adjustRightInd w:val="0"/>
              <w:snapToGrid w:val="0"/>
              <w:spacing w:line="0" w:lineRule="atLeast"/>
              <w:ind w:right="450" w:firstLine="480" w:firstLineChars="200"/>
              <w:jc w:val="righ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w:t>
            </w: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1843"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小乔木</w:t>
            </w:r>
          </w:p>
        </w:tc>
        <w:tc>
          <w:tcPr>
            <w:tcW w:w="5103" w:type="dxa"/>
            <w:gridSpan w:val="5"/>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 xml:space="preserve">       从；       </w:t>
            </w:r>
            <w:r>
              <w:rPr>
                <w:rFonts w:hint="eastAsia" w:ascii="仿宋_GB2312" w:hAnsiTheme="minorEastAsia" w:eastAsiaTheme="minorEastAsia" w:cstheme="minorBidi"/>
                <w:kern w:val="2"/>
                <w:sz w:val="24"/>
                <w:szCs w:val="24"/>
              </w:rPr>
              <w:t>㎡</w:t>
            </w:r>
            <w:r>
              <w:rPr>
                <w:rFonts w:hint="eastAsia" w:ascii="仿宋_GB2312" w:eastAsia="仿宋_GB2312" w:hAnsiTheme="minorEastAsia" w:cstheme="minorBidi"/>
                <w:kern w:val="2"/>
                <w:sz w:val="24"/>
                <w:szCs w:val="24"/>
              </w:rPr>
              <w:t>；       株；</w:t>
            </w: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1843"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灌木</w:t>
            </w:r>
          </w:p>
        </w:tc>
        <w:tc>
          <w:tcPr>
            <w:tcW w:w="5103" w:type="dxa"/>
            <w:gridSpan w:val="5"/>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 xml:space="preserve">       从；       </w:t>
            </w:r>
            <w:r>
              <w:rPr>
                <w:rFonts w:hint="eastAsia" w:ascii="仿宋_GB2312" w:hAnsiTheme="minorEastAsia" w:eastAsiaTheme="minorEastAsia" w:cstheme="minorBidi"/>
                <w:kern w:val="2"/>
                <w:sz w:val="24"/>
                <w:szCs w:val="24"/>
              </w:rPr>
              <w:t>㎡</w:t>
            </w:r>
            <w:r>
              <w:rPr>
                <w:rFonts w:hint="eastAsia" w:ascii="仿宋_GB2312" w:eastAsia="仿宋_GB2312" w:hAnsiTheme="minorEastAsia" w:cstheme="minorBidi"/>
                <w:kern w:val="2"/>
                <w:sz w:val="24"/>
                <w:szCs w:val="24"/>
              </w:rPr>
              <w:t>；       株；</w:t>
            </w: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1843"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竹类</w:t>
            </w:r>
          </w:p>
        </w:tc>
        <w:tc>
          <w:tcPr>
            <w:tcW w:w="5103" w:type="dxa"/>
            <w:gridSpan w:val="5"/>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 xml:space="preserve">       从；       </w:t>
            </w:r>
            <w:r>
              <w:rPr>
                <w:rFonts w:hint="eastAsia" w:ascii="仿宋_GB2312" w:hAnsiTheme="minorEastAsia" w:eastAsiaTheme="minorEastAsia" w:cstheme="minorBidi"/>
                <w:kern w:val="2"/>
                <w:sz w:val="24"/>
                <w:szCs w:val="24"/>
              </w:rPr>
              <w:t>㎡</w:t>
            </w:r>
            <w:r>
              <w:rPr>
                <w:rFonts w:hint="eastAsia" w:ascii="仿宋_GB2312" w:eastAsia="仿宋_GB2312" w:hAnsiTheme="minorEastAsia" w:cstheme="minorBidi"/>
                <w:kern w:val="2"/>
                <w:sz w:val="24"/>
                <w:szCs w:val="24"/>
              </w:rPr>
              <w:t>；       株；</w:t>
            </w:r>
          </w:p>
        </w:tc>
        <w:tc>
          <w:tcPr>
            <w:tcW w:w="1276" w:type="dxa"/>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1843"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非草坪地被</w:t>
            </w:r>
          </w:p>
        </w:tc>
        <w:tc>
          <w:tcPr>
            <w:tcW w:w="5103" w:type="dxa"/>
            <w:gridSpan w:val="5"/>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 xml:space="preserve">       从；       </w:t>
            </w:r>
            <w:r>
              <w:rPr>
                <w:rFonts w:hint="eastAsia" w:ascii="仿宋_GB2312" w:hAnsiTheme="minorEastAsia" w:eastAsiaTheme="minorEastAsia" w:cstheme="minorBidi"/>
                <w:kern w:val="2"/>
                <w:sz w:val="24"/>
                <w:szCs w:val="24"/>
              </w:rPr>
              <w:t>㎡</w:t>
            </w:r>
            <w:r>
              <w:rPr>
                <w:rFonts w:hint="eastAsia" w:ascii="仿宋_GB2312" w:eastAsia="仿宋_GB2312" w:hAnsiTheme="minorEastAsia" w:cstheme="minorBidi"/>
                <w:kern w:val="2"/>
                <w:sz w:val="24"/>
                <w:szCs w:val="24"/>
              </w:rPr>
              <w:t>；       株；</w:t>
            </w:r>
          </w:p>
        </w:tc>
        <w:tc>
          <w:tcPr>
            <w:tcW w:w="1276"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2" w:hRule="atLeast"/>
        </w:trPr>
        <w:tc>
          <w:tcPr>
            <w:tcW w:w="1843" w:type="dxa"/>
            <w:vAlign w:val="center"/>
          </w:tcPr>
          <w:p>
            <w:pPr>
              <w:suppressLineNumbers/>
              <w:adjustRightInd w:val="0"/>
              <w:snapToGrid w:val="0"/>
              <w:spacing w:line="0" w:lineRule="atLeast"/>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草坪</w:t>
            </w:r>
          </w:p>
        </w:tc>
        <w:tc>
          <w:tcPr>
            <w:tcW w:w="5103" w:type="dxa"/>
            <w:gridSpan w:val="5"/>
            <w:vAlign w:val="center"/>
          </w:tcPr>
          <w:p>
            <w:pPr>
              <w:suppressLineNumbers/>
              <w:adjustRightInd w:val="0"/>
              <w:snapToGrid w:val="0"/>
              <w:spacing w:line="0" w:lineRule="atLeast"/>
              <w:ind w:firstLine="480" w:firstLineChars="200"/>
              <w:rPr>
                <w:rFonts w:ascii="仿宋_GB2312" w:eastAsia="仿宋_GB2312" w:hAnsiTheme="minorEastAsia" w:cstheme="minorBidi"/>
                <w:kern w:val="2"/>
                <w:sz w:val="24"/>
                <w:szCs w:val="24"/>
              </w:rPr>
            </w:pPr>
            <w:r>
              <w:rPr>
                <w:rFonts w:hint="eastAsia" w:ascii="仿宋_GB2312" w:eastAsia="仿宋_GB2312" w:hAnsiTheme="minorEastAsia" w:cstheme="minorBidi"/>
                <w:kern w:val="2"/>
                <w:sz w:val="24"/>
                <w:szCs w:val="24"/>
              </w:rPr>
              <w:t xml:space="preserve">               </w:t>
            </w:r>
            <w:r>
              <w:rPr>
                <w:rFonts w:hint="eastAsia" w:ascii="仿宋_GB2312" w:hAnsiTheme="minorEastAsia" w:eastAsiaTheme="minorEastAsia" w:cstheme="minorBidi"/>
                <w:kern w:val="2"/>
                <w:sz w:val="24"/>
                <w:szCs w:val="24"/>
              </w:rPr>
              <w:t>㎡</w:t>
            </w:r>
            <w:r>
              <w:rPr>
                <w:rFonts w:hint="eastAsia" w:ascii="仿宋_GB2312" w:eastAsia="仿宋_GB2312" w:hAnsiTheme="minorEastAsia" w:cstheme="minorBidi"/>
                <w:kern w:val="2"/>
                <w:sz w:val="24"/>
                <w:szCs w:val="24"/>
              </w:rPr>
              <w:t>；</w:t>
            </w:r>
          </w:p>
        </w:tc>
        <w:tc>
          <w:tcPr>
            <w:tcW w:w="1276" w:type="dxa"/>
            <w:vAlign w:val="center"/>
          </w:tcPr>
          <w:p>
            <w:pPr>
              <w:suppressLineNumbers/>
              <w:adjustRightInd w:val="0"/>
              <w:snapToGrid w:val="0"/>
              <w:spacing w:line="0" w:lineRule="atLeast"/>
              <w:ind w:firstLine="480" w:firstLineChars="200"/>
              <w:jc w:val="center"/>
              <w:rPr>
                <w:rFonts w:ascii="仿宋_GB2312" w:eastAsia="仿宋_GB2312" w:hAnsiTheme="minorEastAsia" w:cstheme="minorBidi"/>
                <w:kern w:val="2"/>
                <w:sz w:val="24"/>
                <w:szCs w:val="24"/>
              </w:rPr>
            </w:pPr>
          </w:p>
        </w:tc>
      </w:tr>
    </w:tbl>
    <w:p>
      <w:pPr>
        <w:pStyle w:val="21"/>
        <w:suppressLineNumbers/>
        <w:adjustRightInd w:val="0"/>
        <w:snapToGrid w:val="0"/>
        <w:spacing w:before="0" w:beforeAutospacing="0" w:after="0" w:afterAutospacing="0" w:line="500" w:lineRule="exact"/>
        <w:rPr>
          <w:rFonts w:hint="default" w:ascii="仿宋_GB2312" w:eastAsia="仿宋_GB2312" w:hAnsiTheme="minorEastAsia" w:cstheme="minorBidi"/>
          <w:color w:val="FF0000"/>
          <w:kern w:val="2"/>
          <w:sz w:val="24"/>
          <w:szCs w:val="24"/>
          <w:lang w:val="en-US" w:eastAsia="zh-CN"/>
        </w:rPr>
      </w:pPr>
    </w:p>
    <w:sectPr>
      <w:pgSz w:w="11907" w:h="16839"/>
      <w:pgMar w:top="1814" w:right="1531" w:bottom="1985" w:left="1531" w:header="1418" w:footer="1134" w:gutter="0"/>
      <w:pgNumType w:start="1"/>
      <w:cols w:space="84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lZGRmMWYwODBiMGYwZDljZDQ4OTIyZDM3MTJlYTEifQ=="/>
  </w:docVars>
  <w:rsids>
    <w:rsidRoot w:val="005A3F02"/>
    <w:rsid w:val="000054C7"/>
    <w:rsid w:val="00011B1D"/>
    <w:rsid w:val="00024FC9"/>
    <w:rsid w:val="000430DF"/>
    <w:rsid w:val="00044B71"/>
    <w:rsid w:val="00063213"/>
    <w:rsid w:val="00071C3E"/>
    <w:rsid w:val="00087384"/>
    <w:rsid w:val="000A07D8"/>
    <w:rsid w:val="000A1F85"/>
    <w:rsid w:val="000A452B"/>
    <w:rsid w:val="000D65EB"/>
    <w:rsid w:val="0010457E"/>
    <w:rsid w:val="00115062"/>
    <w:rsid w:val="00125B58"/>
    <w:rsid w:val="00130CD1"/>
    <w:rsid w:val="001404B3"/>
    <w:rsid w:val="001434CE"/>
    <w:rsid w:val="0015332B"/>
    <w:rsid w:val="00174332"/>
    <w:rsid w:val="00183AA9"/>
    <w:rsid w:val="00183F44"/>
    <w:rsid w:val="00185FA1"/>
    <w:rsid w:val="001A417F"/>
    <w:rsid w:val="001A6A23"/>
    <w:rsid w:val="001B36C3"/>
    <w:rsid w:val="001C4E53"/>
    <w:rsid w:val="001E491A"/>
    <w:rsid w:val="001E5D6A"/>
    <w:rsid w:val="001F0088"/>
    <w:rsid w:val="001F29FB"/>
    <w:rsid w:val="001F6DDB"/>
    <w:rsid w:val="002001F4"/>
    <w:rsid w:val="00213898"/>
    <w:rsid w:val="0021719C"/>
    <w:rsid w:val="00222506"/>
    <w:rsid w:val="00234601"/>
    <w:rsid w:val="0024678E"/>
    <w:rsid w:val="00265755"/>
    <w:rsid w:val="002B2F67"/>
    <w:rsid w:val="002C3309"/>
    <w:rsid w:val="002D2593"/>
    <w:rsid w:val="002E69B9"/>
    <w:rsid w:val="003004AF"/>
    <w:rsid w:val="0030284F"/>
    <w:rsid w:val="00304805"/>
    <w:rsid w:val="003065E6"/>
    <w:rsid w:val="00315210"/>
    <w:rsid w:val="00316569"/>
    <w:rsid w:val="00324CF1"/>
    <w:rsid w:val="00330356"/>
    <w:rsid w:val="00330A2D"/>
    <w:rsid w:val="00333090"/>
    <w:rsid w:val="003539D7"/>
    <w:rsid w:val="003755B3"/>
    <w:rsid w:val="003860BE"/>
    <w:rsid w:val="003A7877"/>
    <w:rsid w:val="003B1304"/>
    <w:rsid w:val="003B7657"/>
    <w:rsid w:val="003D5535"/>
    <w:rsid w:val="003F00FB"/>
    <w:rsid w:val="00414680"/>
    <w:rsid w:val="00416D34"/>
    <w:rsid w:val="00422A7D"/>
    <w:rsid w:val="00422C2B"/>
    <w:rsid w:val="00427B6E"/>
    <w:rsid w:val="00455001"/>
    <w:rsid w:val="00477733"/>
    <w:rsid w:val="0049442E"/>
    <w:rsid w:val="004978E2"/>
    <w:rsid w:val="004B3237"/>
    <w:rsid w:val="004B57BE"/>
    <w:rsid w:val="004B728F"/>
    <w:rsid w:val="004C0BFD"/>
    <w:rsid w:val="004F6ACC"/>
    <w:rsid w:val="00541256"/>
    <w:rsid w:val="005464BC"/>
    <w:rsid w:val="00563186"/>
    <w:rsid w:val="0056522E"/>
    <w:rsid w:val="0058735A"/>
    <w:rsid w:val="005A0FB6"/>
    <w:rsid w:val="005A3F02"/>
    <w:rsid w:val="005A4383"/>
    <w:rsid w:val="005D2A07"/>
    <w:rsid w:val="005D31CC"/>
    <w:rsid w:val="005F7A9D"/>
    <w:rsid w:val="00625B4B"/>
    <w:rsid w:val="00626043"/>
    <w:rsid w:val="00632184"/>
    <w:rsid w:val="006509C2"/>
    <w:rsid w:val="006540FC"/>
    <w:rsid w:val="00666FF2"/>
    <w:rsid w:val="00670A53"/>
    <w:rsid w:val="00673984"/>
    <w:rsid w:val="006B41AE"/>
    <w:rsid w:val="006B672C"/>
    <w:rsid w:val="006D29DA"/>
    <w:rsid w:val="006D48E7"/>
    <w:rsid w:val="006D7B7A"/>
    <w:rsid w:val="006F0ADA"/>
    <w:rsid w:val="006F45A9"/>
    <w:rsid w:val="006F5066"/>
    <w:rsid w:val="00706C44"/>
    <w:rsid w:val="00716D9B"/>
    <w:rsid w:val="007261C6"/>
    <w:rsid w:val="00731411"/>
    <w:rsid w:val="007366B4"/>
    <w:rsid w:val="007570BB"/>
    <w:rsid w:val="00762F2B"/>
    <w:rsid w:val="00783506"/>
    <w:rsid w:val="00785D1B"/>
    <w:rsid w:val="00797611"/>
    <w:rsid w:val="007A54F8"/>
    <w:rsid w:val="007A695E"/>
    <w:rsid w:val="007A7B56"/>
    <w:rsid w:val="007C0481"/>
    <w:rsid w:val="007C7853"/>
    <w:rsid w:val="007D371A"/>
    <w:rsid w:val="007E54BA"/>
    <w:rsid w:val="007F3515"/>
    <w:rsid w:val="007F3F80"/>
    <w:rsid w:val="007F741D"/>
    <w:rsid w:val="007F7E3B"/>
    <w:rsid w:val="00815905"/>
    <w:rsid w:val="00816018"/>
    <w:rsid w:val="00825DB0"/>
    <w:rsid w:val="008261D0"/>
    <w:rsid w:val="008271BC"/>
    <w:rsid w:val="00832A4C"/>
    <w:rsid w:val="00842EC7"/>
    <w:rsid w:val="00847DE1"/>
    <w:rsid w:val="00854AA7"/>
    <w:rsid w:val="008716ED"/>
    <w:rsid w:val="00876D75"/>
    <w:rsid w:val="00881EF9"/>
    <w:rsid w:val="00884FE4"/>
    <w:rsid w:val="00892DF1"/>
    <w:rsid w:val="008A584D"/>
    <w:rsid w:val="008B4E48"/>
    <w:rsid w:val="008E30B3"/>
    <w:rsid w:val="008E4EA8"/>
    <w:rsid w:val="008F5C05"/>
    <w:rsid w:val="008F6B2B"/>
    <w:rsid w:val="00901098"/>
    <w:rsid w:val="0090144C"/>
    <w:rsid w:val="00927CBD"/>
    <w:rsid w:val="00927E1B"/>
    <w:rsid w:val="00943E46"/>
    <w:rsid w:val="009536DC"/>
    <w:rsid w:val="00955C57"/>
    <w:rsid w:val="00965479"/>
    <w:rsid w:val="00970A74"/>
    <w:rsid w:val="009725F9"/>
    <w:rsid w:val="009A36AC"/>
    <w:rsid w:val="009C14A7"/>
    <w:rsid w:val="009C734C"/>
    <w:rsid w:val="009D18DB"/>
    <w:rsid w:val="009E1CFF"/>
    <w:rsid w:val="009E7477"/>
    <w:rsid w:val="009F0228"/>
    <w:rsid w:val="009F4279"/>
    <w:rsid w:val="00A010A6"/>
    <w:rsid w:val="00A11E59"/>
    <w:rsid w:val="00A16FE7"/>
    <w:rsid w:val="00A40D00"/>
    <w:rsid w:val="00A4361E"/>
    <w:rsid w:val="00A442B0"/>
    <w:rsid w:val="00A52A3E"/>
    <w:rsid w:val="00A64C8E"/>
    <w:rsid w:val="00A9464C"/>
    <w:rsid w:val="00A97D5A"/>
    <w:rsid w:val="00AA05B9"/>
    <w:rsid w:val="00AA4EE8"/>
    <w:rsid w:val="00AA78BE"/>
    <w:rsid w:val="00AB0044"/>
    <w:rsid w:val="00AC0C45"/>
    <w:rsid w:val="00AC4BEE"/>
    <w:rsid w:val="00AD0C74"/>
    <w:rsid w:val="00AF2445"/>
    <w:rsid w:val="00B02D95"/>
    <w:rsid w:val="00B11D2D"/>
    <w:rsid w:val="00B260A9"/>
    <w:rsid w:val="00B511DF"/>
    <w:rsid w:val="00B633DD"/>
    <w:rsid w:val="00B64E8D"/>
    <w:rsid w:val="00B823D8"/>
    <w:rsid w:val="00BA053D"/>
    <w:rsid w:val="00BB0839"/>
    <w:rsid w:val="00BB4D29"/>
    <w:rsid w:val="00BC1C09"/>
    <w:rsid w:val="00BF49B2"/>
    <w:rsid w:val="00C06145"/>
    <w:rsid w:val="00C24A58"/>
    <w:rsid w:val="00C33527"/>
    <w:rsid w:val="00C526EB"/>
    <w:rsid w:val="00C540FC"/>
    <w:rsid w:val="00C72025"/>
    <w:rsid w:val="00CB64A3"/>
    <w:rsid w:val="00CC53FD"/>
    <w:rsid w:val="00CC7962"/>
    <w:rsid w:val="00CF27FA"/>
    <w:rsid w:val="00D06FA7"/>
    <w:rsid w:val="00D13BA0"/>
    <w:rsid w:val="00D155CD"/>
    <w:rsid w:val="00D51D90"/>
    <w:rsid w:val="00D7299A"/>
    <w:rsid w:val="00D75743"/>
    <w:rsid w:val="00D81490"/>
    <w:rsid w:val="00D816E8"/>
    <w:rsid w:val="00D835E3"/>
    <w:rsid w:val="00D90ECC"/>
    <w:rsid w:val="00DA5838"/>
    <w:rsid w:val="00DB20F7"/>
    <w:rsid w:val="00DD7B79"/>
    <w:rsid w:val="00DF3391"/>
    <w:rsid w:val="00E054AB"/>
    <w:rsid w:val="00E24E5E"/>
    <w:rsid w:val="00E45403"/>
    <w:rsid w:val="00E57E0B"/>
    <w:rsid w:val="00E65C18"/>
    <w:rsid w:val="00E71BA7"/>
    <w:rsid w:val="00E745F2"/>
    <w:rsid w:val="00E74C2D"/>
    <w:rsid w:val="00E764E9"/>
    <w:rsid w:val="00E8379C"/>
    <w:rsid w:val="00E874AF"/>
    <w:rsid w:val="00E92F74"/>
    <w:rsid w:val="00EB7726"/>
    <w:rsid w:val="00F11DD6"/>
    <w:rsid w:val="00F1395F"/>
    <w:rsid w:val="00F13E0E"/>
    <w:rsid w:val="00F21935"/>
    <w:rsid w:val="00F5141F"/>
    <w:rsid w:val="00F56C56"/>
    <w:rsid w:val="00F65E6E"/>
    <w:rsid w:val="00F67761"/>
    <w:rsid w:val="00F70AD8"/>
    <w:rsid w:val="00F81E52"/>
    <w:rsid w:val="00F958CA"/>
    <w:rsid w:val="00FA1C55"/>
    <w:rsid w:val="00FC35AD"/>
    <w:rsid w:val="00FD6F02"/>
    <w:rsid w:val="00FE5A3A"/>
    <w:rsid w:val="012375FA"/>
    <w:rsid w:val="01967485"/>
    <w:rsid w:val="01AF6A99"/>
    <w:rsid w:val="020F0807"/>
    <w:rsid w:val="02922DB8"/>
    <w:rsid w:val="02C941D1"/>
    <w:rsid w:val="02D455DB"/>
    <w:rsid w:val="0314094B"/>
    <w:rsid w:val="0317318F"/>
    <w:rsid w:val="03546191"/>
    <w:rsid w:val="04722D72"/>
    <w:rsid w:val="04910D1F"/>
    <w:rsid w:val="04F063C6"/>
    <w:rsid w:val="058C7E64"/>
    <w:rsid w:val="05971D90"/>
    <w:rsid w:val="05DD3341"/>
    <w:rsid w:val="05FD48BE"/>
    <w:rsid w:val="06432036"/>
    <w:rsid w:val="065D57A5"/>
    <w:rsid w:val="06A333B5"/>
    <w:rsid w:val="06BD2F18"/>
    <w:rsid w:val="073A55AE"/>
    <w:rsid w:val="07527090"/>
    <w:rsid w:val="07EF6488"/>
    <w:rsid w:val="08926EB8"/>
    <w:rsid w:val="08CC67C9"/>
    <w:rsid w:val="097E5D15"/>
    <w:rsid w:val="09A137B2"/>
    <w:rsid w:val="09D26E62"/>
    <w:rsid w:val="09D90DDB"/>
    <w:rsid w:val="0A6C0264"/>
    <w:rsid w:val="0AE47DFA"/>
    <w:rsid w:val="0AED7863"/>
    <w:rsid w:val="0B072072"/>
    <w:rsid w:val="0BF91921"/>
    <w:rsid w:val="0C63281E"/>
    <w:rsid w:val="0CCA3020"/>
    <w:rsid w:val="0CE9189A"/>
    <w:rsid w:val="0D36458F"/>
    <w:rsid w:val="0D5D20E6"/>
    <w:rsid w:val="0DCF4D92"/>
    <w:rsid w:val="0E202EC6"/>
    <w:rsid w:val="0EA578A0"/>
    <w:rsid w:val="0ECB1C73"/>
    <w:rsid w:val="0ED02BFD"/>
    <w:rsid w:val="0EF240C1"/>
    <w:rsid w:val="0EF24286"/>
    <w:rsid w:val="0FB71F81"/>
    <w:rsid w:val="0FC1070A"/>
    <w:rsid w:val="0FCA42ED"/>
    <w:rsid w:val="0FD74DED"/>
    <w:rsid w:val="0FDF5034"/>
    <w:rsid w:val="103D79C9"/>
    <w:rsid w:val="10667503"/>
    <w:rsid w:val="10691FA3"/>
    <w:rsid w:val="10765998"/>
    <w:rsid w:val="108A31F2"/>
    <w:rsid w:val="10F15E25"/>
    <w:rsid w:val="10FA5A47"/>
    <w:rsid w:val="113C371A"/>
    <w:rsid w:val="11F4788B"/>
    <w:rsid w:val="12486EC1"/>
    <w:rsid w:val="12601E40"/>
    <w:rsid w:val="129C0FBA"/>
    <w:rsid w:val="12B502CE"/>
    <w:rsid w:val="133053DB"/>
    <w:rsid w:val="13357DBD"/>
    <w:rsid w:val="13EE1CEA"/>
    <w:rsid w:val="13F05A62"/>
    <w:rsid w:val="14416EB1"/>
    <w:rsid w:val="14535FF1"/>
    <w:rsid w:val="155362A8"/>
    <w:rsid w:val="158E72E0"/>
    <w:rsid w:val="16102902"/>
    <w:rsid w:val="161944E9"/>
    <w:rsid w:val="16543395"/>
    <w:rsid w:val="16C44F84"/>
    <w:rsid w:val="170831C7"/>
    <w:rsid w:val="174727ED"/>
    <w:rsid w:val="176B0FBD"/>
    <w:rsid w:val="17FF44C5"/>
    <w:rsid w:val="18450A85"/>
    <w:rsid w:val="18825528"/>
    <w:rsid w:val="189E7863"/>
    <w:rsid w:val="19981211"/>
    <w:rsid w:val="199E7D0E"/>
    <w:rsid w:val="19E613F2"/>
    <w:rsid w:val="1A102EB7"/>
    <w:rsid w:val="1A12319D"/>
    <w:rsid w:val="1A770B0E"/>
    <w:rsid w:val="1AB1581F"/>
    <w:rsid w:val="1AC47300"/>
    <w:rsid w:val="1ACB65BB"/>
    <w:rsid w:val="1B99078D"/>
    <w:rsid w:val="1BD96DDB"/>
    <w:rsid w:val="1BF6241E"/>
    <w:rsid w:val="1BF7103C"/>
    <w:rsid w:val="1C0E2F29"/>
    <w:rsid w:val="1C1D0B7A"/>
    <w:rsid w:val="1C6572F3"/>
    <w:rsid w:val="1CEE07C3"/>
    <w:rsid w:val="1CF33ECD"/>
    <w:rsid w:val="1D542101"/>
    <w:rsid w:val="1D6B0855"/>
    <w:rsid w:val="1D7F2551"/>
    <w:rsid w:val="1D976F4E"/>
    <w:rsid w:val="1DF443A0"/>
    <w:rsid w:val="1E2F7187"/>
    <w:rsid w:val="1E8A0861"/>
    <w:rsid w:val="1EDA3596"/>
    <w:rsid w:val="1EFD1033"/>
    <w:rsid w:val="1F0044AB"/>
    <w:rsid w:val="1F1B5440"/>
    <w:rsid w:val="1F2729AA"/>
    <w:rsid w:val="1F8A176C"/>
    <w:rsid w:val="1FB913FE"/>
    <w:rsid w:val="1FBF738A"/>
    <w:rsid w:val="1FD9384E"/>
    <w:rsid w:val="1FE13D1F"/>
    <w:rsid w:val="20020FF7"/>
    <w:rsid w:val="200C3C23"/>
    <w:rsid w:val="209E5AEC"/>
    <w:rsid w:val="20C718F8"/>
    <w:rsid w:val="218B6DCA"/>
    <w:rsid w:val="21B622BD"/>
    <w:rsid w:val="220D3D43"/>
    <w:rsid w:val="22407BB4"/>
    <w:rsid w:val="231A15C5"/>
    <w:rsid w:val="23BE0FA1"/>
    <w:rsid w:val="23EF1892"/>
    <w:rsid w:val="24024B5B"/>
    <w:rsid w:val="245F252D"/>
    <w:rsid w:val="255A72E3"/>
    <w:rsid w:val="257A33DD"/>
    <w:rsid w:val="25826736"/>
    <w:rsid w:val="25A21992"/>
    <w:rsid w:val="25CB4399"/>
    <w:rsid w:val="25F72C80"/>
    <w:rsid w:val="26393298"/>
    <w:rsid w:val="267D7507"/>
    <w:rsid w:val="26CF7759"/>
    <w:rsid w:val="27386B1B"/>
    <w:rsid w:val="287C7332"/>
    <w:rsid w:val="293F112D"/>
    <w:rsid w:val="2A0A4121"/>
    <w:rsid w:val="2A0D489B"/>
    <w:rsid w:val="2A1738F0"/>
    <w:rsid w:val="2A636B36"/>
    <w:rsid w:val="2A9A007E"/>
    <w:rsid w:val="2AAB2C02"/>
    <w:rsid w:val="2B382564"/>
    <w:rsid w:val="2BC5112A"/>
    <w:rsid w:val="2BFA11C0"/>
    <w:rsid w:val="2BFC6FEA"/>
    <w:rsid w:val="2CCD4426"/>
    <w:rsid w:val="2D023258"/>
    <w:rsid w:val="2D5779CF"/>
    <w:rsid w:val="2DBF3691"/>
    <w:rsid w:val="2DCC054E"/>
    <w:rsid w:val="2DD90EBD"/>
    <w:rsid w:val="2DDD44E2"/>
    <w:rsid w:val="2E444588"/>
    <w:rsid w:val="2EB664FB"/>
    <w:rsid w:val="2F1C72B3"/>
    <w:rsid w:val="2F2909A6"/>
    <w:rsid w:val="2F477631"/>
    <w:rsid w:val="2F486BEF"/>
    <w:rsid w:val="2F5702EB"/>
    <w:rsid w:val="30340C36"/>
    <w:rsid w:val="30A43A04"/>
    <w:rsid w:val="312E1520"/>
    <w:rsid w:val="31341609"/>
    <w:rsid w:val="31677002"/>
    <w:rsid w:val="31723B02"/>
    <w:rsid w:val="31D76BE3"/>
    <w:rsid w:val="31F6028F"/>
    <w:rsid w:val="32067BA7"/>
    <w:rsid w:val="32411B40"/>
    <w:rsid w:val="326400E9"/>
    <w:rsid w:val="329D2229"/>
    <w:rsid w:val="33122EA7"/>
    <w:rsid w:val="33296443"/>
    <w:rsid w:val="335713CF"/>
    <w:rsid w:val="33C54FC4"/>
    <w:rsid w:val="34161EC7"/>
    <w:rsid w:val="343D03F7"/>
    <w:rsid w:val="34AF4725"/>
    <w:rsid w:val="34BD5094"/>
    <w:rsid w:val="353F1F4D"/>
    <w:rsid w:val="36E7289C"/>
    <w:rsid w:val="371151BF"/>
    <w:rsid w:val="374D6BA3"/>
    <w:rsid w:val="37591082"/>
    <w:rsid w:val="37692E75"/>
    <w:rsid w:val="37A442EA"/>
    <w:rsid w:val="38577975"/>
    <w:rsid w:val="38947917"/>
    <w:rsid w:val="3914724D"/>
    <w:rsid w:val="39A66F77"/>
    <w:rsid w:val="39C843FE"/>
    <w:rsid w:val="39D54C2E"/>
    <w:rsid w:val="3A055438"/>
    <w:rsid w:val="3A323902"/>
    <w:rsid w:val="3AC9323A"/>
    <w:rsid w:val="3ADC46E1"/>
    <w:rsid w:val="3C4A1903"/>
    <w:rsid w:val="3C6542D3"/>
    <w:rsid w:val="3C674984"/>
    <w:rsid w:val="3D006466"/>
    <w:rsid w:val="3D33006A"/>
    <w:rsid w:val="3D6C76C2"/>
    <w:rsid w:val="3D7E57B5"/>
    <w:rsid w:val="3DDD0555"/>
    <w:rsid w:val="3E1677F2"/>
    <w:rsid w:val="3E491EE2"/>
    <w:rsid w:val="3E923F9F"/>
    <w:rsid w:val="3EB219E2"/>
    <w:rsid w:val="3F2A7462"/>
    <w:rsid w:val="3F4940F4"/>
    <w:rsid w:val="3F9F2443"/>
    <w:rsid w:val="3FA320E6"/>
    <w:rsid w:val="3FD61C25"/>
    <w:rsid w:val="401E3034"/>
    <w:rsid w:val="40A9648B"/>
    <w:rsid w:val="413B7A6D"/>
    <w:rsid w:val="4192410A"/>
    <w:rsid w:val="41D5252C"/>
    <w:rsid w:val="41D93BE5"/>
    <w:rsid w:val="41EF14D0"/>
    <w:rsid w:val="4222708E"/>
    <w:rsid w:val="42672AE3"/>
    <w:rsid w:val="427E2307"/>
    <w:rsid w:val="42CF2B62"/>
    <w:rsid w:val="430219E7"/>
    <w:rsid w:val="432D323D"/>
    <w:rsid w:val="43A713E9"/>
    <w:rsid w:val="43FC36AC"/>
    <w:rsid w:val="44984918"/>
    <w:rsid w:val="44BF4B76"/>
    <w:rsid w:val="44CF7BD3"/>
    <w:rsid w:val="451E0AF1"/>
    <w:rsid w:val="457C2402"/>
    <w:rsid w:val="45D81DE2"/>
    <w:rsid w:val="463D6035"/>
    <w:rsid w:val="470C4453"/>
    <w:rsid w:val="47107FCF"/>
    <w:rsid w:val="472965B9"/>
    <w:rsid w:val="475021FE"/>
    <w:rsid w:val="490D68EC"/>
    <w:rsid w:val="49105C83"/>
    <w:rsid w:val="492C413F"/>
    <w:rsid w:val="4984163B"/>
    <w:rsid w:val="49F96F5E"/>
    <w:rsid w:val="4A7B2700"/>
    <w:rsid w:val="4AF13892"/>
    <w:rsid w:val="4B7F2C4C"/>
    <w:rsid w:val="4B835429"/>
    <w:rsid w:val="4BD5286C"/>
    <w:rsid w:val="4C2E37C9"/>
    <w:rsid w:val="4C4243A5"/>
    <w:rsid w:val="4C6F4A6E"/>
    <w:rsid w:val="4D2C6E03"/>
    <w:rsid w:val="4E1262C1"/>
    <w:rsid w:val="4E1C712B"/>
    <w:rsid w:val="4E4F2DA9"/>
    <w:rsid w:val="4E616639"/>
    <w:rsid w:val="4E697333"/>
    <w:rsid w:val="4ECE20D4"/>
    <w:rsid w:val="4ED7625B"/>
    <w:rsid w:val="4EF9194B"/>
    <w:rsid w:val="4FB72EBD"/>
    <w:rsid w:val="4FB83EA8"/>
    <w:rsid w:val="50022000"/>
    <w:rsid w:val="504B75A0"/>
    <w:rsid w:val="50527440"/>
    <w:rsid w:val="510460CD"/>
    <w:rsid w:val="51243181"/>
    <w:rsid w:val="513A1AEF"/>
    <w:rsid w:val="515D0FE2"/>
    <w:rsid w:val="518D1C42"/>
    <w:rsid w:val="51E63A25"/>
    <w:rsid w:val="520364C3"/>
    <w:rsid w:val="52232583"/>
    <w:rsid w:val="52462715"/>
    <w:rsid w:val="52E75AB2"/>
    <w:rsid w:val="539B25ED"/>
    <w:rsid w:val="54AA4549"/>
    <w:rsid w:val="55036B77"/>
    <w:rsid w:val="55172147"/>
    <w:rsid w:val="555920AA"/>
    <w:rsid w:val="55700164"/>
    <w:rsid w:val="55C93441"/>
    <w:rsid w:val="55F8445C"/>
    <w:rsid w:val="562B6483"/>
    <w:rsid w:val="57E52089"/>
    <w:rsid w:val="57E82A26"/>
    <w:rsid w:val="58326E33"/>
    <w:rsid w:val="589F66DB"/>
    <w:rsid w:val="58D1496F"/>
    <w:rsid w:val="58F178E2"/>
    <w:rsid w:val="59017396"/>
    <w:rsid w:val="596A0A97"/>
    <w:rsid w:val="597A2BAB"/>
    <w:rsid w:val="59B63CDD"/>
    <w:rsid w:val="59BD150F"/>
    <w:rsid w:val="59EF7044"/>
    <w:rsid w:val="5A61633E"/>
    <w:rsid w:val="5A647BDD"/>
    <w:rsid w:val="5A92474A"/>
    <w:rsid w:val="5A9A270B"/>
    <w:rsid w:val="5A9A7A80"/>
    <w:rsid w:val="5B032705"/>
    <w:rsid w:val="5B296730"/>
    <w:rsid w:val="5BE014E5"/>
    <w:rsid w:val="5C166CB5"/>
    <w:rsid w:val="5C241D7E"/>
    <w:rsid w:val="5C5773BA"/>
    <w:rsid w:val="5D060B6D"/>
    <w:rsid w:val="5D55380D"/>
    <w:rsid w:val="5D5B70A6"/>
    <w:rsid w:val="5D973E25"/>
    <w:rsid w:val="5DED177F"/>
    <w:rsid w:val="5DFB43B4"/>
    <w:rsid w:val="5E371164"/>
    <w:rsid w:val="5E622685"/>
    <w:rsid w:val="5F5824C9"/>
    <w:rsid w:val="5FDE3F8D"/>
    <w:rsid w:val="5FE5531C"/>
    <w:rsid w:val="5FEB1EC2"/>
    <w:rsid w:val="60337DCE"/>
    <w:rsid w:val="60A2320D"/>
    <w:rsid w:val="60AD570E"/>
    <w:rsid w:val="60C05441"/>
    <w:rsid w:val="60D44E88"/>
    <w:rsid w:val="60DE536F"/>
    <w:rsid w:val="613C540F"/>
    <w:rsid w:val="62051CA5"/>
    <w:rsid w:val="62D17DD9"/>
    <w:rsid w:val="62DB2A06"/>
    <w:rsid w:val="62E713AB"/>
    <w:rsid w:val="63276DF7"/>
    <w:rsid w:val="635204C1"/>
    <w:rsid w:val="6357614B"/>
    <w:rsid w:val="637F3391"/>
    <w:rsid w:val="63844E4C"/>
    <w:rsid w:val="63A252D2"/>
    <w:rsid w:val="63BA261B"/>
    <w:rsid w:val="65150451"/>
    <w:rsid w:val="6545060B"/>
    <w:rsid w:val="6592268F"/>
    <w:rsid w:val="65A65A90"/>
    <w:rsid w:val="65C5024C"/>
    <w:rsid w:val="65EE4441"/>
    <w:rsid w:val="66552ACF"/>
    <w:rsid w:val="66625F75"/>
    <w:rsid w:val="667E3DD4"/>
    <w:rsid w:val="66974E96"/>
    <w:rsid w:val="671A71BF"/>
    <w:rsid w:val="67C021CA"/>
    <w:rsid w:val="68D37C3F"/>
    <w:rsid w:val="695B03FD"/>
    <w:rsid w:val="69A17905"/>
    <w:rsid w:val="69AA611C"/>
    <w:rsid w:val="6A3F1ACC"/>
    <w:rsid w:val="6A8F7CBB"/>
    <w:rsid w:val="6AE129B9"/>
    <w:rsid w:val="6C7D4B2E"/>
    <w:rsid w:val="6CBF0CA2"/>
    <w:rsid w:val="6DAC1227"/>
    <w:rsid w:val="6DBE346D"/>
    <w:rsid w:val="6DE16806"/>
    <w:rsid w:val="6E48573B"/>
    <w:rsid w:val="6EB3111C"/>
    <w:rsid w:val="6FE8485E"/>
    <w:rsid w:val="6FEC6A50"/>
    <w:rsid w:val="705A5516"/>
    <w:rsid w:val="70EB475C"/>
    <w:rsid w:val="719F706F"/>
    <w:rsid w:val="71EA67C2"/>
    <w:rsid w:val="71F6391E"/>
    <w:rsid w:val="72201995"/>
    <w:rsid w:val="72424D2E"/>
    <w:rsid w:val="73012015"/>
    <w:rsid w:val="73090EC9"/>
    <w:rsid w:val="735F35C5"/>
    <w:rsid w:val="73814DD9"/>
    <w:rsid w:val="73AB01D2"/>
    <w:rsid w:val="73AE47EA"/>
    <w:rsid w:val="742F2BB2"/>
    <w:rsid w:val="74CC21AE"/>
    <w:rsid w:val="75241FEA"/>
    <w:rsid w:val="752B4A48"/>
    <w:rsid w:val="757B7431"/>
    <w:rsid w:val="75DE663D"/>
    <w:rsid w:val="75F401A9"/>
    <w:rsid w:val="75FD7697"/>
    <w:rsid w:val="76157E40"/>
    <w:rsid w:val="766A04F5"/>
    <w:rsid w:val="769B62DC"/>
    <w:rsid w:val="76C61836"/>
    <w:rsid w:val="76E22EB1"/>
    <w:rsid w:val="7715608F"/>
    <w:rsid w:val="775D3592"/>
    <w:rsid w:val="77770AF7"/>
    <w:rsid w:val="77C54382"/>
    <w:rsid w:val="77EB58A3"/>
    <w:rsid w:val="77F51A1C"/>
    <w:rsid w:val="78754E4A"/>
    <w:rsid w:val="79B4152D"/>
    <w:rsid w:val="79C30024"/>
    <w:rsid w:val="79E54F49"/>
    <w:rsid w:val="7A3C1B84"/>
    <w:rsid w:val="7A5C3FD5"/>
    <w:rsid w:val="7A8F4065"/>
    <w:rsid w:val="7AA94B13"/>
    <w:rsid w:val="7AB12572"/>
    <w:rsid w:val="7BF32717"/>
    <w:rsid w:val="7D7B24D7"/>
    <w:rsid w:val="7D85337F"/>
    <w:rsid w:val="7DA55C93"/>
    <w:rsid w:val="7DAC6B74"/>
    <w:rsid w:val="7DDB16B4"/>
    <w:rsid w:val="7DF86826"/>
    <w:rsid w:val="7ECA3C03"/>
    <w:rsid w:val="7EEF6683"/>
    <w:rsid w:val="7F333489"/>
    <w:rsid w:val="7F5D57C0"/>
    <w:rsid w:val="7F8245FD"/>
    <w:rsid w:val="7FC303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99" w:semiHidden="0"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3"/>
    <w:qFormat/>
    <w:uiPriority w:val="9"/>
    <w:pPr>
      <w:keepNext/>
      <w:keepLines/>
      <w:spacing w:before="340" w:after="330" w:line="578" w:lineRule="auto"/>
      <w:outlineLvl w:val="0"/>
    </w:pPr>
    <w:rPr>
      <w:bCs/>
      <w:kern w:val="44"/>
      <w:sz w:val="24"/>
      <w:szCs w:val="44"/>
    </w:rPr>
  </w:style>
  <w:style w:type="paragraph" w:styleId="3">
    <w:name w:val="heading 2"/>
    <w:basedOn w:val="1"/>
    <w:next w:val="1"/>
    <w:link w:val="34"/>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4">
    <w:name w:val="heading 3"/>
    <w:basedOn w:val="1"/>
    <w:next w:val="1"/>
    <w:link w:val="35"/>
    <w:unhideWhenUsed/>
    <w:qFormat/>
    <w:uiPriority w:val="9"/>
    <w:pPr>
      <w:keepNext/>
      <w:keepLines/>
      <w:spacing w:before="260" w:after="260" w:line="416" w:lineRule="auto"/>
      <w:outlineLvl w:val="2"/>
    </w:pPr>
    <w:rPr>
      <w:b/>
      <w:bCs/>
      <w:sz w:val="32"/>
      <w:szCs w:val="32"/>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2520" w:leftChars="1200"/>
    </w:pPr>
  </w:style>
  <w:style w:type="paragraph" w:styleId="6">
    <w:name w:val="annotation text"/>
    <w:basedOn w:val="1"/>
    <w:link w:val="36"/>
    <w:semiHidden/>
    <w:unhideWhenUsed/>
    <w:qFormat/>
    <w:uiPriority w:val="99"/>
    <w:pPr>
      <w:jc w:val="left"/>
    </w:pPr>
  </w:style>
  <w:style w:type="paragraph" w:styleId="7">
    <w:name w:val="toc 5"/>
    <w:basedOn w:val="1"/>
    <w:next w:val="1"/>
    <w:unhideWhenUsed/>
    <w:qFormat/>
    <w:uiPriority w:val="39"/>
    <w:pPr>
      <w:ind w:left="1680" w:leftChars="800"/>
    </w:pPr>
  </w:style>
  <w:style w:type="paragraph" w:styleId="8">
    <w:name w:val="toc 3"/>
    <w:basedOn w:val="1"/>
    <w:next w:val="1"/>
    <w:unhideWhenUsed/>
    <w:qFormat/>
    <w:uiPriority w:val="39"/>
    <w:pPr>
      <w:widowControl/>
      <w:spacing w:after="100" w:line="276" w:lineRule="auto"/>
      <w:ind w:left="440"/>
      <w:jc w:val="left"/>
    </w:pPr>
    <w:rPr>
      <w:kern w:val="0"/>
      <w:sz w:val="22"/>
    </w:rPr>
  </w:style>
  <w:style w:type="paragraph" w:styleId="9">
    <w:name w:val="toc 8"/>
    <w:basedOn w:val="1"/>
    <w:next w:val="1"/>
    <w:unhideWhenUsed/>
    <w:qFormat/>
    <w:uiPriority w:val="39"/>
    <w:pPr>
      <w:ind w:left="2940" w:leftChars="1400"/>
    </w:pPr>
  </w:style>
  <w:style w:type="paragraph" w:styleId="10">
    <w:name w:val="Date"/>
    <w:basedOn w:val="1"/>
    <w:next w:val="1"/>
    <w:link w:val="37"/>
    <w:semiHidden/>
    <w:unhideWhenUsed/>
    <w:qFormat/>
    <w:uiPriority w:val="99"/>
    <w:pPr>
      <w:ind w:left="100" w:leftChars="2500"/>
    </w:pPr>
  </w:style>
  <w:style w:type="paragraph" w:styleId="11">
    <w:name w:val="endnote text"/>
    <w:basedOn w:val="1"/>
    <w:link w:val="38"/>
    <w:semiHidden/>
    <w:unhideWhenUsed/>
    <w:qFormat/>
    <w:uiPriority w:val="99"/>
    <w:pPr>
      <w:snapToGrid w:val="0"/>
      <w:jc w:val="left"/>
    </w:pPr>
  </w:style>
  <w:style w:type="paragraph" w:styleId="12">
    <w:name w:val="Balloon Text"/>
    <w:basedOn w:val="1"/>
    <w:link w:val="39"/>
    <w:semiHidden/>
    <w:unhideWhenUsed/>
    <w:qFormat/>
    <w:uiPriority w:val="99"/>
    <w:rPr>
      <w:sz w:val="18"/>
      <w:szCs w:val="18"/>
    </w:rPr>
  </w:style>
  <w:style w:type="paragraph" w:styleId="13">
    <w:name w:val="footer"/>
    <w:basedOn w:val="1"/>
    <w:link w:val="40"/>
    <w:unhideWhenUsed/>
    <w:qFormat/>
    <w:uiPriority w:val="99"/>
    <w:pPr>
      <w:tabs>
        <w:tab w:val="center" w:pos="4153"/>
        <w:tab w:val="right" w:pos="8306"/>
      </w:tabs>
      <w:snapToGrid w:val="0"/>
      <w:jc w:val="left"/>
    </w:pPr>
    <w:rPr>
      <w:sz w:val="18"/>
      <w:szCs w:val="18"/>
    </w:rPr>
  </w:style>
  <w:style w:type="paragraph" w:styleId="14">
    <w:name w:val="header"/>
    <w:basedOn w:val="1"/>
    <w:link w:val="4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1134"/>
        <w:tab w:val="right" w:leader="dot" w:pos="6379"/>
      </w:tabs>
      <w:spacing w:after="100" w:line="276" w:lineRule="auto"/>
      <w:jc w:val="left"/>
    </w:pPr>
    <w:rPr>
      <w:kern w:val="0"/>
      <w:sz w:val="22"/>
    </w:rPr>
  </w:style>
  <w:style w:type="paragraph" w:styleId="16">
    <w:name w:val="toc 4"/>
    <w:basedOn w:val="1"/>
    <w:next w:val="1"/>
    <w:unhideWhenUsed/>
    <w:qFormat/>
    <w:uiPriority w:val="39"/>
    <w:pPr>
      <w:ind w:left="1260" w:leftChars="600"/>
    </w:pPr>
  </w:style>
  <w:style w:type="paragraph" w:styleId="17">
    <w:name w:val="footnote text"/>
    <w:basedOn w:val="1"/>
    <w:link w:val="42"/>
    <w:unhideWhenUsed/>
    <w:qFormat/>
    <w:uiPriority w:val="99"/>
    <w:pPr>
      <w:snapToGrid w:val="0"/>
      <w:jc w:val="left"/>
    </w:pPr>
    <w:rPr>
      <w:sz w:val="18"/>
      <w:szCs w:val="18"/>
    </w:rPr>
  </w:style>
  <w:style w:type="paragraph" w:styleId="18">
    <w:name w:val="toc 6"/>
    <w:basedOn w:val="1"/>
    <w:next w:val="1"/>
    <w:unhideWhenUsed/>
    <w:qFormat/>
    <w:uiPriority w:val="39"/>
    <w:pPr>
      <w:ind w:left="2100" w:leftChars="1000"/>
    </w:pPr>
  </w:style>
  <w:style w:type="paragraph" w:styleId="19">
    <w:name w:val="toc 2"/>
    <w:basedOn w:val="1"/>
    <w:next w:val="1"/>
    <w:unhideWhenUsed/>
    <w:qFormat/>
    <w:uiPriority w:val="39"/>
    <w:pPr>
      <w:widowControl/>
      <w:tabs>
        <w:tab w:val="right" w:leader="dot" w:pos="6379"/>
      </w:tabs>
      <w:spacing w:after="100" w:line="276" w:lineRule="auto"/>
      <w:jc w:val="left"/>
    </w:pPr>
    <w:rPr>
      <w:kern w:val="0"/>
      <w:sz w:val="22"/>
    </w:rPr>
  </w:style>
  <w:style w:type="paragraph" w:styleId="20">
    <w:name w:val="toc 9"/>
    <w:basedOn w:val="1"/>
    <w:next w:val="1"/>
    <w:unhideWhenUsed/>
    <w:qFormat/>
    <w:uiPriority w:val="39"/>
    <w:pPr>
      <w:ind w:left="3360" w:leftChars="1600"/>
    </w:pPr>
  </w:style>
  <w:style w:type="paragraph" w:styleId="21">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2">
    <w:name w:val="annotation subject"/>
    <w:basedOn w:val="6"/>
    <w:next w:val="6"/>
    <w:link w:val="43"/>
    <w:semiHidden/>
    <w:unhideWhenUsed/>
    <w:qFormat/>
    <w:uiPriority w:val="99"/>
    <w:rPr>
      <w:b/>
      <w:bCs/>
    </w:rPr>
  </w:style>
  <w:style w:type="table" w:styleId="24">
    <w:name w:val="Table Grid"/>
    <w:basedOn w:val="23"/>
    <w:qFormat/>
    <w:uiPriority w:val="0"/>
    <w:rPr>
      <w:rFonts w:ascii="Times New Roman" w:hAnsi="Times New Roman" w:eastAsia="宋体" w:cs="Times New Roman"/>
      <w:kern w:val="0"/>
      <w:sz w:val="20"/>
      <w:szCs w:val="20"/>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6">
    <w:name w:val="Strong"/>
    <w:basedOn w:val="25"/>
    <w:qFormat/>
    <w:uiPriority w:val="22"/>
    <w:rPr>
      <w:b/>
      <w:bCs/>
    </w:rPr>
  </w:style>
  <w:style w:type="character" w:styleId="27">
    <w:name w:val="endnote reference"/>
    <w:basedOn w:val="25"/>
    <w:semiHidden/>
    <w:unhideWhenUsed/>
    <w:qFormat/>
    <w:uiPriority w:val="99"/>
    <w:rPr>
      <w:vertAlign w:val="superscript"/>
    </w:rPr>
  </w:style>
  <w:style w:type="character" w:styleId="28">
    <w:name w:val="FollowedHyperlink"/>
    <w:basedOn w:val="25"/>
    <w:semiHidden/>
    <w:unhideWhenUsed/>
    <w:qFormat/>
    <w:uiPriority w:val="99"/>
    <w:rPr>
      <w:color w:val="800080" w:themeColor="followedHyperlink"/>
      <w:u w:val="single"/>
      <w14:textFill>
        <w14:solidFill>
          <w14:schemeClr w14:val="folHlink"/>
        </w14:solidFill>
      </w14:textFill>
    </w:rPr>
  </w:style>
  <w:style w:type="character" w:styleId="29">
    <w:name w:val="Emphasis"/>
    <w:basedOn w:val="25"/>
    <w:qFormat/>
    <w:uiPriority w:val="20"/>
    <w:rPr>
      <w:i/>
      <w:iCs/>
    </w:rPr>
  </w:style>
  <w:style w:type="character" w:styleId="30">
    <w:name w:val="Hyperlink"/>
    <w:basedOn w:val="25"/>
    <w:unhideWhenUsed/>
    <w:qFormat/>
    <w:uiPriority w:val="99"/>
    <w:rPr>
      <w:color w:val="333333"/>
      <w:u w:val="none"/>
    </w:rPr>
  </w:style>
  <w:style w:type="character" w:styleId="31">
    <w:name w:val="annotation reference"/>
    <w:basedOn w:val="25"/>
    <w:semiHidden/>
    <w:unhideWhenUsed/>
    <w:qFormat/>
    <w:uiPriority w:val="99"/>
    <w:rPr>
      <w:sz w:val="21"/>
      <w:szCs w:val="21"/>
    </w:rPr>
  </w:style>
  <w:style w:type="character" w:styleId="32">
    <w:name w:val="footnote reference"/>
    <w:basedOn w:val="25"/>
    <w:semiHidden/>
    <w:unhideWhenUsed/>
    <w:qFormat/>
    <w:uiPriority w:val="99"/>
    <w:rPr>
      <w:vertAlign w:val="superscript"/>
    </w:rPr>
  </w:style>
  <w:style w:type="character" w:customStyle="1" w:styleId="33">
    <w:name w:val="标题 1 Char"/>
    <w:basedOn w:val="25"/>
    <w:link w:val="2"/>
    <w:qFormat/>
    <w:uiPriority w:val="9"/>
    <w:rPr>
      <w:bCs/>
      <w:kern w:val="44"/>
      <w:sz w:val="24"/>
      <w:szCs w:val="44"/>
    </w:rPr>
  </w:style>
  <w:style w:type="character" w:customStyle="1" w:styleId="34">
    <w:name w:val="标题 2 Char"/>
    <w:basedOn w:val="25"/>
    <w:link w:val="3"/>
    <w:qFormat/>
    <w:uiPriority w:val="9"/>
    <w:rPr>
      <w:rFonts w:ascii="宋体" w:hAnsi="宋体" w:eastAsia="宋体" w:cs="宋体"/>
      <w:b/>
      <w:bCs/>
      <w:kern w:val="0"/>
      <w:sz w:val="36"/>
      <w:szCs w:val="36"/>
    </w:rPr>
  </w:style>
  <w:style w:type="character" w:customStyle="1" w:styleId="35">
    <w:name w:val="标题 3 Char"/>
    <w:basedOn w:val="25"/>
    <w:link w:val="4"/>
    <w:qFormat/>
    <w:uiPriority w:val="9"/>
    <w:rPr>
      <w:b/>
      <w:bCs/>
      <w:sz w:val="32"/>
      <w:szCs w:val="32"/>
    </w:rPr>
  </w:style>
  <w:style w:type="character" w:customStyle="1" w:styleId="36">
    <w:name w:val="批注文字 Char"/>
    <w:basedOn w:val="25"/>
    <w:link w:val="6"/>
    <w:semiHidden/>
    <w:qFormat/>
    <w:uiPriority w:val="99"/>
  </w:style>
  <w:style w:type="character" w:customStyle="1" w:styleId="37">
    <w:name w:val="日期 Char"/>
    <w:basedOn w:val="25"/>
    <w:link w:val="10"/>
    <w:semiHidden/>
    <w:qFormat/>
    <w:uiPriority w:val="99"/>
  </w:style>
  <w:style w:type="character" w:customStyle="1" w:styleId="38">
    <w:name w:val="尾注文本 Char"/>
    <w:basedOn w:val="25"/>
    <w:link w:val="11"/>
    <w:semiHidden/>
    <w:qFormat/>
    <w:uiPriority w:val="99"/>
  </w:style>
  <w:style w:type="character" w:customStyle="1" w:styleId="39">
    <w:name w:val="批注框文本 Char"/>
    <w:basedOn w:val="25"/>
    <w:link w:val="12"/>
    <w:semiHidden/>
    <w:qFormat/>
    <w:uiPriority w:val="99"/>
    <w:rPr>
      <w:sz w:val="18"/>
      <w:szCs w:val="18"/>
    </w:rPr>
  </w:style>
  <w:style w:type="character" w:customStyle="1" w:styleId="40">
    <w:name w:val="页脚 Char"/>
    <w:basedOn w:val="25"/>
    <w:link w:val="13"/>
    <w:qFormat/>
    <w:uiPriority w:val="99"/>
    <w:rPr>
      <w:sz w:val="18"/>
      <w:szCs w:val="18"/>
    </w:rPr>
  </w:style>
  <w:style w:type="character" w:customStyle="1" w:styleId="41">
    <w:name w:val="页眉 Char"/>
    <w:basedOn w:val="25"/>
    <w:link w:val="14"/>
    <w:semiHidden/>
    <w:qFormat/>
    <w:uiPriority w:val="99"/>
    <w:rPr>
      <w:sz w:val="18"/>
      <w:szCs w:val="18"/>
    </w:rPr>
  </w:style>
  <w:style w:type="character" w:customStyle="1" w:styleId="42">
    <w:name w:val="脚注文本 Char"/>
    <w:basedOn w:val="25"/>
    <w:link w:val="17"/>
    <w:qFormat/>
    <w:uiPriority w:val="99"/>
    <w:rPr>
      <w:sz w:val="18"/>
      <w:szCs w:val="18"/>
    </w:rPr>
  </w:style>
  <w:style w:type="character" w:customStyle="1" w:styleId="43">
    <w:name w:val="批注主题 Char"/>
    <w:basedOn w:val="36"/>
    <w:link w:val="22"/>
    <w:semiHidden/>
    <w:qFormat/>
    <w:uiPriority w:val="99"/>
    <w:rPr>
      <w:b/>
      <w:bCs/>
    </w:rPr>
  </w:style>
  <w:style w:type="character" w:customStyle="1" w:styleId="44">
    <w:name w:val="headline-1-index"/>
    <w:basedOn w:val="25"/>
    <w:qFormat/>
    <w:uiPriority w:val="0"/>
  </w:style>
  <w:style w:type="character" w:customStyle="1" w:styleId="45">
    <w:name w:val="headline-content"/>
    <w:basedOn w:val="25"/>
    <w:qFormat/>
    <w:uiPriority w:val="0"/>
  </w:style>
  <w:style w:type="paragraph" w:customStyle="1" w:styleId="46">
    <w:name w:val="z-catalog-i1"/>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47">
    <w:name w:val="catalog-item-index1"/>
    <w:basedOn w:val="25"/>
    <w:qFormat/>
    <w:uiPriority w:val="0"/>
  </w:style>
  <w:style w:type="paragraph" w:styleId="48">
    <w:name w:val="List Paragraph"/>
    <w:basedOn w:val="1"/>
    <w:qFormat/>
    <w:uiPriority w:val="34"/>
    <w:pPr>
      <w:ind w:firstLine="420" w:firstLineChars="200"/>
    </w:pPr>
    <w:rPr>
      <w:rFonts w:ascii="Calibri" w:hAnsi="Calibri" w:eastAsia="宋体" w:cs="Times New Roman"/>
    </w:rPr>
  </w:style>
  <w:style w:type="paragraph" w:customStyle="1" w:styleId="49">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50">
    <w:name w:val="ss2"/>
    <w:basedOn w:val="25"/>
    <w:qFormat/>
    <w:uiPriority w:val="0"/>
  </w:style>
  <w:style w:type="character" w:customStyle="1" w:styleId="51">
    <w:name w:val="doc_title"/>
    <w:basedOn w:val="25"/>
    <w:qFormat/>
    <w:uiPriority w:val="0"/>
  </w:style>
  <w:style w:type="character" w:customStyle="1" w:styleId="52">
    <w:name w:val="fw2"/>
    <w:basedOn w:val="25"/>
    <w:qFormat/>
    <w:uiPriority w:val="0"/>
  </w:style>
  <w:style w:type="character" w:customStyle="1" w:styleId="53">
    <w:name w:val="style7"/>
    <w:basedOn w:val="25"/>
    <w:qFormat/>
    <w:uiPriority w:val="0"/>
  </w:style>
  <w:style w:type="paragraph" w:customStyle="1" w:styleId="54">
    <w:name w:val="ha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5">
    <w:name w:val="style6"/>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56">
    <w:name w:val="layui-this"/>
    <w:basedOn w:val="25"/>
    <w:qFormat/>
    <w:uiPriority w:val="0"/>
    <w:rPr>
      <w:bdr w:val="single" w:color="EEEEEE" w:sz="6" w:space="0"/>
      <w:shd w:val="clear" w:color="auto" w:fill="FFFFFF"/>
    </w:rPr>
  </w:style>
  <w:style w:type="character" w:customStyle="1" w:styleId="57">
    <w:name w:val="layui-laypage-curr"/>
    <w:basedOn w:val="25"/>
    <w:qFormat/>
    <w:uiPriority w:val="0"/>
  </w:style>
  <w:style w:type="character" w:customStyle="1" w:styleId="58">
    <w:name w:val="first-child"/>
    <w:basedOn w:val="25"/>
    <w:qFormat/>
    <w:uiPriority w:val="0"/>
  </w:style>
  <w:style w:type="character" w:customStyle="1" w:styleId="59">
    <w:name w:val="layui-this2"/>
    <w:basedOn w:val="25"/>
    <w:qFormat/>
    <w:uiPriority w:val="0"/>
    <w:rPr>
      <w:bdr w:val="single" w:color="EEEEEE" w:sz="6" w:space="0"/>
      <w:shd w:val="clear" w:color="auto" w:fill="FFFFFF"/>
    </w:rPr>
  </w:style>
  <w:style w:type="paragraph" w:customStyle="1" w:styleId="60">
    <w:name w:val="Revision"/>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61">
    <w:name w:val="前言、引言标题"/>
    <w:next w:val="1"/>
    <w:qFormat/>
    <w:uiPriority w:val="0"/>
    <w:pPr>
      <w:keepNext/>
      <w:pageBreakBefore/>
      <w:shd w:val="clear" w:color="FFFFFF" w:fill="FFFFFF"/>
      <w:spacing w:before="640" w:after="560"/>
      <w:jc w:val="center"/>
      <w:outlineLvl w:val="0"/>
    </w:pPr>
    <w:rPr>
      <w:rFonts w:ascii="黑体" w:hAnsi="Calibri" w:eastAsia="黑体" w:cs="Times New Roman"/>
      <w:kern w:val="0"/>
      <w:sz w:val="32"/>
      <w:szCs w:val="20"/>
      <w:lang w:val="en-US" w:eastAsia="zh-CN" w:bidi="ar-SA"/>
    </w:rPr>
  </w:style>
  <w:style w:type="paragraph" w:customStyle="1" w:styleId="62">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b/>
      <w:color w:val="376092" w:themeColor="accent1" w:themeShade="BF"/>
      <w:kern w:val="0"/>
      <w:sz w:val="28"/>
      <w:szCs w:val="28"/>
    </w:rPr>
  </w:style>
  <w:style w:type="paragraph" w:customStyle="1" w:styleId="63">
    <w:name w:val="一级条标题"/>
    <w:next w:val="1"/>
    <w:qFormat/>
    <w:uiPriority w:val="0"/>
    <w:pPr>
      <w:spacing w:beforeLines="50" w:afterLines="50"/>
      <w:outlineLvl w:val="2"/>
    </w:pPr>
    <w:rPr>
      <w:rFonts w:ascii="黑体" w:hAnsi="Calibri" w:eastAsia="黑体" w:cs="Times New Roman"/>
      <w:kern w:val="0"/>
      <w:sz w:val="21"/>
      <w:szCs w:val="21"/>
      <w:lang w:val="en-US" w:eastAsia="zh-CN" w:bidi="ar-SA"/>
    </w:rPr>
  </w:style>
  <w:style w:type="character" w:customStyle="1" w:styleId="64">
    <w:name w:val="apple-converted-space"/>
    <w:basedOn w:val="25"/>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 Inc.</Company>
  <Pages>20</Pages>
  <Words>10141</Words>
  <Characters>10896</Characters>
  <Lines>82</Lines>
  <Paragraphs>23</Paragraphs>
  <TotalTime>0</TotalTime>
  <ScaleCrop>false</ScaleCrop>
  <LinksUpToDate>false</LinksUpToDate>
  <CharactersWithSpaces>11041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2022-06-27T05:14:00Z</dcterms:created>
  <dc:creator>hp</dc:creator>
  <cp:lastModifiedBy>黄晶</cp:lastModifiedBy>
  <dcterms:modified xsi:type="dcterms:W3CDTF">2022-09-26T01:57:47Z</dcterms:modified>
  <cp:revision>210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6554B88D9E0040EFBD1317646D05A7E2</vt:lpwstr>
  </property>
</Properties>
</file>