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Ind w:w="-182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4798"/>
        <w:gridCol w:w="2853"/>
        <w:gridCol w:w="2504"/>
      </w:tblGrid>
      <w:tr w:rsidR="00A5789E" w:rsidRPr="00A5789E" w:rsidTr="00A5789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MB1846817/2022-00053</w:t>
            </w:r>
          </w:p>
        </w:tc>
        <w:tc>
          <w:tcPr>
            <w:tcW w:w="2389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经办服务  </w:t>
            </w:r>
          </w:p>
        </w:tc>
      </w:tr>
      <w:tr w:rsidR="00A5789E" w:rsidRPr="00A5789E" w:rsidTr="00A5789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2389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2022-07-20</w:t>
            </w:r>
          </w:p>
        </w:tc>
      </w:tr>
      <w:tr w:rsidR="00A5789E" w:rsidRPr="00A5789E" w:rsidTr="00A5789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关于规范优化基本医疗保险参保人员医疗费用手工（零星）报销服务工作的通知</w:t>
            </w:r>
          </w:p>
        </w:tc>
      </w:tr>
      <w:tr w:rsidR="00A5789E" w:rsidRPr="00A5789E" w:rsidTr="00A5789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bookmarkStart w:id="0" w:name="_GoBack"/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保办发〔2022〕35号</w:t>
            </w:r>
            <w:bookmarkEnd w:id="0"/>
          </w:p>
        </w:tc>
      </w:tr>
      <w:tr w:rsidR="00A5789E" w:rsidRPr="00A5789E" w:rsidTr="00A5789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A5789E" w:rsidRPr="00A5789E" w:rsidRDefault="00A5789E" w:rsidP="00A5789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A5789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A5789E" w:rsidRPr="00A5789E" w:rsidRDefault="00A5789E" w:rsidP="00A578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A5789E" w:rsidRPr="00A5789E" w:rsidRDefault="00A5789E" w:rsidP="00A5789E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A5789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关于规范优化基本医疗保险参保人员医疗费用</w:t>
      </w:r>
      <w:r w:rsidRPr="00A5789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br/>
        <w:t>手工（零星）报销服务工作的通知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各设区市医疗保障局：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基本医疗保险参保人员医疗费用手工（零星）报销（以下简称“手工报销”）事关参保群众切身利益，按照2022年全省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保民生实事工作部署和《全省医疗保障经办政务服务事项清单和办事指南（2022版）》要求，为进一步统一服务流程、优化办理环节、提升工作质效，现就规范优化全省手工报销服务工作有关事项通知如下：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一、总体要求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坚持便民利民、高效便捷、公开透明，规范统一手工报销办理办理层级、流程和时限，持续优化提升服务水平，实现参保人员办理手工报销即来即转、快审快办，单次门诊小额费用5个工作日内办结，一般业务10个工作日内办结，特殊情况不超过20个工作日，实现手工报销“线下快速办”。建设全省统一的手工报销入口，开通办理进度查询、提醒功能，实现手工报销“零跑腿”“网上及时办”，进一步提升参保群众的获得感和满意度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lastRenderedPageBreak/>
        <w:t>二、规范统一手工报销业务办理层级、流程和时限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（一）规范办理层级。手工报销由设区市和县（市、区）两级负责办理，乡镇（街道）“15分钟服务圈”服务点应受理并提供帮办代办服务。各地不得将县（市、区）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级办理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权限上收。具备条件的设区市可探索将一定额度的手工报销权限下放至乡镇（街道）“15分钟服务圈”服务点，并配套制定相应管理办法，明确职责分工、经办流程、分级审核、权限设置、定期抽查、保密制度等配套管理措施，报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保中心备案。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二）统一业务流程。按照全省统一的经办服务流程（见附件1）开展手工报销业务办理，明确受理、初审、审核、复审、支付等岗位环节权限及要求。全面落实内控管理要求，根据核定的费用数额大小执行分级审批制度，依规明确审核权限。各地可进一步简化流程，为参保人员提供更加高效便捷的经办服务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三）严格办理时限。建立顺畅的岗位对接工作机制，加强经办人员业务能力培训，进一步提升服务效能，一般业务10个工作日内办结，特殊情况需开展费用查证的不超过20个工作日。特殊情况应提前告知参保人员，具体为需要查证的费用，包括单次或年度累计费用达一定金额以上（一般不低于5万元）、需要异地稽核或协查的医疗费用、外伤核查、急诊鉴定、存疑报销单据等；单位批量报送报销材料等情形。因医疗费用审核时所用药品或诊疗耗材有限定支付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范围需参保人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员提供辅助材料、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容缺受理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后补齐材料时间不纳入办理时限。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三、进一步压缩单次门诊小额费用办理时限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对单次门诊1000元以下小额费用手工报销业务，进一步简化审核环节和流程，将办理时限压缩至5个工作日。有条件的地区可以根据实际工作情况，进一步优化流程和压缩办理时限。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lastRenderedPageBreak/>
        <w:t>四、统一全省线上办理入口，实现手工报销网上办、掌上办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（一）建设全省统一的线上服务入口。根据全省统一的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保手工报销业务流程，在全省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保公共服务网上办事大厅、“江苏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保云”APP中开发“医保报销”功能模块，统一手工报销业务线上受理。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二）统一线上受理申报材料。参保人在线提交医院收费票据、费用清单、处方底方或病历资料（门诊）、诊断证明或出院小结（住院）以及事项清单中规定的其他材料，由参保地经办机构线上核对确认后，再将纸质材料邮寄至指定经办机构即完成手工报销申报业务。鼓励各地实行电子化档案，探索取消材料邮寄环节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（三）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实现线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上办理报销进度查询。根据规定办结时限设置倒计时提示，参保人员可在“江苏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保云”APP实时查询办理进度、打印报销清单，办结后平台即时提供手机短信提醒服务。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（四）做好本地系统改造。各地要按照统一部署要求，做好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保手工报销系统对接、接口改造、测试运行监测等工作，持续推动功能模块优化完善，同步完成本地APP手工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报销线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上办理功能改造，接入“江苏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保云”。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五、保障措施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一）统一思想认识。要提高政治站位，压实工作责任，严格对照全省统一的手工报销服务流程，组织自查整改，确保7月底前按相关要求落实到位。生育保险、医疗救助和离休人员费用报销流程参照本规定执行，办理材料按照《全省基本医疗保险经办政务服务事项清单》规定执行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（二）强化日常管理。要强化日常监督，严格内控管理，经常性开展廉政教育，有效防范风险隐患。严格零星报销业务材料存档管理，申请材料按照受理单号形成</w:t>
      </w: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lastRenderedPageBreak/>
        <w:t>报销档案。各设区市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保经办机构要定期组织所辖县（市、区）开展核查整改，每年核查范围不低于手工报销支付单据总数的5%，切实提升整体经办服务水平。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（三）健全工作机制。建立费用查证机制，对特殊情况的采取电话、信函、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实地或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委托第三方机构等形式开展查证工作，确保基金支出合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规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。建立费用会审机制，对疑难业务建立审核、复核、稽查、财务等部门工作人员共同参与会审机制，集体商议研究，明确处理意见。要建立智能比对机制，依托智能监控系统、电子票据核查系统，对相关费用和票据进行审核，更好发挥大数据作用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（四）加强宣传培训。要进一步强化便民服务理念，在门户网站、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微信公众号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、经办大厅等线上线下多种渠道，加大对手工报销“线上办”“快速办”的宣传引导，指导参保群众熟练使用相关功能操作。要加强对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保经办人员关于本地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保待遇政策、结算报销等基本</w:t>
      </w:r>
      <w:proofErr w:type="gramStart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医</w:t>
      </w:r>
      <w:proofErr w:type="gramEnd"/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保业务的学习培训，做到“一口清”“问不倒”。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附件：</w:t>
      </w:r>
      <w:hyperlink r:id="rId5" w:history="1">
        <w:r w:rsidRPr="00A5789E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  <w:bdr w:val="none" w:sz="0" w:space="0" w:color="auto" w:frame="1"/>
          </w:rPr>
          <w:t>全省基本医疗保险参保人员医疗费用手工（零星）报销服务流程</w:t>
        </w:r>
        <w:r w:rsidRPr="00A5789E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.</w:t>
        </w:r>
        <w:proofErr w:type="gramStart"/>
        <w:r w:rsidRPr="00A5789E">
          <w:rPr>
            <w:rFonts w:ascii="微软雅黑" w:eastAsia="微软雅黑" w:hAnsi="微软雅黑" w:cs="宋体" w:hint="eastAsia"/>
            <w:color w:val="333333"/>
            <w:kern w:val="0"/>
            <w:sz w:val="23"/>
            <w:szCs w:val="23"/>
          </w:rPr>
          <w:t>pdf</w:t>
        </w:r>
        <w:proofErr w:type="gramEnd"/>
      </w:hyperlink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  <w:bdr w:val="none" w:sz="0" w:space="0" w:color="auto" w:frame="1"/>
        </w:rPr>
        <w:br/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  <w:bdr w:val="none" w:sz="0" w:space="0" w:color="auto" w:frame="1"/>
        </w:rPr>
        <w:br/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                           江苏省医疗保障局         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                                 2022年7月20日         </w:t>
      </w:r>
    </w:p>
    <w:p w:rsidR="00A5789E" w:rsidRPr="00A5789E" w:rsidRDefault="00A5789E" w:rsidP="00A5789E">
      <w:pPr>
        <w:widowControl/>
        <w:shd w:val="clear" w:color="auto" w:fill="FFFFFF"/>
        <w:spacing w:line="42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5789E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（此件公开发布）</w:t>
      </w:r>
    </w:p>
    <w:p w:rsidR="003621BE" w:rsidRDefault="003621BE"/>
    <w:sectPr w:rsidR="00362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9E"/>
    <w:rsid w:val="003621BE"/>
    <w:rsid w:val="00A5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A57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57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578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A57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57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578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ybj.jiangsu.gov.cn/module/download/downfile.jsp?classid=0&amp;filename=ee1fe2d5047e4ef1b57368d8849d450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2023-01-03T07:44:00Z</dcterms:created>
  <dcterms:modified xsi:type="dcterms:W3CDTF">2023-01-03T07:45:00Z</dcterms:modified>
</cp:coreProperties>
</file>