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2023年度</w:t>
              <w:br w:type="textWrapping"/>
              <w:t/>
            </w:r>
            <w:r>
              <w:rPr>
                <w:rFonts w:ascii="宋体" w:hAnsi="宋体" w:cs="宋体" w:eastAsia="宋体"/>
                <w:b w:val="true"/>
                <w:sz w:val="52"/>
              </w:rPr>
              <w:t>常州市生态环境监控中心</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2023</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常州市生态环境监控中心负责全市环境执法监测和应急监测，生态环境信息系统建设管理和大数据应用开发，移动源污染监管的技术支持，承担环境宣传教育工作。主要职责是：</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（一）负责编制生态环境监测监控能力和信息化建设规划，协助编制全市生态环境监测和信息年度工作计划，承担环境统计的技术工作。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承担环境执法监测、溯源监测及各类专项工作的现场采样和实验分析，组织实施辐射环境质量监测和执法监测，组织做好突发环境污染事故和辐射事故应急监测，参与重大环境污染事件和跨区域污染事件的现场调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（三）承担市级生态环境监测监控相关信息系统的开发建设和运维管理；负责市级生态环境大数据中心建设，全市生态环境信息归集，以及生态环境大数据管理和开发应用；承担市级信息化基础设施建设与运维。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（四）负责环境质量和污染源预警及各类综合分析工作；组织监控数据、监测数据超标预警转办督办工作；负责事权范围内水质、大气和噪声自动站运维机构的质量监管和技术指导。</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（五）参与制定全市机动车和非道路移动机械污染防治工作计划，开展机动车环保检测机构日常监督管理。负责全市机动车和非道路移动机械排气污染防治日常监管以及油气污染治理督查的技术支持。</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（六）承担环境监测质量保证与质量控制的技术支持工作；提供技术培训、环境监测与信息服务；协助对社会化环境检测机构、排污单位自行监测开展监督与检查。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（七）负责开展生态环境保护宣传教育工作。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组织宣教科、综合业务科、监控预警科、分析测试科、监测与应急科（环境调查一科）、移动源与辐射科（环境调查二科）、系统建设运行科。市生态环境监控中心设7个分支机构，分别为溧阳分中心、金坛分中心、武进分中心、新北分中心、天宁分中心、钟楼分中心、经开区分中心，规格均相当于副科级，主要负责区域范围事权内的执法监测、应急监测、预警响应和溯源监测等工作。</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2023</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2023年将是常州市生态环境监控中心乘势而为、勇毅奋进的关键之年，我中心将以党的二十大精神为指引，在市局坚强领导和各职能处室全力支持下，按照“人无我有，人有我优，人优我特”的发展思路，紧扣“全国知名、省内一流”这一建设目标，全力强化现代化生态环境监测和监控两项核心能力，锻造全国知名的城市水生态环境保护监管能力；全省一流的非现场监管和动力电池全产业链监管能力；全市领先的环境信息化平台，奋力走在全省地市级监测监控能力建设前列，具体在“融”、“全”、“先”、“专”几个字上下功夫。</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融”。树立“一体化”、“同心圆”思想，首先，做到监测与监控业务工作的融合互通，努力构建“自动监测感知-智能研判报警-现场监测溯源-线索移交调度-趋势跟踪分析”的业务主体系。其次，统一规划全市生态环境监测网络，在厘清事权、需求和短板的基础上，推进市区两级监测能力融合，本部强化执法应急和监测溯源能力，武进分中心强化水环境监测能力，金坛分中心强化农业面源监测能力，溧阳分中心强化生态环境监测能力，构建协同补位的监测新格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全”。一是深化监测能力全覆盖，在已有89项监测能力的基础上，重点服务执法监测、涉VOCs工业园区和企业集群监测、农业面源试点监测，2023年进一步完善废水和废气特征因子，开发土壤常规和重金属监测项目能力，力争监测能力突破150项。二是推进排污单位全联全控，持续集成全市排污许可企业各工段用能、工况、视频、污染排放情况监控联网；三是完善环境信息全领域归集，借力市“一网统管”数据共享机制，着力推进住建、资规、农业农村、市场监管、气象、水文、供排水、交通等相关部门数据互通；积极对接国省业务数据，持续推进排污许可发证单位、重点污染源、VOC企业、危废监管企业、重点园区等自动监控数据回流，推进历史环境质量监测数据活化入库，为防范环境业务管理风险和开展趋势分析奠定基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先”。2023年，我中心将结合领先优势，着力提升三大监管能力。水生态环境信息化监管方面，配合即将颁布实施的《常州市水生态环境保护条例》，整合和提升现有水环境管理信息系统，充分利用全市图像矩阵资源、自动站点数据、人工AI识别和eDNA监测技术，建立覆盖全市的河流、湖泊的水文、水质、水生生物多样性数据采集系统，建设水污染源监控、水环境管理、水安全应急、水生态评估、水文化展示“五位一体”的城市水生态环境信息化监管平台。动力电池全产业链和全生命周期监管方面，开展动力电池行业正负极材料、电池隔膜、结构件生产与动力电池使用到资源化回收处理各个关键环节的环境评估，突出新动力电池突发环境事件污染排放情况及风险隐患快速测定能力，含重金属及其化合物、非甲烷总烃、氟化物等有毒有害物质监测能力。非现场监管方面，重点编制完善我市“三项制度”，一是编制电子证据技术审核规范，完善异常数据研判规则，剔除设备故障、错误报警等无效数据；二是编制自动监测设备质控管理制度，指导督促比对监测等质控工作，保障自动监测监控数据的完整性和准确性；三是建立各类监测监控数据巡查制度，将巡查发现涉嫌违法的数据线索推送至企业和属地生态环境部门，形成闭环管理流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专”。重点提升环境溯源调查和综合分析两项专业技术能力。提升环境溯源调查，针对环境质量目标达标的痛点难点、污染状况频发区域，探索构建手工、自动、无人机、遥感、走航车等多种方式融合的溯源监测技术路线，提升关联性分析和精准溯源研究能力，为管理部门制定合理的污染治理措施和断面达标方案奠定基础。提升综合分析能力，一是尽快培养一批了解常州市生态环境特征，熟悉产业污染特点，并具备监测基础能力的复合型人才；二是针对热点环境问题开展研究，深入调查分析，逐步积累经验和成果，编写高质量综合分析报告。</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常州市生态环境监控中心</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cantSplit/>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cantSplit/>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cantSplit/>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常州市生态环境监控中心</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cantSplit/>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cantSplit/>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1,807.09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408.70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11.89</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2,040.87</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163.03</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2,215.79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2,215.79</w:t>
            </w:r>
          </w:p>
        </w:tc>
      </w:tr>
      <w:tr>
        <w:tblPrEx>
          <w:tblCellMar>
            <w:top w:w="0" w:type="dxa"/>
            <w:left w:w="108" w:type="dxa"/>
            <w:bottom w:w="0" w:type="dxa"/>
            <w:right w:w="108" w:type="dxa"/>
          </w:tblCellMar>
        </w:tblPrEx>
        <w:trPr>
          <w:cantSplit/>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2,215.79</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2,215.79</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2,215.79</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2,215.79</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1,807.09</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408.70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033005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常州市生态环境监控中心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2,215.79</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2,215.79</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1,807.09</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408.70</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cantSplit/>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cantSplit/>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cantSplit/>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cantSplit/>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2,215.79</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807.09</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1,408.70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节能环保支出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2,040.87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632.17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1,408.70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2,040.87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632.17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1,408.70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2110199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其他环境保护管理事务支出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2,040.87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632.17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1,408.70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5"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cantSplit/>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常州市生态环境监控中心</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cantSplit/>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1,807.09</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1,807.09</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1,807.09</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11.89</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1,632.17</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163.03</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1,807.09</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1,807.09</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cantSplit/>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1,807.09</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807.09</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758.54</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48.55</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节能环保支出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1,632.17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632.17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583.62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48.55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1,632.17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632.17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583.62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48.55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2110199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其他环境保护管理事务支出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1,632.17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632.17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583.62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48.55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51.49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51.49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44.09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44.09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44.09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cantSplit/>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cantSplit/>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cantSplit/>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常州市生态环境监控中心</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cantSplit/>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807.09</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758.54</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758.54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758.54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129.87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111.54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136.30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179.75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179.75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49.54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cantSplit/>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1,807.09</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807.09</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758.54</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48.55</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1,632.17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632.17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583.62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48.55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环境保护管理事务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1,632.17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632.17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583.62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48.55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2110199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其他环境保护管理事务支出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1,632.17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632.17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583.62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48.55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4"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cantSplit/>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cantSplit/>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cantSplit/>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cantSplit/>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807.09</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758.54</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758.54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758.54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129.87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129.87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111.54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136.30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179.75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179.75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49.54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48.55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cantSplit/>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cantSplit/>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cantSplit/>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cantSplit/>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0.87</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0.87</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2.61</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8"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cantSplit/>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cantSplit/>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cantSplit/>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cantSplit/>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cantSplit/>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cantSplit/>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cantSplit/>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cantSplit/>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cantSplit/>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cantSplit/>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cantSplit/>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cantSplit/>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cantSplit/>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cantSplit/>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90"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1192"/>
        <w:gridCol w:w="1200"/>
        <w:gridCol w:w="1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常州市生态环境监控中心</w:t>
            </w:r>
          </w:p>
        </w:tc>
        <w:tc>
          <w:tcPr>
            <w:tcW w:w="461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p>
        </w:tc>
        <w:tc>
          <w:tcPr>
            <w:tcW w:w="1548"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1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548"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548"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9" w:type="default"/>
          <w:pgSz w:w="16838" w:h="11906" w:orient="landscape"/>
          <w:pgMar w:top="1320" w:right="567" w:bottom="13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常州市生态环境监控中心2023年度收入、支出预算总计2,215.79万元，与上年相比收、支预算总计各增加989.91万元，增长80.75%。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（一）收入预算总计2,215.79万元。包括：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1．本年收入合计2,215.79万元。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（1）一般公共预算拨款收入1,807.09万元，与上年相比增加581.21万元，增长47.41%。主要原因是人员增加。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（4）财政专户管理资金收入408.7万元，与上年相比增加408.7万元（去年预算数为0万元，无法计算增减比率）。主要原因是监控中心监测监控能力建设筹建经费尾款。</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（二）支出预算总计2,215.79万元。包括：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1．本年支出合计2,215.79万元。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（1）卫生健康支出（类）支出11.89万元，主要用于公务员医疗补助。与上年相比增加7.91万元，增长198.74%。主要原因是人员增加。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（2）节能环保支出（类）支出2,040.87万元，主要用于其他环境保护管理事务支出。与上年相比增加883.21万元，增长76.29%。主要原因是一是人员增加致基本支出增加，二是2023年增加了历年结余支出408.7万。</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（3）住房保障支出（类）支出163.03万元，主要用于员工住房公积金、提租补贴和购房补贴。与上年相比增加98.79万元，增长153.78%。主要原因是人员增加。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常州市生态环境监控中心2023年收入预算合计2,215.79万元，包括本年收入2,215.79万元，上年结转结余0万元。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本年一般公共预算收入1,807.09万元，占81.56%；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本年财政专户管理资金408.7万元，占18.44%；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常州市生态环境监控中心2023年支出预算合计2,215.79万元，其中：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基本支出807.09万元，占36.42%；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项目支出1,408.7万元，占63.58%；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常州市生态环境监控中心2023年度财政拨款收、支总预算1,807.09万元。与上年相比，财政拨款收、支总计各增加581.21万元，增长47.41%。主要原因是人员增加。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常州市生态环境监控中心2023年财政拨款预算支出1,807.09万元，占本年支出合计的81.56%。与上年相比，财政拨款支出增加581.21万元，增长47.41%。主要原因是人员增加导致的人员基本支出增加。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行政事业单位医疗（款）公务员医疗补助（项）支出11.89万元，与上年相比增加7.91万元，增长198.74%。主要原因是人员增加。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环境保护管理事务（款）其他环境保护管理事务支出（项）支出1,632.17万元，与上年相比增加474.51万元，增长40.99%。主要原因是人员增加。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1.住房改革支出（款）住房公积金（项）支出51.49万元，与上年相比增加31.2万元，增长153.77%。主要原因是人员增加。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2.住房改革支出（款）提租补贴（项）支出44.09万元，与上年相比增加39.46万元，增长852.27%。主要原因是人员增加。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3.住房改革支出（款）购房补贴（项）支出67.45万元，与上年相比增加28.13万元，增长71.54%。主要原因是人员增加。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常州市生态环境监控中心2023年度财政拨款基本支出预算807.09万元，其中：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758.54万元。主要包括：基本工资、津贴补贴、奖金、绩效工资、机关事业单位基本养老保险缴费、职业年金缴费、职工基本医疗保险缴费、公务员医疗补助缴费、其他社会保障缴费、住房公积金、其他工资福利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（二）公用经费48.55万元。主要包括：办公费、水费、电费、差旅费、会议费、培训费、公务接待费、工会经费、福利费。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常州市生态环境监控中心2023年一般公共预算财政拨款支出预算1,807.09万元，与上年相比增加581.21万元，增长47.41%。主要原因是人员增加。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常州市生态环境监控中心2023年度一般公共预算财政拨款基本支出预算807.09万元，其中：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758.54万元。主要包括：基本工资、津贴补贴、奖金、绩效工资、机关事业单位基本养老保险缴费、职业年金缴费、职工基本医疗保险缴费、公务员医疗补助缴费、其他社会保障缴费、住房公积金、其他工资福利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（二）公用经费48.55万元。主要包括：办公费、水费、电费、差旅费、会议费、培训费、公务接待费、工会经费、福利费。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度一般公共预算拨款安排的“三公”经费预算支出中，因公出国（境）费支出0万元，占“三公”经费的0%；公务用车购置及运行维护费支出0万元，占“三公”经费的0%；公务接待费支出0.87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（2）公务用车运行维护费预算支出0万元，比上年预算减少42.26万元，主要原因是本单位无公务用车运行维护费，去年的42.26万应为其他交通费用。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3．公务接待费预算支出0.87万元，比上年预算增加0.54万元，主要原因是在职人员增加，业务工作量增加，公用经费安排相应增加。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常州市生态环境监控中心2023年度一般公共预算拨款安排的会议费预算支出2.61万元，比上年预算增加1.62万元，主要原因是在职人员增加，公用经费安排相应增加。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常州市生态环境监控中心2023年度一般公共预算拨款安排的培训费预算支出1.16万元，比上年预算减少4.28万元，主要原因是2023年度预算中核减了项目预算中安排的培训费。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常州市生态环境监控中心2023年国有资本经营预算支出0万元。与上年预算数相同。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2023年本单位一般公共预算机关运行经费预算支出0万元。与上年预算数相同。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2023年度政府采购支出预算总额0万元，其中：拟采购货物支出0万元、拟采购工程支出0万元、拟采购服务支出0万元。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5辆，其中，副部（省）级及以上领导用车0辆、主要领导干部用车0辆、机要通信用车0辆、应急保障用车0辆、执法执勤用车0辆、特种专业技术用车0辆、离退休干部用车0辆，其他用车5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2023年度，本单位整体支出纳入绩效目标管理，涉及财政性资金2,215.79万元；本单位共1个项目纳入绩效目标管理，涉及财政性资金合计2,215.79万元，占财政性资金(基本支出除外)总额的比例为100%。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九、节能环保支出(类)环境保护管理事务(款)其他环境保护管理事务支出(项)</w:t>
      </w:r>
      <w:r>
        <w:rPr>
          <w:rFonts w:ascii="仿宋" w:hAnsi="仿宋" w:cs="仿宋" w:eastAsia="仿宋"/>
          <w:b w:val="true"/>
        </w:rPr>
        <w:t>：</w:t>
      </w:r>
      <w:r>
        <w:rPr>
          <w:rFonts w:hint="eastAsia" w:ascii="仿宋" w:hAnsi="仿宋" w:eastAsia="仿宋" w:cs="仿宋"/>
        </w:rPr>
        <w:t>反映除上述项目以外其他用于环境保护管理事务方面的支出。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常州市生态环境监控中心</w:t>
    </w:r>
    <w:r>
      <w:t>2023</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4460AE"/>
    <w:rsid w:val="005F037B"/>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6541</Characters>
  <Paragraphs>501</Paragraphs>
  <TotalTime>0</TotalTime>
  <ScaleCrop>false</ScaleCrop>
  <LinksUpToDate>false</LinksUpToDate>
  <CharactersWithSpaces>6558</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2023-01-07T05:20:42Z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2052-11.1.0.12763</vt:lpwstr>
  </property>
  <property fmtid="{D5CDD505-2E9C-101B-9397-08002B2CF9AE}" pid="6" name="LastSaved">
    <vt:filetime>2021-04-15T00:00:00Z</vt:filetime>
  </property>
</Properties>
</file>