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常州市环境科学研究院</w:t>
            </w:r>
            <w:r>
              <w:rPr>
                <w:rFonts w:ascii="宋体" w:hAnsi="宋体" w:cs="宋体" w:eastAsia="宋体"/>
                <w:b w:val="true"/>
                <w:sz w:val="52"/>
              </w:rPr>
              <w:t xml:space="preserve"></w:t>
              <w:br w:type="textWrapping"/>
              <w:t>单位决算公开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开展生态环境保护相关法律、法规、政策研究，参与生态环境规划和方案编制。开展生态环境科学研究，开展生态环境保护技术示范推广和技术咨询等公益性服务。承办上级交办的其他任务。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办公室、规划政策所、科研所。</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由于今年人员调整力度较大，我院明年将继续面临技术人员短缺的困境，这将对我院服务环境管理的能力造成严峻挑战。明年，我院将继续加强各项能力建设，匹配履职需求，积极为支撑我市生态环境管理工作蓄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深化环保规划政策研究。紧密围绕我市“532”发展战略及生态环境管理需求持续开展环保规划政策研究。积极对接“两湖”创新区总体规划，探索“两湖”流域河流湖泊生态缓冲区划定规则，结合“三线一单”，系统研究两湖流域空间管控工作；积极参与编制“两湖”水生态环境保护规划，为我市“两湖”创新区高质量发展提供有效支撑。</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强化科研引领带动作用。一是成立智慧环保大数据研发中心，加强与国内知名院所合作，设立智慧环保大数据专家库，通过引智用智，提升我院生态环境智慧管理决策支撑水平。二是持续开展新孟河工程对河湖水生态环境影响跟踪研究、闸坝对河流水生态环境影响研究、污染物溯源研究、农业面源污染过程研究、水华蓝藻预测及预警研究等工作，为我市水生态环境精细化管控提供支撑。三是进一步开展土壤环境风险管控技术方法、环境管理方面的研究及探索，开发构建符合我市的技术方法和管理体系。通过科研发展能力、提高技术水平，助力我市打好污染防治攻坚战。</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积极推进队伍能力建设。续去年常环公司脱钩以后，我院又发生较大人员调整，我院将实有人员10名（含3名外借），技术实力大幅削弱。为尽快形成服务环境管理的技术能力，根据我院职能需求，急需招聘3名专业技术人员，补齐能力缺位。同时，结合科室设置及管理需求，进一步优化人员配置，着力开展生态环境政策研究和各项瓶颈技术研发，做好技术分析和环境管理技术保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打造生物多样性公益名片。积极推进三江口公园生物多样性实践教育基地样板建设，持续优化常州外国语学校公益课程，形成目标清晰、体系合理、知识新颖的公益课教程；邀请业内知名专家开设专题讲座，拓展学生视野，激发青少年生物多样性保护热忱，带领他们积极参与到生物多样性保护中，为我市生物多样性保护宣传助力。</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常州市环境科学研究院</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常州市环境科学研究院</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490.71</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58.35</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210.12</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16.11</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1.19</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11.92</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642.12</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99.85</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759.18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771.18</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12.00</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771.18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771.18</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759.18</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490.71</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58.35</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210.12</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科学技术支出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技术研究与开发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其他技术研究与开发支出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630.12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361.64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58.35</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210.12</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317.57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58.35</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210.12</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其他环境保护管理事务支出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538.04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269.57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58.35</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210.12</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44.07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20.80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20.80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771.18</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382.53</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178.53</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210.12</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科学技术支出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技术研究与开发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其他技术研究与开发支出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16.11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11.92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8.99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8.99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2.93</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642.12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269.57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162.42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210.12</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586.04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269.57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106.35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210.12</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48.00</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其他环境保护管理事务支出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538.04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269.57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58.35</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210.12</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56.07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56.07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56.07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56.07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99.85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99.85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99.85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99.85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20.80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20.80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70.04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70.04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9.01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9.01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常州市环境科学研究院</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490.71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373.64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373.64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99.85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99.85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490.71</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502.71</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502.71</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502.71</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502.71</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502.71</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502.71</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382.53</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120.18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技术研究与开发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其他技术研究与开发支出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16.11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269.57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104.07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317.57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269.57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其他环境保护管理事务支出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269.57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269.57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56.07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56.07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56.07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56.07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99.85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99.85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常州市环境科学研究院</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382.53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364.99</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298.90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107.80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82.82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0.02</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502.71</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382.53</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120.18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技术研究与开发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其他技术研究与开发支出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11.92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373.64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269.57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104.07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317.57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269.57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其他环境保护管理事务支出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269.57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269.57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56.07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99.85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20.80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20.80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382.53</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364.99</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17.54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298.90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298.90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107.80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107.80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82.82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82.82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66.09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0.92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1.33</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0.34</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1.33</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0.34</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7</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
      </w:r>
      <w:r>
        <w:rPr>
          <w:rFonts w:hint="eastAsia" w:ascii="仿宋" w:hAnsi="仿宋" w:eastAsia="仿宋" w:cs="仿宋"/>
          <w:b w:val="0"/>
          <w:bCs w:val="0"/>
          <w:sz w:val="22"/>
          <w:szCs w:val="22"/>
          <w:lang w:eastAsia="zh-CN"/>
        </w:rPr>
        <w:t>本</w:t>
      </w:r>
      <w:r>
        <w:rPr>
          <w:rFonts w:ascii="仿宋" w:hAnsi="仿宋" w:cs="仿宋" w:eastAsia="仿宋"/>
          <w:sz w:val="22"/>
        </w:rPr>
        <w:t>单位</w:t>
      </w:r>
      <w:r>
        <w:rPr>
          <w:rFonts w:hint="eastAsia" w:ascii="仿宋" w:hAnsi="仿宋" w:eastAsia="仿宋" w:cs="仿宋"/>
          <w:b w:val="0"/>
          <w:bCs w:val="0"/>
          <w:sz w:val="22"/>
          <w:szCs w:val="22"/>
        </w:rPr>
        <w:t>无一般公共预算机关运行经费支出决算，故本表为空。</w:t>
      </w:r>
      <w:r>
        <w:rPr>
          <w:rFonts w:ascii="仿宋" w:hAnsi="仿宋" w:cs="仿宋" w:eastAsia="仿宋"/>
          <w:sz w:val="22"/>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常州市环境科学研究院</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
      </w:r>
      <w:r>
        <w:rPr>
          <w:rFonts w:hint="eastAsia" w:ascii="仿宋" w:hAnsi="仿宋" w:eastAsia="仿宋" w:cs="仿宋"/>
          <w:b w:val="0"/>
          <w:bCs w:val="0"/>
          <w:sz w:val="22"/>
          <w:szCs w:val="22"/>
          <w:lang w:eastAsia="zh-CN"/>
        </w:rPr>
        <w:t>本</w:t>
      </w:r>
      <w:r>
        <w:rPr>
          <w:rFonts w:ascii="仿宋" w:hAnsi="仿宋" w:cs="仿宋" w:eastAsia="仿宋"/>
          <w:sz w:val="22"/>
        </w:rPr>
        <w:t>单位</w:t>
      </w:r>
      <w:r>
        <w:rPr>
          <w:rFonts w:hint="eastAsia" w:ascii="仿宋" w:hAnsi="仿宋" w:eastAsia="仿宋" w:cs="仿宋"/>
          <w:b w:val="0"/>
          <w:bCs w:val="0"/>
          <w:sz w:val="22"/>
          <w:szCs w:val="22"/>
        </w:rPr>
        <w:t>无政府采购支出决算，故本表为空。</w:t>
      </w:r>
      <w:r>
        <w:rPr>
          <w:rFonts w:ascii="仿宋" w:hAnsi="仿宋" w:cs="仿宋" w:eastAsia="仿宋"/>
          <w:sz w:val="22"/>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2021年度收入、支出决算总计771.18万元。与上年相比，收、支总计各减少375.77万元，减少32.76%。其中：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（一）收入决算总计771.18万元。包括：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1.本年收入决算合计759.18万元。与上年相比，减少186.5万元，减少19.72%，变动原因：2021年单位人员调整力度较大，我院面临技术人员短缺的困境，经营收入减少。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3.年初结转和结余12万元。与上年相比，减少189.26万元，减少94.04%，变动原因：上年决算数201.26万为水环境等课题/专项的结余，2021年年初已调整相关凭证。</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（二）支出决算总计771.18万元。包括：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1.本年支出决算合计771.18万元。与上年相比，减少198.24万元，减少20.45%，变动原因：2021年单位人员调整力度较大，我院面临技术人员短缺的困境，经营支出相应减少。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3.年末结转和结余0万元。与上年相比，减少177.53万元，减少100%，变动原因：上年年末结转数主要为水环境等课题/专项的结余，2021年年初已调整相关凭证。</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759.18万元，其中：财政拨款收入490.71万元，占64.64%；上级补助收入0万元，占0%；财政专户管理教育收费0万元，占0%；事业收入（不含专户管理教育收费）58.35万元，占7.68%；经营收入210.12万元，占27.68%；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2021年度本年支出决算合计771.18万元，其中：基本支出382.53万元，占49.6%；项目支出178.53万元，占23.15%；上缴上级支出0万元，占0%；经营支出210.12万元，占27.25%；对附属单位补助支出0万元，占0%。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2021年度财政拨款收入、支出决算总计502.71万元。与上年相比，收、支总计各增加51.59万元，增长11.44%，变动原因：2021年环保专项支出增加。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2021年度财政拨款支出决算502.71万元，占本年支出合计的65.19%。与2021年度财政拨款支出年初预算417.19万元相比，完成年初预算的120.5%。其中：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（一）科学技术支出（类）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技术研究与开发（款）其他技术研究与开发支出（项）。年初预算0万元，支出决算16.11万元，（年初预算数为0万元，无法计算完成比率）决算数与年初预算数的差异原因：为市级课题等，是以前年度延续下来的课题，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事业单位离退休（项）。年初预算1.14万元，支出决算1.19万元，完成年初预算的104.39%。决算数与年初预算数的差异原因：支出决算较年初预算增加的0.05万元为事业单位离退休费（对个人和家庭补助），为对个人和家庭补助正常支出。原因为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1.行政事业单位医疗（款）事业单位医疗（项）。年初预算8.69万元，支出决算8.99万元，完成年初预算的103.45%。决算数与年初预算数的差异原因：支出决算较年初预算增加的0.3万元为，原因为人员变动。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2.行政事业单位医疗（款）公务员医疗补助（项）。年初预算4.83万元，支出决算2.93万元，完成年初预算的60.66%。决算数与年初预算数的差异原因：支出决算较年初预算减少1.9万元。原因为人员变动。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1.环境保护管理事务（款）一般行政管理事务（项）。年初预算48万元，支出决算48万元，完成年初预算的100%。决算数与年初预算数相同。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环境保护管理事务（款）其他环境保护管理事务支出（项）。年初预算236.47万元，支出决算269.57万元，完成年初预算的114%。决算数与年初预算数的差异原因：其他环境保护管理事务支出（项）主要用于当年部门预算的基本支出，主要原因为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自然生态保护（款）生态保护（项）。年初预算0万元，支出决算56.07万元，（年初预算数为0万元，无法计算完成比率）决算数与年初预算数的差异原因：2021年包含两湖创新区水生态环境管控策略研究等项目，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1.住房改革支出（款）住房公积金（项）。年初预算19.55万元，支出决算20.8万元，完成年初预算的106.39%。决算数与年初预算数的差异原因：支出决算较年初预算增加1.25万元。原因为人员变动。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2.住房改革支出（款）提租补贴（项）。年初预算67.67万元，支出决算70.04万元，完成年初预算的103.5%。决算数与年初预算数的差异原因：支出决算较年初预算增加2.37万元。原因为人员变动。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3.住房改革支出（款）购房补贴（项）。年初预算30.84万元，支出决算9.01万元，完成年初预算的29.22%。决算数与年初预算数的差异原因：支出决算较年初预算减少21.83万元。原因为人员变动。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2021年度财政拨款基本支出决算382.53万元，其中：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（一）人员经费364.99万元。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绩效工资、机关事业单位基本养老保险缴费、职业年金缴费、职工基本医疗保险缴费、公务员医疗补助缴费、其他社会保障缴费、住房公积金、其他工资福利支出、退休费、抚恤金、医疗费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（二）公用经费17.54万元。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主要包括：办公费、印刷费、水费、电费、邮电费、差旅费、会议费、培训费、劳务费、委托业务费、工会经费、福利费、其他交通费用、其他商品和服务支出、专用设备购置。</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2021年度一般公共预算财政拨款支出决算502.71万元。与上年相比，增加51.59万元，增长11.44%，变动原因：2021年包含两湖创新区水生态环境管控策略研究等项目，年中追加。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2021年度一般公共预算财政拨款基本支出决算382.53万元，其中：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（一）人员经费364.99万元。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绩效工资、机关事业单位基本养老保险缴费、职业年金缴费、职工基本医疗保险缴费、公务员医疗补助缴费、其他社会保障缴费、住房公积金、其他工资福利支出、退休费、抚恤金、医疗费补助、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（二）公用经费17.54万元。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主要包括：办公费、印刷费、水费、电费、邮电费、差旅费、会议费、培训费、劳务费、委托业务费、工会经费、福利费、其他交通费用、其他商品和服务支出、专用设备购置。</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2．公务用车购置及运行维护费支出预算0万元，支出决算0万元，完成预算的100%，决算数与预算数相同。其中：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3．公务接待费支出预算0万元，支出决算0万元，完成预算的100%，决算数与预算数相同。其中：国内公务接待支出0万元，接待0批次，0人次；国（境）外公务接待支出0万元，接待0批次0人次。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1.33万元，支出决算1.33万元，完成预算的100%，决算数与预算数相同。2021年度全年召开会议1个，参加会议7人次，开支内容：会议期间会务费、专家住宿费、与会人员伙食费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2021年度一般公共预算财政拨款培训费支出预算0.34万元，支出决算0.34万元，完成预算的100%，决算数与预算数相同。2021年度全年组织培训1个，组织培训2人次，开支内容：培训费。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2021年度政府采购支出总额0万元，其中：政府采购货物支出0万元、政府采购工程支出0万元、政府采购服务支出0万元。政府采购授予中小企业合同金额0万元，其中：授予小微企业合同金额0万元。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单位共有车辆3辆，其中：副部(省)级及以上领导用车0辆、主要领导干部用车0辆、机要通信用车0辆、应急保障用车0辆、执法执勤用车0辆、特种专业技术用车0辆、离退休干部用车0辆、其他用车3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2021年度，本单位共0个项目开展了财政重点绩效评价，涉及财政性资金合计0万元；本单位未开展单位整体支出财政重点绩效评价，涉及财政性资金0万元。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本单位共对上年度已实施完成的0个项目开展了绩效自评价，涉及财政性资金合计0万元；本单位共开展0项单位整体支出绩效自评价，涉及财政性资金合计0万元。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十九、科学技术支出(类)技术研究与开发(款)其他技术研究与开发支出(项)</w:t>
      </w:r>
      <w:r>
        <w:rPr>
          <w:rFonts w:ascii="仿宋" w:hAnsi="仿宋" w:cs="仿宋" w:eastAsia="仿宋"/>
          <w:b w:val="true"/>
        </w:rPr>
        <w:t>：</w:t>
      </w:r>
      <w:r>
        <w:rPr>
          <w:rFonts w:hint="eastAsia" w:ascii="仿宋" w:hAnsi="仿宋" w:eastAsia="仿宋" w:cs="仿宋"/>
        </w:rPr>
        <w:t>反映除上述项目以外其他用于技术研究与开发方面的支出。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二十一、卫生健康支出(类)行政事业单位医疗(款)事业单位医疗(项)</w:t>
      </w:r>
      <w:r>
        <w:rPr>
          <w:rFonts w:ascii="仿宋" w:hAnsi="仿宋" w:cs="仿宋" w:eastAsia="仿宋"/>
          <w:b w:val="true"/>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二十三、节能环保支出(类)环境保护管理事务(款)一般行政管理事务(项)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二十五、节能环保支出(类)自然生态保护(款)生态保护(项)</w:t>
      </w:r>
      <w:r>
        <w:rPr>
          <w:rFonts w:ascii="仿宋" w:hAnsi="仿宋" w:cs="仿宋" w:eastAsia="仿宋"/>
          <w:b w:val="true"/>
        </w:rPr>
        <w:t>：</w:t>
      </w:r>
      <w:r>
        <w:rPr>
          <w:rFonts w:hint="eastAsia" w:ascii="仿宋" w:hAnsi="仿宋" w:eastAsia="仿宋" w:cs="仿宋"/>
        </w:rPr>
        <w:t>反映用于生态功能保护区、生态示范区、生态省（市、县）管理及能力建设、日常管护、宣教、试点示范等支出，生态修复支出，资源开发生态监管等支出。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常州市环境科学研究院</w:t>
    </w:r>
    <w:r>
      <w:t>2021年度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