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2" w:hRule="atLeast"/>
        </w:trPr>
        <w:tc>
          <w:tcPr>
            <w:tcW w:w="10402" w:type="dxa"/>
            <w:tcBorders>
              <w:top w:val="nil"/>
              <w:left w:val="nil"/>
              <w:bottom w:val="nil"/>
              <w:right w:val="nil"/>
            </w:tcBorders>
          </w:tcPr>
          <w:p>
            <w:pPr>
              <w:pStyle w:val="8"/>
              <w:spacing w:line="360" w:lineRule="auto"/>
              <w:rPr>
                <w:rFonts w:hint="eastAsia" w:ascii="仿宋" w:hAnsi="仿宋" w:eastAsia="仿宋" w:cs="仿宋"/>
                <w:b/>
                <w:bCs/>
                <w:color w:val="FF0000"/>
                <w:sz w:val="22"/>
                <w:szCs w:val="22"/>
              </w:rPr>
            </w:pPr>
            <w:r>
              <w:rPr>
                <w:rFonts w:hint="eastAsia" w:ascii="仿宋" w:hAnsi="仿宋" w:eastAsia="仿宋" w:cs="仿宋"/>
                <w:b/>
                <w:bCs/>
                <w:color w:val="FF0000"/>
                <w:sz w:val="22"/>
                <w:szCs w:val="22"/>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top"/>
          </w:tcPr>
          <w:p>
            <w:pPr>
              <w:ind w:right="284" w:rightChars="129"/>
              <w:jc w:val="center"/>
              <w:rPr>
                <w:rFonts w:hint="eastAsia" w:ascii="仿宋" w:hAnsi="仿宋" w:eastAsia="仿宋" w:cs="仿宋"/>
                <w:b/>
                <w:bCs/>
                <w:color w:val="FF0000"/>
                <w:sz w:val="22"/>
                <w:szCs w:val="22"/>
                <w:vertAlign w:val="baseline"/>
              </w:rPr>
            </w:pPr>
            <w:r>
              <w:rPr>
                <w:rFonts w:hint="eastAsia" w:ascii="宋体" w:hAnsi="宋体" w:eastAsia="宋体" w:cs="宋体"/>
                <w:b/>
                <w:bCs/>
                <w:sz w:val="52"/>
                <w:szCs w:val="52"/>
                <w:lang w:val="en-US" w:eastAsia="zh-CN"/>
              </w:rPr>
              <w:t/>
            </w:r>
            <w:r>
              <w:rPr>
                <w:rFonts w:ascii="宋体" w:hAnsi="宋体" w:cs="宋体" w:eastAsia="宋体"/>
                <w:b w:val="true"/>
                <w:sz w:val="52"/>
              </w:rPr>
              <w:t xml:space="preserve">2021年度</w:t>
              <w:br w:type="textWrapping"/>
              <w:t/>
            </w:r>
            <w:r>
              <w:rPr>
                <w:rFonts w:ascii="宋体" w:hAnsi="宋体" w:cs="宋体" w:eastAsia="宋体"/>
                <w:b w:val="true"/>
                <w:sz w:val="52"/>
              </w:rPr>
              <w:t>常州市生态环境监控中心</w:t>
            </w:r>
            <w:r>
              <w:rPr>
                <w:rFonts w:ascii="宋体" w:hAnsi="宋体" w:cs="宋体" w:eastAsia="宋体"/>
                <w:b w:val="true"/>
                <w:sz w:val="52"/>
              </w:rPr>
              <w:t xml:space="preserve"></w:t>
              <w:br w:type="textWrapping"/>
              <w:t>单位决算公开</w:t>
            </w:r>
            <w:r>
              <w:rPr>
                <w:rFonts w:ascii="宋体" w:hAnsi="宋体" w:cs="宋体" w:eastAsia="宋体"/>
                <w:b w:val="true"/>
                <w:sz w:val="52"/>
              </w:rPr>
              <w:t/>
            </w:r>
          </w:p>
        </w:tc>
      </w:tr>
    </w:tbl>
    <w:p>
      <w:pPr>
        <w:ind w:right="284" w:rightChars="129"/>
        <w:jc w:val="both"/>
        <w:rPr>
          <w:rFonts w:hint="eastAsia" w:ascii="宋体" w:hAnsi="宋体" w:eastAsia="宋体" w:cs="宋体"/>
          <w:b/>
          <w:bCs/>
          <w:sz w:val="52"/>
          <w:szCs w:val="52"/>
        </w:rPr>
        <w:sectPr>
          <w:headerReference r:id="rId5" w:type="first"/>
          <w:headerReference r:id="rId4" w:type="default"/>
          <w:pgSz w:w="11906" w:h="16838"/>
          <w:pgMar w:top="1580" w:right="70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pPr>
        <w:pStyle w:val="8"/>
        <w:spacing w:before="4" w:after="0"/>
        <w:rPr>
          <w:rFonts w:ascii="华文仿宋" w:hAnsi="华文仿宋" w:eastAsia="华文仿宋" w:cs="仿宋"/>
          <w:sz w:val="10"/>
        </w:rPr>
      </w:pPr>
    </w:p>
    <w:p>
      <w:pPr>
        <w:pStyle w:val="3"/>
        <w:tabs>
          <w:tab w:val="left" w:pos="880"/>
        </w:tabs>
        <w:spacing w:line="718" w:lineRule="exact"/>
        <w:ind w:right="313" w:firstLine="0"/>
        <w:outlineLvl w:val="0"/>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pPr>
        <w:pStyle w:val="8"/>
        <w:spacing w:before="7" w:after="0"/>
        <w:rPr>
          <w:rFonts w:hint="eastAsia" w:ascii="仿宋" w:hAnsi="仿宋" w:eastAsia="仿宋" w:cs="仿宋"/>
          <w:sz w:val="27"/>
        </w:rPr>
      </w:pP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outlineLvl w:val="0"/>
        <w:rPr>
          <w:rFonts w:hint="eastAsia" w:ascii="黑体" w:hAnsi="黑体" w:eastAsia="黑体" w:cs="黑体"/>
          <w:b w:val="0"/>
          <w:bCs w:val="0"/>
        </w:rPr>
      </w:pPr>
      <w:r>
        <w:rPr>
          <w:rFonts w:hint="eastAsia" w:ascii="黑体" w:hAnsi="黑体" w:eastAsia="黑体" w:cs="黑体"/>
          <w:b w:val="0"/>
          <w:bCs w:val="0"/>
        </w:rPr>
        <w:t xml:space="preserve">第一部分 </w:t>
      </w:r>
      <w:r>
        <w:rPr>
          <w:rFonts w:hint="eastAsia" w:ascii="黑体" w:hAnsi="黑体" w:eastAsia="黑体" w:cs="黑体"/>
          <w:b w:val="0"/>
          <w:bCs w:val="0"/>
          <w:lang w:val="en-US" w:eastAsia="zh-CN"/>
        </w:rPr>
        <w:t>单位</w:t>
      </w:r>
      <w:r>
        <w:rPr>
          <w:rFonts w:hint="eastAsia" w:ascii="黑体" w:hAnsi="黑体" w:eastAsia="黑体" w:cs="黑体"/>
          <w:b w:val="0"/>
          <w:bCs w:val="0"/>
        </w:rPr>
        <w:t>概况</w:t>
      </w:r>
    </w:p>
    <w:p>
      <w:pPr>
        <w:pStyle w:val="8"/>
        <w:keepNext w:val="0"/>
        <w:keepLines w:val="0"/>
        <w:pageBreakBefore w:val="0"/>
        <w:widowControl w:val="0"/>
        <w:tabs>
          <w:tab w:val="left" w:pos="2249"/>
        </w:tabs>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pPr>
        <w:pStyle w:val="8"/>
        <w:keepNext w:val="0"/>
        <w:keepLines w:val="0"/>
        <w:pageBreakBefore w:val="0"/>
        <w:widowControl w:val="0"/>
        <w:tabs>
          <w:tab w:val="left" w:pos="2249"/>
        </w:tabs>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单位</w:t>
      </w:r>
      <w:r>
        <w:rPr>
          <w:rFonts w:hint="eastAsia" w:ascii="仿宋" w:hAnsi="仿宋" w:eastAsia="仿宋" w:cs="仿宋"/>
        </w:rPr>
        <w:t>机构设置及决算单位构成情况</w:t>
      </w:r>
    </w:p>
    <w:p>
      <w:pPr>
        <w:pStyle w:val="8"/>
        <w:keepNext w:val="0"/>
        <w:keepLines w:val="0"/>
        <w:pageBreakBefore w:val="0"/>
        <w:widowControl w:val="0"/>
        <w:tabs>
          <w:tab w:val="left" w:pos="2249"/>
        </w:tabs>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2021</w:t>
      </w:r>
      <w:r>
        <w:rPr>
          <w:rFonts w:hint="eastAsia" w:ascii="仿宋" w:hAnsi="仿宋" w:eastAsia="仿宋" w:cs="仿宋"/>
        </w:rPr>
        <w:t>年度主要工作完成情况</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黑体" w:hAnsi="黑体" w:eastAsia="黑体" w:cs="黑体"/>
          <w:b w:val="0"/>
          <w:bCs w:val="0"/>
        </w:rPr>
      </w:pPr>
      <w:r>
        <w:rPr>
          <w:rFonts w:hint="eastAsia" w:ascii="黑体" w:hAnsi="黑体" w:eastAsia="黑体" w:cs="黑体"/>
          <w:b w:val="0"/>
          <w:bCs w:val="0"/>
          <w:lang w:val="en-US" w:eastAsia="zh-CN"/>
        </w:rPr>
        <w:t>第二部分 2021年度</w:t>
      </w:r>
      <w:r>
        <w:rPr>
          <w:rFonts w:ascii="黑体" w:hAnsi="黑体" w:cs="黑体" w:eastAsia="黑体"/>
        </w:rPr>
        <w:t>单位</w:t>
      </w:r>
      <w:r>
        <w:rPr>
          <w:rFonts w:ascii="黑体" w:hAnsi="黑体" w:cs="黑体" w:eastAsia="黑体"/>
        </w:rPr>
        <w:t>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5774" w:hanging="11" w:firstLineChars="0"/>
        <w:jc w:val="both"/>
        <w:textAlignment w:val="auto"/>
        <w:rPr>
          <w:rFonts w:hint="eastAsia" w:ascii="仿宋" w:hAnsi="仿宋" w:eastAsia="仿宋" w:cs="仿宋"/>
        </w:rPr>
      </w:pPr>
      <w:r>
        <w:rPr>
          <w:rFonts w:hint="eastAsia" w:ascii="仿宋" w:hAnsi="仿宋" w:eastAsia="仿宋" w:cs="仿宋"/>
          <w:spacing w:val="-2"/>
        </w:rPr>
        <w:t>一、收入支出决算总表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5774" w:hanging="11" w:firstLineChars="0"/>
        <w:jc w:val="both"/>
        <w:textAlignment w:val="auto"/>
        <w:rPr>
          <w:rFonts w:hint="eastAsia" w:ascii="仿宋" w:hAnsi="仿宋" w:eastAsia="仿宋" w:cs="仿宋"/>
        </w:rPr>
      </w:pPr>
      <w:r>
        <w:rPr>
          <w:rFonts w:hint="eastAsia" w:ascii="仿宋" w:hAnsi="仿宋" w:eastAsia="仿宋" w:cs="仿宋"/>
        </w:rPr>
        <w:t>二、收入决算表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w w:val="95"/>
        </w:rPr>
        <w:t>三、支出决算表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四、财政拨款收入支出决算总表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五、财政拨款支出决算表（功能科目）</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2894" w:hanging="11" w:firstLineChars="0"/>
        <w:jc w:val="both"/>
        <w:textAlignment w:val="auto"/>
        <w:rPr>
          <w:rFonts w:hint="eastAsia" w:ascii="仿宋" w:hAnsi="仿宋" w:eastAsia="仿宋" w:cs="仿宋"/>
        </w:rPr>
      </w:pPr>
      <w:r>
        <w:rPr>
          <w:rFonts w:hint="eastAsia" w:ascii="仿宋" w:hAnsi="仿宋" w:eastAsia="仿宋" w:cs="仿宋"/>
        </w:rPr>
        <w:t>六、财政拨款基本支出决算表（经济科目） 七、一般公共预算支出决算表（功能科目）</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八、一般公共预算基本支出决算表（经济科目）</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2575" w:hanging="11" w:firstLineChars="0"/>
        <w:jc w:val="both"/>
        <w:textAlignment w:val="auto"/>
        <w:rPr>
          <w:rFonts w:hint="default" w:ascii="仿宋" w:hAnsi="仿宋" w:eastAsia="仿宋" w:cs="仿宋"/>
          <w:lang w:val="en-US" w:eastAsia="zh-CN"/>
        </w:rPr>
      </w:pPr>
      <w:r>
        <w:rPr>
          <w:rFonts w:hint="eastAsia" w:ascii="仿宋" w:hAnsi="仿宋" w:eastAsia="仿宋" w:cs="仿宋"/>
        </w:rPr>
        <w:t>十一、</w:t>
      </w:r>
      <w:r>
        <w:rPr>
          <w:rFonts w:hint="eastAsia" w:ascii="仿宋" w:hAnsi="仿宋" w:eastAsia="仿宋" w:cs="仿宋"/>
          <w:lang w:val="en-US" w:eastAsia="zh-CN"/>
        </w:rPr>
        <w:t>国有资本经营预算支出决算表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2575"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2575"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黑体" w:hAnsi="黑体" w:eastAsia="黑体" w:cs="黑体"/>
          <w:b w:val="0"/>
          <w:bCs w:val="0"/>
          <w:lang w:val="en-US" w:eastAsia="zh-CN"/>
        </w:rPr>
      </w:pPr>
      <w:r>
        <w:rPr>
          <w:rFonts w:hint="eastAsia" w:ascii="黑体" w:hAnsi="黑体" w:eastAsia="黑体" w:cs="黑体"/>
          <w:b w:val="0"/>
          <w:bCs w:val="0"/>
          <w:lang w:val="en-US" w:eastAsia="zh-CN"/>
        </w:rPr>
        <w:t>第三部分 2021年度</w:t>
      </w:r>
      <w:r>
        <w:rPr>
          <w:rFonts w:ascii="黑体" w:hAnsi="黑体" w:cs="黑体" w:eastAsia="黑体"/>
        </w:rPr>
        <w:t>单位</w:t>
      </w:r>
      <w:r>
        <w:rPr>
          <w:rFonts w:ascii="黑体" w:hAnsi="黑体" w:cs="黑体" w:eastAsia="黑体"/>
        </w:rPr>
        <w:t>决算情况说明</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default" w:ascii="仿宋" w:hAnsi="仿宋" w:eastAsia="仿宋" w:cs="仿宋"/>
          <w:b/>
          <w:bCs/>
          <w:color w:val="000000"/>
          <w:sz w:val="30"/>
          <w:szCs w:val="30"/>
          <w:lang w:val="en-US" w:eastAsia="zh-CN" w:bidi="ar"/>
        </w:rPr>
      </w:pPr>
      <w:r>
        <w:rPr>
          <w:rFonts w:hint="eastAsia" w:ascii="黑体" w:hAnsi="黑体" w:eastAsia="黑体" w:cs="黑体"/>
          <w:b w:val="0"/>
          <w:bCs w:val="0"/>
          <w:lang w:val="en-US" w:eastAsia="zh-CN"/>
        </w:rPr>
        <w:t>第四部分 名词解释</w:t>
      </w:r>
    </w:p>
    <w:p>
      <w:pPr>
        <w:pStyle w:val="8"/>
        <w:spacing w:line="235" w:lineRule="auto"/>
        <w:ind w:left="669" w:leftChars="300" w:right="2414" w:hanging="9" w:firstLineChars="0"/>
        <w:jc w:val="both"/>
        <w:rPr>
          <w:rFonts w:hint="eastAsia" w:ascii="仿宋" w:hAnsi="仿宋" w:eastAsia="仿宋" w:cs="仿宋"/>
        </w:rPr>
        <w:sectPr>
          <w:footerReference r:id="rId6" w:type="default"/>
          <w:pgSz w:w="11906" w:h="16838"/>
          <w:pgMar w:top="1580" w:right="700" w:bottom="770" w:left="1020" w:header="283"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pPr>
        <w:pStyle w:val="8"/>
        <w:spacing w:before="1" w:after="0"/>
        <w:rPr>
          <w:rFonts w:ascii="华文仿宋" w:hAnsi="华文仿宋" w:eastAsia="华文仿宋" w:cs="仿宋"/>
          <w:sz w:val="14"/>
        </w:rPr>
      </w:pPr>
    </w:p>
    <w:p>
      <w:pPr>
        <w:pStyle w:val="5"/>
        <w:tabs>
          <w:tab w:val="left" w:pos="4395"/>
        </w:tabs>
        <w:spacing w:line="606" w:lineRule="exact"/>
        <w:ind w:right="504" w:rightChars="229"/>
        <w:jc w:val="center"/>
        <w:outlineLvl w:val="0"/>
        <w:rPr>
          <w:rFonts w:hint="eastAsia" w:ascii="宋体" w:hAnsi="宋体" w:eastAsia="宋体" w:cs="宋体"/>
          <w:b/>
          <w:bCs/>
        </w:rPr>
      </w:pPr>
      <w:r>
        <w:rPr>
          <w:rFonts w:hint="eastAsia" w:ascii="宋体" w:hAnsi="宋体" w:eastAsia="宋体" w:cs="宋体"/>
          <w:b/>
          <w:bCs/>
        </w:rPr>
        <w:t>第一部分</w:t>
      </w:r>
      <w:r>
        <w:rPr>
          <w:rFonts w:hint="eastAsia" w:ascii="宋体" w:hAnsi="宋体" w:eastAsia="宋体" w:cs="宋体"/>
          <w:b/>
          <w:bCs/>
          <w:lang w:val="en-US" w:eastAsia="zh-CN"/>
        </w:rPr>
        <w:t xml:space="preserve"> </w:t>
      </w:r>
      <w:r>
        <w:rPr>
          <w:rFonts w:hint="eastAsia" w:ascii="宋体" w:hAnsi="宋体" w:eastAsia="宋体" w:cs="宋体"/>
          <w:b/>
          <w:bCs/>
        </w:rPr>
        <w:t>单位</w:t>
      </w:r>
      <w:r>
        <w:rPr>
          <w:rFonts w:hint="eastAsia" w:ascii="宋体" w:hAnsi="宋体" w:eastAsia="宋体" w:cs="宋体"/>
          <w:b/>
          <w:bCs/>
        </w:rPr>
        <w:t>概况</w:t>
      </w:r>
    </w:p>
    <w:p>
      <w:pPr>
        <w:ind w:right="504" w:rightChars="229"/>
        <w:jc w:val="both"/>
        <w:rPr>
          <w:rFonts w:hint="eastAsia"/>
        </w:r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outlineLvl w:val="1"/>
        <w:rPr>
          <w:rFonts w:hint="eastAsia" w:ascii="黑体" w:hAnsi="黑体" w:eastAsia="黑体" w:cs="黑体"/>
          <w:b w:val="0"/>
          <w:bCs w:val="0"/>
        </w:rPr>
      </w:pPr>
      <w:r>
        <w:rPr>
          <w:rFonts w:hint="eastAsia" w:ascii="黑体" w:hAnsi="黑体" w:eastAsia="黑体" w:cs="黑体"/>
          <w:b w:val="0"/>
          <w:bCs w:val="0"/>
        </w:rPr>
        <w:t>一、主要职能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（一）负责编制生态环境监测监控能力和信息化建设规划，协助编制全市生态环境监测和信息年度工作计划，承担环境统计的技术工作。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承担环境执法监测、溯源监测及各类专项工作的现场采样和实验分析，组织实施辐射环境质量监测和执法监测，组织做好突发环境污染事故和辐射事故应急监测，参与重大环境污染事件和跨区污染事件的现场调查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（三）承担市级生态环境监测监控相关信息系统的开发建设和运维管理；负责市级生态环境大数据中心建设，全市生态环境信息归集，以及生态环境大数据管理和开发应用；承担市级信息化基础设施建设与运维。</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（四）负责环境质量和污染源预警及各类综合分析工作；组织监控数据、监测数据超标预警转办督办工作；负责事权范围内水质、大气和噪声自动站运维机构的质量监管和技术指导。</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（五）参与制定全市机动车和非道路移动机械污染防治工作计划，开展机动车环保检测机构日常监督管理。负责全市机动车和非道路移动机械排气污染防治日常监管以及油气污染治理督查的技术支持。</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（六）承担环境环境监测质量保证与质量控制的技术支持工作；提供技术培训、环境监测与信息服务；协助对社会化环境检测机构、排污单位自行监测开展监督与检查。</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（七）承担生态环境保护宣传教育工作。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（八）承办上级交办的其他任务。</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outlineLvl w:val="1"/>
        <w:rPr>
          <w:rFonts w:hint="eastAsia" w:ascii="黑体" w:hAnsi="黑体" w:eastAsia="黑体" w:cs="黑体"/>
          <w:b w:val="0"/>
          <w:bCs w:val="0"/>
        </w:rPr>
      </w:pPr>
      <w:r>
        <w:rPr>
          <w:rFonts w:hint="eastAsia" w:ascii="黑体" w:hAnsi="黑体" w:eastAsia="黑体" w:cs="黑体"/>
          <w:b w:val="0"/>
          <w:bCs w:val="0"/>
        </w:rPr>
        <w:t>二、</w:t>
      </w:r>
      <w:r>
        <w:rPr>
          <w:rFonts w:ascii="黑体" w:hAnsi="黑体" w:cs="黑体" w:eastAsia="黑体"/>
        </w:rPr>
        <w:t>单位</w:t>
      </w:r>
      <w:r>
        <w:rPr>
          <w:rFonts w:hint="eastAsia" w:ascii="黑体" w:hAnsi="黑体" w:eastAsia="黑体" w:cs="黑体"/>
          <w:b w:val="0"/>
          <w:bCs w:val="0"/>
        </w:rPr>
        <w:t>机构设置及决算单位构成情况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rPr>
      </w:pPr>
      <w:r>
        <w:rPr>
          <w:rFonts w:hint="eastAsia" w:ascii="仿宋" w:hAnsi="仿宋" w:eastAsia="仿宋" w:cs="仿宋"/>
          <w:lang w:val="en-US" w:eastAsia="zh-CN"/>
        </w:rPr>
        <w:t/>
      </w:r>
      <w:bookmarkStart w:id="0" w:name="_GoBack"/>
      <w:bookmarkEnd w:id="0"/>
      <w:r>
        <w:rPr>
          <w:rFonts w:ascii="仿宋" w:hAnsi="仿宋" w:cs="仿宋" w:eastAsia="仿宋"/>
        </w:rPr>
        <w:t/>
      </w:r>
      <w:r>
        <w:rPr>
          <w:rFonts w:hint="eastAsia" w:ascii="仿宋" w:hAnsi="仿宋" w:eastAsia="仿宋" w:cs="仿宋"/>
        </w:rPr>
        <w:t>根据</w:t>
      </w:r>
      <w:r>
        <w:rPr>
          <w:rFonts w:hint="eastAsia" w:ascii="仿宋" w:hAnsi="仿宋" w:eastAsia="仿宋" w:cs="仿宋"/>
          <w:lang w:val="en-US" w:eastAsia="zh-CN"/>
        </w:rPr>
        <w:t>单位</w:t>
      </w:r>
      <w:r>
        <w:rPr>
          <w:rFonts w:hint="eastAsia" w:ascii="仿宋" w:hAnsi="仿宋" w:eastAsia="仿宋" w:cs="仿宋"/>
        </w:rPr>
        <w:t>职责分工，</w:t>
      </w:r>
      <w:r>
        <w:rPr>
          <w:rFonts w:hint="eastAsia" w:ascii="仿宋" w:hAnsi="仿宋" w:eastAsia="仿宋" w:cs="仿宋"/>
          <w:lang w:val="en-US"/>
        </w:rPr>
        <w:t/>
      </w:r>
      <w:r>
        <w:rPr>
          <w:rFonts w:ascii="仿宋" w:hAnsi="仿宋" w:cs="仿宋" w:eastAsia="仿宋"/>
        </w:rPr>
        <w:t/>
      </w:r>
      <w:r>
        <w:rPr>
          <w:rFonts w:ascii="仿宋" w:hAnsi="仿宋" w:cs="仿宋" w:eastAsia="仿宋"/>
        </w:rPr>
        <w:t>本单位内设机构包括</w:t>
      </w:r>
      <w:r>
        <w:rPr>
          <w:rFonts w:ascii="仿宋" w:hAnsi="仿宋" w:cs="仿宋" w:eastAsia="仿宋"/>
        </w:rPr>
        <w:t/>
      </w:r>
      <w:r>
        <w:rPr>
          <w:rFonts w:ascii="仿宋" w:hAnsi="仿宋" w:cs="仿宋" w:eastAsia="仿宋"/>
        </w:rPr>
        <w:t/>
      </w:r>
      <w:r>
        <w:rPr>
          <w:rFonts w:ascii="仿宋" w:hAnsi="仿宋" w:cs="仿宋" w:eastAsia="仿宋"/>
        </w:rPr>
        <w:t>办公室、组织宣教科、综合业务科、监控预警科、分析测试科、监测与应急科（环境调查一科）、移动源与辐射科（环境调查二科）、系统建设运行科。分支机构包括：溧阳分中心、金坛分中心、武进分中心、新北分中心、天宁分中心、钟楼分中心、经开区分中心。</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本单位无下属单位。</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outlineLvl w:val="1"/>
        <w:rPr>
          <w:rFonts w:hint="eastAsia" w:ascii="黑体" w:hAnsi="黑体" w:eastAsia="黑体" w:cs="黑体"/>
          <w:b w:val="0"/>
          <w:bCs w:val="0"/>
        </w:rPr>
      </w:pPr>
      <w:r>
        <w:rPr>
          <w:rFonts w:hint="eastAsia" w:ascii="黑体" w:hAnsi="黑体" w:eastAsia="黑体" w:cs="黑体"/>
          <w:b w:val="0"/>
          <w:bCs w:val="0"/>
        </w:rPr>
        <w:t>三、</w:t>
      </w:r>
      <w:r>
        <w:rPr>
          <w:rFonts w:hint="eastAsia" w:ascii="黑体" w:hAnsi="黑体" w:eastAsia="黑体" w:cs="黑体"/>
          <w:b w:val="0"/>
          <w:bCs w:val="0"/>
          <w:lang w:eastAsia="zh-CN"/>
        </w:rPr>
        <w:t>2021</w:t>
      </w:r>
      <w:r>
        <w:rPr>
          <w:rFonts w:hint="eastAsia" w:ascii="黑体" w:hAnsi="黑体" w:eastAsia="黑体" w:cs="黑体"/>
          <w:b w:val="0"/>
          <w:bCs w:val="0"/>
        </w:rPr>
        <w:t>年度主要工作完成情况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一、立足本职，井然有序推进监测工作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（一）真抓实干做监测，助力打好攻坚战</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是扎实稳步实施，有序推进监测工作。组织监测人员按年度监测计划完成了资源补偿、地下水环境质量监测等例行监测工作；配合驻市监测中心完成上半年辐射环境质量监测工作；完成了京杭运河五牧断面及上游水质监测、尧塘河周边水质调查监测、6家污水厂排放口水质监测、疫情期间污水厂及医疗机构污水监测等11项专项监测任务；配合执法局完成常茂生物化学、东方日升（常州）新能源有限公司等56家企业的执法监测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是加强调查分析，不断深化“三个说清”。为说清水环境质量现状和变化趋势，监控中心与市局水处加强联动，定期进行会商分析，根据会商结果确定水环境重点调查区域，先后参与新孟河运南段、尧塘河、薛埠河三星桥等专项调查任务，编制调查报告13份。同时根据今年首季争优常州水质下滑的情况，梳理全市51个考核断面水质状况和自动站分布情况，制定全市水质预警监测方案，编制预警快报11份，为精准治水提供有力支撑。</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是开展比对核查，支撑保障大气攻坚。为保障“春夏攻坚”大气任务，监控中心对涉气重点污染源开展了在线仪比对核查工作，将检查过程中发现的问题进行汇总反馈，对相关企业提出整改意见。监控中心后续将不定期对涉气重点污染源在线仪运行状况进行抽查，确保自动监控数据准确，客观、真实，支撑环境管理和精准管控。</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（二）持续提升扩能力，推进监测能力现代化</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年内落实财政投入5900万元，288台套自动化、半自动化实验设备采购安装到位，具备340项实验室项目开发能力；为建设省内一流地级市现代化监测能力奠定了坚实基础。（2）着力提升应急监测响应能力，完善应急装备标准化配备，提升实战处置能力。组织开展了2021年监测监控系统内第一次应急监测演练，完善了市区两级应急监测联动机制，强化团结协作，形成工作合力。</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二、务实笃行，稳扎稳打夯实监控信息化工作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是加强生态环境信息化网络与信息安全管理技术支撑。根据《关于开展全市互联网基础资产普查专项行动的通知》（常网办通[2021]6号）要求，对本单位互联网资产进行全面摸查，建立市级互联网资产清单并动态更新。全年对市级环境信息系统资产开展日常网络安全监控及4次季度巡检工作，发现系统安全漏洞全部整改修复到位。今年7月，对市局、直属局、直属单位信息平台、网站等信息资产全面摸排，并组织开展网络安全技术检测，发现潜在安全漏洞20个，全部督促整改修复，进一步提高安全防御能力。在“市网安2021行动”和“省网安2021行动”中，未发现网络安全漏洞。</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是进一步做好全市环境质量自动站联网与共享工作。依托常州市大气攻坚信息平台、水污染防治攻坚平台进一步推进市级、辖市区新建自动站数据联网工作，为全市环境质量预警提供数据支撑。同时按照省生态环境信息归集要求，完成市建水站、气站数据与省级共享。</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是根据《常州市排污单位自动监测监控全覆盖（全联全控）工作方案》工作要求，推进全市重点排污单位自动监测监控省、市两级联网工作，实施全市监测监控一体化平台项目，完成项目建议书编制、论证、立项、招标等前期工作，年内完成全市重点排污单位省、市两级联网。</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是保质保量完成《常州市生态环境监控中心实验室智能化管理及备用供电项目》，今年上半年完成项目方案编制、招标等前期手续，经过三个月的项目实施，完成监控中心大楼标准化机房建设。10月初，根据制定的《机房搬迁保障方案》，完成局原有机房网络、设备的搬迁工作，保障了各项应用系统的稳定运行。</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三、严肃缜密，一丝不苟推进机动车排气污染监督管理工作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是多手段、全方面开展机动车检验机构检查。自机动车污染物排放检验方法更新后，机动车环保检验更加严格，我市及时扩大监管范围，加大违规行为查处力度，让“高科技作弊手段”无处遁形，今年3月，我市查获1起在机动车环保检验检中使用OBDⅡ模块作弊的违法案件，是省内首例对屏蔽OBD不合格信息违法出具检验合格报告，立案并处罚的新型案件；我市还摸索出一条“大数据监管”新路径，利用全市布控的10套遥感监测系统产生的黄牌超标数据与安装的重型柴油车OBD远程在线系统重复超标数据进行溯源，倒查排放检验机构，今年5月发现1家排放检验机构检测过程不符合《柴油车污染物排放限值及测量方法（自由加速法及加载减速法）》（GB3847-2018)，案件已移交生态环境执法局处理。</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二是用好用足政策，加大查处力度。在国家市场监督管理总局出台相关文件后，今年9月份，发现1家排放检验机构修改车辆检验方法，是国内首例利用其他部门文件认定虚假报告处罚案例。</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三是多渠道针对重点车型开展机动车入户检查。6月，我中心集中开展公交车入户监督抽测，共抽测公交车11辆，发现超标公交车3辆，撰写相关报告分析超标原因，为我市老旧公交车淘汰提供技术依据。</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四、迎难而上，多举措加强队伍建设</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是持续完善机制体制。2021年4月，根据《市委编委关于整合组建常州市生态环境监控中心的通知》（常编〔2021〕22号），市生态环境监控中心再次成建制整合常州市机动车排气污染监督管理中心、溧阳市环境保护局天目湖旅游度假区分局，并整合纳入相应事权，单位升格为副处级，核定编制208名。重组后的市生态环境监控中心职能更多、领域更广、任务更重，归并整合了市级事权的环境质量监测、污染源执法监测、应急监测、预警监控等环境监测职能，市环境信息化建设、运行、指挥调度职能，机动车排气污染监督管理职能，市生态环境宣教职能，成为市级生态环境监控、环境信息化监管和预警指挥调度“三位一体”的运行中心，通过实行因事设岗、以岗定责、按岗聘用、以工作量定员的管理方式，重新搭建1个本部、7个分中心的组织架构，建成市-区-所三级联动的环境监测监控技术支撑网络，持续完善监测垂管机制体制建设，发掘和利用垂直管理制度工作优势。</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是加快推进人才队伍建设。为缓解当前监测监控人才短缺困境，市生态环境监控中心主动对接编办人社，积极探索途径办法，坚持外部借力与内部挖潜并举，尝试通过流动选调、人才引进和公开招聘等多种渠道补充配备关键岗位技术人员，强化资源配置，完善机制保障，为尽快发挥能力建设绩效，全面推进部门顺畅运作，有效支撑环境管理提供有力的人才保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是积极推进人员竞赛练兵。组织选拔优秀技术人才参加了2021年全省生态环境监测技术人员大比武、2021年江苏省生态环境辐射监测技能竞赛，以点带面，全面抓建，不断提高监测队伍技术水平，全力支撑打赢打好污染防治攻坚战，打造一支生态环境保护铁军先锋队。</w:t>
      </w:r>
      <w:r>
        <w:rPr>
          <w:rFonts w:ascii="仿宋" w:hAnsi="仿宋" w:cs="仿宋" w:eastAsia="仿宋"/>
        </w:rPr>
        <w:t/>
      </w:r>
    </w:p>
    <w:p>
      <w:pPr>
        <w:pStyle w:val="8"/>
        <w:spacing w:line="235" w:lineRule="auto"/>
        <w:ind w:left="669" w:leftChars="300" w:right="2414" w:hanging="9" w:firstLineChars="0"/>
        <w:jc w:val="both"/>
        <w:rPr>
          <w:rFonts w:hint="eastAsia" w:ascii="仿宋" w:hAnsi="仿宋" w:eastAsia="仿宋" w:cs="仿宋"/>
        </w:rPr>
        <w:sectPr>
          <w:footerReference r:id="rId7" w:type="default"/>
          <w:pgSz w:w="11906" w:h="16838"/>
          <w:pgMar w:top="1580" w:right="700" w:bottom="770" w:left="1020" w:header="283"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outlineLvl w:val="0"/>
        <w:rPr>
          <w:rFonts w:hint="eastAsia" w:ascii="宋体" w:hAnsi="宋体" w:eastAsia="宋体" w:cs="宋体"/>
          <w:b/>
          <w:bCs/>
          <w:sz w:val="36"/>
          <w:szCs w:val="36"/>
          <w:lang w:val="en-US" w:eastAsia="zh-CN"/>
        </w:rPr>
      </w:pPr>
      <w:r>
        <w:rPr>
          <w:rFonts w:hint="eastAsia" w:ascii="宋体" w:hAnsi="宋体" w:eastAsia="宋体" w:cs="宋体"/>
          <w:b/>
          <w:bCs/>
          <w:sz w:val="36"/>
          <w:szCs w:val="36"/>
        </w:rPr>
        <w:t>第二部分</w:t>
      </w:r>
    </w:p>
    <w:p>
      <w:pPr>
        <w:pStyle w:val="21"/>
        <w:widowControl w:val="0"/>
        <w:tabs>
          <w:tab w:val="left" w:pos="1609"/>
        </w:tabs>
        <w:suppressAutoHyphens/>
        <w:bidi w:val="0"/>
        <w:spacing w:before="12" w:after="0" w:line="300" w:lineRule="auto"/>
        <w:ind w:left="340" w:right="567" w:firstLine="0"/>
        <w:jc w:val="center"/>
        <w:rPr>
          <w:rFonts w:hint="eastAsia" w:ascii="宋体" w:hAnsi="宋体" w:eastAsia="宋体" w:cs="宋体"/>
          <w:b/>
          <w:bCs/>
          <w:sz w:val="36"/>
          <w:szCs w:val="36"/>
        </w:rPr>
      </w:pPr>
      <w:r>
        <w:rPr>
          <w:rFonts w:hint="eastAsia" w:ascii="宋体" w:hAnsi="宋体" w:eastAsia="宋体" w:cs="宋体"/>
          <w:b/>
          <w:bCs/>
          <w:sz w:val="36"/>
          <w:szCs w:val="36"/>
          <w:u w:val="none"/>
        </w:rPr>
        <w:t>常州市生态环境监控中心</w:t>
      </w:r>
    </w:p>
    <w:p>
      <w:pPr>
        <w:pStyle w:val="21"/>
        <w:widowControl w:val="0"/>
        <w:tabs>
          <w:tab w:val="left" w:pos="1609"/>
        </w:tabs>
        <w:suppressAutoHyphens/>
        <w:bidi w:val="0"/>
        <w:spacing w:before="12" w:after="0" w:line="300" w:lineRule="auto"/>
        <w:ind w:left="340" w:right="567" w:firstLine="0"/>
        <w:jc w:val="center"/>
        <w:outlineLvl w:val="1"/>
        <w:rPr>
          <w:rFonts w:hint="eastAsia" w:ascii="宋体" w:hAnsi="宋体" w:eastAsia="宋体" w:cs="宋体"/>
          <w:b/>
          <w:bCs/>
          <w:sz w:val="36"/>
          <w:szCs w:val="36"/>
        </w:rPr>
      </w:pPr>
      <w:r>
        <w:rPr>
          <w:rFonts w:hint="eastAsia" w:ascii="宋体" w:hAnsi="宋体" w:eastAsia="宋体" w:cs="宋体"/>
          <w:b/>
          <w:bCs/>
          <w:sz w:val="36"/>
          <w:szCs w:val="36"/>
          <w:lang w:eastAsia="zh-CN"/>
        </w:rPr>
        <w:t>2021</w:t>
      </w:r>
      <w:r>
        <w:rPr>
          <w:rFonts w:hint="eastAsia" w:ascii="宋体" w:hAnsi="宋体" w:eastAsia="宋体" w:cs="宋体"/>
          <w:b/>
          <w:bCs/>
          <w:sz w:val="36"/>
          <w:szCs w:val="36"/>
        </w:rPr>
        <w:t>年度</w:t>
      </w:r>
      <w:r>
        <w:rPr>
          <w:rFonts w:hint="eastAsia" w:ascii="宋体" w:hAnsi="宋体" w:eastAsia="宋体" w:cs="宋体"/>
          <w:b/>
          <w:bCs/>
          <w:sz w:val="36"/>
          <w:szCs w:val="36"/>
          <w:lang w:val="en-US" w:eastAsia="zh-CN"/>
        </w:rPr>
        <w:t>单位</w:t>
      </w:r>
      <w:r>
        <w:rPr>
          <w:rFonts w:ascii="宋体" w:hAnsi="宋体" w:cs="宋体" w:eastAsia="宋体"/>
          <w:b w:val="true"/>
          <w:sz w:val="36"/>
        </w:rPr>
        <w:t>决算表</w:t>
      </w:r>
    </w:p>
    <w:tbl>
      <w:tblPr>
        <w:tblStyle w:val="12"/>
        <w:tblW w:w="10447" w:type="dxa"/>
        <w:jc w:val="center"/>
        <w:tblLayout w:type="fixed"/>
        <w:tblCellMar>
          <w:top w:w="0" w:type="dxa"/>
          <w:left w:w="108" w:type="dxa"/>
          <w:bottom w:w="0" w:type="dxa"/>
          <w:right w:w="108" w:type="dxa"/>
        </w:tblCellMar>
      </w:tblPr>
      <w:tblGrid>
        <w:gridCol w:w="3784"/>
        <w:gridCol w:w="1461"/>
        <w:gridCol w:w="2035"/>
        <w:gridCol w:w="1709"/>
        <w:gridCol w:w="1458"/>
      </w:tblGrid>
      <w:tr>
        <w:tblPrEx>
          <w:tblCellMar>
            <w:top w:w="0" w:type="dxa"/>
            <w:left w:w="108" w:type="dxa"/>
            <w:bottom w:w="0" w:type="dxa"/>
            <w:right w:w="108" w:type="dxa"/>
          </w:tblCellMar>
        </w:tblPrEx>
        <w:trPr>
          <w:trHeight w:val="544" w:hRule="atLeast"/>
          <w:jc w:val="center"/>
        </w:trPr>
        <w:tc>
          <w:tcPr>
            <w:tcW w:w="10447" w:type="dxa"/>
            <w:gridSpan w:val="5"/>
          </w:tcPr>
          <w:p>
            <w:pPr>
              <w:pageBreakBefore/>
              <w:widowControl w:val="0"/>
              <w:ind w:left="0" w:right="0" w:firstLine="0"/>
              <w:jc w:val="center"/>
              <w:textAlignment w:val="auto"/>
              <w:rPr>
                <w:rFonts w:hint="eastAsia" w:ascii="仿宋" w:hAnsi="仿宋" w:eastAsia="仿宋" w:cs="仿宋"/>
                <w:b/>
                <w:bCs/>
                <w:color w:val="000000"/>
              </w:rPr>
            </w:pPr>
            <w:r>
              <w:rPr>
                <w:rFonts w:hint="eastAsia" w:ascii="宋体" w:hAnsi="宋体" w:eastAsia="宋体" w:cs="宋体"/>
                <w:b/>
                <w:bCs/>
                <w:color w:val="000000"/>
                <w:sz w:val="36"/>
                <w:szCs w:val="36"/>
                <w:lang w:eastAsia="ar-SA"/>
              </w:rPr>
              <w:t>收入支出决算总表</w:t>
            </w:r>
          </w:p>
        </w:tc>
      </w:tr>
      <w:tr>
        <w:tblPrEx>
          <w:tblCellMar>
            <w:top w:w="0" w:type="dxa"/>
            <w:left w:w="108" w:type="dxa"/>
            <w:bottom w:w="0" w:type="dxa"/>
            <w:right w:w="108" w:type="dxa"/>
          </w:tblCellMar>
        </w:tblPrEx>
        <w:trPr>
          <w:trHeight w:val="348" w:hRule="atLeast"/>
          <w:jc w:val="center"/>
        </w:trPr>
        <w:tc>
          <w:tcPr>
            <w:tcW w:w="3784" w:type="dxa"/>
          </w:tcPr>
          <w:p>
            <w:pPr>
              <w:widowControl w:val="0"/>
              <w:ind w:left="0" w:right="0" w:firstLine="0"/>
              <w:jc w:val="left"/>
              <w:textAlignment w:val="auto"/>
              <w:rPr>
                <w:rFonts w:hint="eastAsia" w:ascii="仿宋" w:hAnsi="仿宋" w:eastAsia="仿宋" w:cs="仿宋"/>
                <w:color w:val="000000"/>
                <w:sz w:val="20"/>
              </w:rPr>
            </w:pPr>
          </w:p>
        </w:tc>
        <w:tc>
          <w:tcPr>
            <w:tcW w:w="1461" w:type="dxa"/>
          </w:tcPr>
          <w:p>
            <w:pPr>
              <w:widowControl w:val="0"/>
              <w:ind w:left="0" w:right="0" w:firstLine="0"/>
              <w:jc w:val="left"/>
              <w:textAlignment w:val="auto"/>
              <w:rPr>
                <w:rFonts w:hint="eastAsia" w:ascii="仿宋" w:hAnsi="仿宋" w:eastAsia="仿宋" w:cs="仿宋"/>
                <w:color w:val="000000"/>
                <w:sz w:val="20"/>
              </w:rPr>
            </w:pPr>
          </w:p>
        </w:tc>
        <w:tc>
          <w:tcPr>
            <w:tcW w:w="5202" w:type="dxa"/>
            <w:gridSpan w:val="3"/>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ar-SA"/>
              </w:rPr>
              <w:t>公开01表</w:t>
            </w:r>
          </w:p>
        </w:tc>
      </w:tr>
      <w:tr>
        <w:tblPrEx>
          <w:tblCellMar>
            <w:top w:w="0" w:type="dxa"/>
            <w:left w:w="108" w:type="dxa"/>
            <w:bottom w:w="0" w:type="dxa"/>
            <w:right w:w="108" w:type="dxa"/>
          </w:tblCellMar>
        </w:tblPrEx>
        <w:trPr>
          <w:trHeight w:val="333" w:hRule="atLeast"/>
          <w:jc w:val="center"/>
        </w:trPr>
        <w:tc>
          <w:tcPr>
            <w:tcW w:w="7280" w:type="dxa"/>
            <w:gridSpan w:val="3"/>
            <w:tcBorders>
              <w:bottom w:val="single" w:color="000000" w:sz="4" w:space="0"/>
            </w:tcBorders>
            <w:vAlign w:val="center"/>
          </w:tcPr>
          <w:p>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color w:val="000000"/>
                <w:sz w:val="22"/>
                <w:szCs w:val="22"/>
                <w:lang w:eastAsia="ar-SA"/>
              </w:rPr>
              <w:t>常州市生态环境监控中心</w:t>
            </w:r>
          </w:p>
        </w:tc>
        <w:tc>
          <w:tcPr>
            <w:tcW w:w="3167" w:type="dxa"/>
            <w:gridSpan w:val="2"/>
            <w:tcBorders>
              <w:bottom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rPr>
              <w:t>金额单位：万元</w:t>
            </w:r>
          </w:p>
        </w:tc>
      </w:tr>
      <w:tr>
        <w:tblPrEx>
          <w:tblCellMar>
            <w:top w:w="0" w:type="dxa"/>
            <w:left w:w="108" w:type="dxa"/>
            <w:bottom w:w="0" w:type="dxa"/>
            <w:right w:w="108" w:type="dxa"/>
          </w:tblCellMar>
        </w:tblPrEx>
        <w:trPr>
          <w:trHeight w:val="450" w:hRule="atLeast"/>
          <w:jc w:val="center"/>
        </w:trPr>
        <w:tc>
          <w:tcPr>
            <w:tcW w:w="5245"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收入</w:t>
            </w:r>
          </w:p>
        </w:tc>
        <w:tc>
          <w:tcPr>
            <w:tcW w:w="5202" w:type="dxa"/>
            <w:gridSpan w:val="3"/>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支出</w:t>
            </w:r>
          </w:p>
        </w:tc>
      </w:tr>
      <w:tr>
        <w:tblPrEx>
          <w:tblCellMar>
            <w:top w:w="0" w:type="dxa"/>
            <w:left w:w="108" w:type="dxa"/>
            <w:bottom w:w="0" w:type="dxa"/>
            <w:right w:w="108" w:type="dxa"/>
          </w:tblCellMar>
        </w:tblPrEx>
        <w:trPr>
          <w:trHeight w:val="39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r>
              <w:rPr>
                <w:rFonts w:ascii="仿宋" w:hAnsi="仿宋" w:cs="仿宋" w:eastAsia="仿宋"/>
                <w:color w:val="000000"/>
                <w:sz w:val="22"/>
              </w:rPr>
              <w:t>项目</w:t>
            </w:r>
          </w:p>
        </w:tc>
        <w:tc>
          <w:tcPr>
            <w:tcW w:w="146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决算数</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按功能分类</w:t>
            </w:r>
          </w:p>
        </w:tc>
        <w:tc>
          <w:tcPr>
            <w:tcW w:w="145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决算数</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一、一般公共预算财政拨款收入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5,806.71</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二、政府性基金预算财政拨款收入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三、国有资本经营预算财政拨款收入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四、上级补助收入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552.12</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六、经营收入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七、附属单位上缴收入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八、其他收入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九、卫生健康支出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10.22</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十、节能环保支出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6,285.92</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十一、城乡社区支出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十二、农林水支出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十三、交通运输支出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十四、资源勘探工业信息等支出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十五、商业服务业等支出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十六、金融支出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十七、援助其他地区支出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十八、自然资源海洋气象等支出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十九、住房保障支出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62.69</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二十、粮油物资储备支出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二十一、国有资本经营预算支出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二十二、灾害防治及应急管理支出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二十三、其他支出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二十四、债务还本支出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二十五、债务付息支出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二十六、抗疫特别国债安排的支出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454" w:hRule="exac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val="0"/>
                <w:bCs w:val="0"/>
                <w:color w:val="000000"/>
                <w:sz w:val="22"/>
                <w:szCs w:val="22"/>
                <w:lang w:eastAsia="ar-SA"/>
              </w:rPr>
              <w:t/>
            </w:r>
            <w:r>
              <w:rPr>
                <w:rFonts w:hint="eastAsia" w:ascii="仿宋" w:hAnsi="仿宋" w:eastAsia="仿宋" w:cs="仿宋"/>
                <w:b/>
                <w:bCs/>
                <w:color w:val="000000"/>
                <w:sz w:val="22"/>
                <w:szCs w:val="22"/>
                <w:lang w:eastAsia="ar-SA"/>
              </w:rPr>
              <w:t>本年收入合计</w:t>
            </w:r>
          </w:p>
        </w:tc>
        <w:tc>
          <w:tcPr>
            <w:tcW w:w="146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6,358.83</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本年支出合计</w:t>
            </w:r>
          </w:p>
        </w:tc>
        <w:tc>
          <w:tcPr>
            <w:tcW w:w="145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6,358.83</w:t>
            </w:r>
          </w:p>
        </w:tc>
      </w:tr>
      <w:tr>
        <w:tblPrEx>
          <w:tblCellMar>
            <w:top w:w="0" w:type="dxa"/>
            <w:left w:w="108" w:type="dxa"/>
            <w:bottom w:w="0" w:type="dxa"/>
            <w:right w:w="108" w:type="dxa"/>
          </w:tblCellMar>
        </w:tblPrEx>
        <w:trPr>
          <w:trHeight w:val="413"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ind w:right="0" w:firstLine="220" w:firstLineChars="10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使用非财政拨款结余</w:t>
            </w:r>
          </w:p>
        </w:tc>
        <w:tc>
          <w:tcPr>
            <w:tcW w:w="146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right="0" w:firstLine="220" w:firstLineChars="10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结余分配</w:t>
            </w:r>
          </w:p>
        </w:tc>
        <w:tc>
          <w:tcPr>
            <w:tcW w:w="145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p>
        </w:tc>
      </w:tr>
      <w:tr>
        <w:tblPrEx>
          <w:tblCellMar>
            <w:top w:w="0" w:type="dxa"/>
            <w:left w:w="108" w:type="dxa"/>
            <w:bottom w:w="0" w:type="dxa"/>
            <w:right w:w="108" w:type="dxa"/>
          </w:tblCellMar>
        </w:tblPrEx>
        <w:trPr>
          <w:trHeight w:val="413"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ind w:right="0" w:firstLine="220" w:firstLineChars="10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年初结转和结余</w:t>
            </w:r>
          </w:p>
        </w:tc>
        <w:tc>
          <w:tcPr>
            <w:tcW w:w="146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right="0" w:firstLine="220" w:firstLineChars="10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年末结转和结余</w:t>
            </w:r>
          </w:p>
        </w:tc>
        <w:tc>
          <w:tcPr>
            <w:tcW w:w="145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p>
        </w:tc>
      </w:tr>
      <w:tr>
        <w:tblPrEx>
          <w:tblCellMar>
            <w:top w:w="0" w:type="dxa"/>
            <w:left w:w="108" w:type="dxa"/>
            <w:bottom w:w="0" w:type="dxa"/>
            <w:right w:w="108" w:type="dxa"/>
          </w:tblCellMar>
        </w:tblPrEx>
        <w:trPr>
          <w:trHeight w:val="383" w:hRule="atLeast"/>
          <w:jc w:val="center"/>
        </w:trPr>
        <w:tc>
          <w:tcPr>
            <w:tcW w:w="3784" w:type="dxa"/>
            <w:tcBorders>
              <w:top w:val="single" w:color="000000" w:sz="4" w:space="0"/>
              <w:left w:val="single" w:color="000000" w:sz="4" w:space="0"/>
              <w:bottom w:val="single" w:color="000000" w:sz="4" w:space="0"/>
              <w:right w:val="single" w:color="000000" w:sz="4" w:space="0"/>
            </w:tcBorders>
          </w:tcPr>
          <w:p>
            <w:pPr>
              <w:widowControl w:val="0"/>
              <w:jc w:val="left"/>
              <w:rPr>
                <w:rFonts w:hint="eastAsia" w:ascii="仿宋" w:hAnsi="仿宋" w:eastAsia="仿宋" w:cs="仿宋"/>
                <w:color w:val="000000"/>
                <w:sz w:val="22"/>
                <w:szCs w:val="22"/>
              </w:rPr>
            </w:pPr>
          </w:p>
        </w:tc>
        <w:tc>
          <w:tcPr>
            <w:tcW w:w="1461" w:type="dxa"/>
            <w:tcBorders>
              <w:top w:val="single" w:color="000000" w:sz="4" w:space="0"/>
              <w:left w:val="single" w:color="000000" w:sz="4" w:space="0"/>
              <w:bottom w:val="single" w:color="000000" w:sz="4" w:space="0"/>
              <w:right w:val="single" w:color="000000" w:sz="4" w:space="0"/>
            </w:tcBorders>
          </w:tcPr>
          <w:p>
            <w:pPr>
              <w:widowControl w:val="0"/>
              <w:jc w:val="left"/>
              <w:rPr>
                <w:rFonts w:hint="eastAsia" w:ascii="仿宋" w:hAnsi="仿宋" w:eastAsia="仿宋" w:cs="仿宋"/>
                <w:color w:val="000000"/>
                <w:sz w:val="22"/>
                <w:szCs w:val="22"/>
              </w:rPr>
            </w:pPr>
          </w:p>
        </w:tc>
        <w:tc>
          <w:tcPr>
            <w:tcW w:w="3744" w:type="dxa"/>
            <w:gridSpan w:val="2"/>
            <w:tcBorders>
              <w:top w:val="single" w:color="000000" w:sz="4" w:space="0"/>
              <w:left w:val="single" w:color="000000" w:sz="4" w:space="0"/>
              <w:bottom w:val="single" w:color="000000" w:sz="4" w:space="0"/>
              <w:right w:val="single" w:color="000000" w:sz="4" w:space="0"/>
            </w:tcBorders>
          </w:tcPr>
          <w:p>
            <w:pPr>
              <w:widowControl w:val="0"/>
              <w:jc w:val="left"/>
              <w:rPr>
                <w:rFonts w:hint="eastAsia" w:ascii="仿宋" w:hAnsi="仿宋" w:eastAsia="仿宋" w:cs="仿宋"/>
                <w:color w:val="000000"/>
                <w:sz w:val="22"/>
                <w:szCs w:val="22"/>
              </w:rPr>
            </w:pPr>
          </w:p>
        </w:tc>
        <w:tc>
          <w:tcPr>
            <w:tcW w:w="1458" w:type="dxa"/>
            <w:tcBorders>
              <w:top w:val="single" w:color="000000" w:sz="4" w:space="0"/>
              <w:left w:val="single" w:color="000000" w:sz="4" w:space="0"/>
              <w:bottom w:val="single" w:color="000000" w:sz="4" w:space="0"/>
              <w:right w:val="single" w:color="000000" w:sz="4" w:space="0"/>
            </w:tcBorders>
          </w:tcPr>
          <w:p>
            <w:pPr>
              <w:widowControl w:val="0"/>
              <w:jc w:val="left"/>
              <w:rPr>
                <w:rFonts w:hint="eastAsia" w:ascii="仿宋" w:hAnsi="仿宋" w:eastAsia="仿宋" w:cs="仿宋"/>
                <w:color w:val="000000"/>
                <w:sz w:val="22"/>
                <w:szCs w:val="22"/>
              </w:rPr>
            </w:pPr>
          </w:p>
        </w:tc>
      </w:tr>
      <w:tr>
        <w:tblPrEx>
          <w:tblCellMar>
            <w:top w:w="0" w:type="dxa"/>
            <w:left w:w="108" w:type="dxa"/>
            <w:bottom w:w="0" w:type="dxa"/>
            <w:right w:w="108" w:type="dxa"/>
          </w:tblCellMar>
        </w:tblPrEx>
        <w:trPr>
          <w:cantSplit/>
          <w:trHeight w:val="454" w:hRule="exac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eastAsia="ar-SA"/>
              </w:rPr>
              <w:t>总计</w:t>
            </w:r>
          </w:p>
        </w:tc>
        <w:tc>
          <w:tcPr>
            <w:tcW w:w="146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6,358.83</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eastAsia="ar-SA"/>
              </w:rPr>
              <w:t>总计</w:t>
            </w:r>
          </w:p>
        </w:tc>
        <w:tc>
          <w:tcPr>
            <w:tcW w:w="145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6,358.83</w:t>
            </w:r>
          </w:p>
        </w:tc>
      </w:tr>
    </w:tbl>
    <w:p>
      <w:pPr>
        <w:widowControl w:val="0"/>
        <w:suppressAutoHyphens/>
        <w:bidi w:val="0"/>
        <w:spacing w:before="66" w:after="0"/>
        <w:ind w:left="0" w:leftChars="0" w:right="0" w:rightChars="0" w:firstLine="0" w:firstLineChars="0"/>
        <w:jc w:val="both"/>
        <w:rPr>
          <w:rFonts w:hint="eastAsia" w:ascii="仿宋" w:hAnsi="仿宋" w:eastAsia="仿宋" w:cs="仿宋"/>
          <w:b w:val="0"/>
          <w:bCs w:val="0"/>
          <w:color w:val="000000"/>
          <w:sz w:val="22"/>
          <w:szCs w:val="22"/>
          <w:lang w:val="en-US" w:eastAsia="zh-CN"/>
        </w:rPr>
      </w:pPr>
      <w:r>
        <w:rPr>
          <w:rFonts w:hint="eastAsia" w:ascii="仿宋" w:hAnsi="仿宋" w:eastAsia="仿宋" w:cs="仿宋"/>
          <w:b w:val="0"/>
          <w:bCs w:val="0"/>
          <w:color w:val="000000"/>
          <w:sz w:val="22"/>
          <w:szCs w:val="22"/>
          <w:lang w:val="en-US" w:eastAsia="zh-CN"/>
        </w:rPr>
        <w:t>注：本表反映本年度的总收支和年末结转结余情况。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color w:val="000000"/>
          <w:sz w:val="22"/>
          <w:szCs w:val="22"/>
          <w:lang w:val="en-US" w:eastAsia="zh-CN"/>
        </w:rPr>
        <w:t>本表金额单位转换时可能存在尾数误差。</w:t>
      </w:r>
      <w:r>
        <w:rPr>
          <w:rFonts w:hint="eastAsia" w:ascii="仿宋" w:hAnsi="仿宋" w:eastAsia="仿宋" w:cs="仿宋"/>
          <w:b w:val="0"/>
          <w:bCs w:val="0"/>
          <w:sz w:val="22"/>
          <w:szCs w:val="22"/>
          <w:lang w:val="en-US" w:eastAsia="zh-CN"/>
        </w:rPr>
        <w:t/>
      </w:r>
    </w:p>
    <w:p>
      <w:pPr>
        <w:widowControl w:val="0"/>
        <w:suppressAutoHyphens/>
        <w:bidi w:val="0"/>
        <w:spacing w:before="66" w:after="0"/>
        <w:ind w:right="0"/>
        <w:jc w:val="both"/>
        <w:rPr>
          <w:rFonts w:hint="eastAsia" w:ascii="仿宋" w:hAnsi="仿宋" w:eastAsia="仿宋" w:cs="仿宋"/>
          <w:b w:val="0"/>
          <w:bCs w:val="0"/>
          <w:color w:val="000000"/>
          <w:sz w:val="22"/>
          <w:szCs w:val="22"/>
        </w:rPr>
        <w:sectPr>
          <w:footerReference r:id="rId8"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439" w:type="dxa"/>
        <w:jc w:val="center"/>
        <w:tblLayout w:type="fixed"/>
        <w:tblCellMar>
          <w:top w:w="0" w:type="dxa"/>
          <w:left w:w="108" w:type="dxa"/>
          <w:bottom w:w="0" w:type="dxa"/>
          <w:right w:w="108" w:type="dxa"/>
        </w:tblCellMar>
      </w:tblPr>
      <w:tblGrid>
        <w:gridCol w:w="1115"/>
        <w:gridCol w:w="2925"/>
        <w:gridCol w:w="1592"/>
        <w:gridCol w:w="1604"/>
        <w:gridCol w:w="1565"/>
        <w:gridCol w:w="1396"/>
        <w:gridCol w:w="1578"/>
        <w:gridCol w:w="1174"/>
        <w:gridCol w:w="1277"/>
        <w:gridCol w:w="1213"/>
      </w:tblGrid>
      <w:tr>
        <w:tblPrEx>
          <w:tblCellMar>
            <w:top w:w="0" w:type="dxa"/>
            <w:left w:w="108" w:type="dxa"/>
            <w:bottom w:w="0" w:type="dxa"/>
            <w:right w:w="108" w:type="dxa"/>
          </w:tblCellMar>
        </w:tblPrEx>
        <w:trPr>
          <w:trHeight w:val="627" w:hRule="atLeast"/>
          <w:jc w:val="center"/>
        </w:trPr>
        <w:tc>
          <w:tcPr>
            <w:tcW w:w="15439" w:type="dxa"/>
            <w:gridSpan w:val="10"/>
            <w:vAlign w:val="center"/>
          </w:tcPr>
          <w:p>
            <w:pPr>
              <w:pStyle w:val="5"/>
              <w:widowControl w:val="0"/>
              <w:rPr>
                <w:rFonts w:hint="eastAsia" w:ascii="仿宋" w:hAnsi="仿宋" w:eastAsia="仿宋" w:cs="仿宋"/>
                <w:b/>
                <w:bCs/>
                <w:sz w:val="44"/>
                <w:szCs w:val="44"/>
                <w:lang w:val="en-US" w:eastAsia="zh-CN"/>
              </w:rPr>
            </w:pPr>
            <w:r>
              <w:rPr>
                <w:rFonts w:hint="eastAsia" w:ascii="宋体" w:hAnsi="宋体" w:eastAsia="宋体" w:cs="宋体"/>
                <w:b/>
                <w:bCs/>
                <w:color w:val="000000"/>
                <w:kern w:val="0"/>
                <w:sz w:val="36"/>
                <w:szCs w:val="36"/>
                <w:lang w:val="zh-CN" w:eastAsia="ar-SA" w:bidi="zh-CN"/>
              </w:rPr>
              <w:t>收入决算表</w:t>
            </w:r>
          </w:p>
        </w:tc>
      </w:tr>
      <w:tr>
        <w:tblPrEx>
          <w:tblCellMar>
            <w:top w:w="0" w:type="dxa"/>
            <w:left w:w="108" w:type="dxa"/>
            <w:bottom w:w="0" w:type="dxa"/>
            <w:right w:w="108" w:type="dxa"/>
          </w:tblCellMar>
        </w:tblPrEx>
        <w:trPr>
          <w:trHeight w:val="314" w:hRule="atLeast"/>
          <w:jc w:val="center"/>
        </w:trPr>
        <w:tc>
          <w:tcPr>
            <w:tcW w:w="4040" w:type="dxa"/>
            <w:gridSpan w:val="2"/>
            <w:vAlign w:val="center"/>
          </w:tcPr>
          <w:p>
            <w:pPr>
              <w:pStyle w:val="22"/>
              <w:widowControl w:val="0"/>
              <w:jc w:val="center"/>
              <w:rPr>
                <w:rFonts w:hint="eastAsia" w:ascii="仿宋" w:hAnsi="仿宋" w:eastAsia="仿宋" w:cs="仿宋"/>
              </w:rPr>
            </w:pPr>
          </w:p>
        </w:tc>
        <w:tc>
          <w:tcPr>
            <w:tcW w:w="1592" w:type="dxa"/>
            <w:vAlign w:val="center"/>
          </w:tcPr>
          <w:p>
            <w:pPr>
              <w:pStyle w:val="22"/>
              <w:widowControl w:val="0"/>
              <w:jc w:val="center"/>
              <w:rPr>
                <w:rFonts w:hint="eastAsia" w:ascii="仿宋" w:hAnsi="仿宋" w:eastAsia="仿宋" w:cs="仿宋"/>
              </w:rPr>
            </w:pPr>
          </w:p>
        </w:tc>
        <w:tc>
          <w:tcPr>
            <w:tcW w:w="1604" w:type="dxa"/>
            <w:vAlign w:val="center"/>
          </w:tcPr>
          <w:p>
            <w:pPr>
              <w:pStyle w:val="22"/>
              <w:widowControl w:val="0"/>
              <w:jc w:val="center"/>
              <w:rPr>
                <w:rFonts w:hint="eastAsia" w:ascii="仿宋" w:hAnsi="仿宋" w:eastAsia="仿宋" w:cs="仿宋"/>
              </w:rPr>
            </w:pPr>
          </w:p>
        </w:tc>
        <w:tc>
          <w:tcPr>
            <w:tcW w:w="1565" w:type="dxa"/>
            <w:vAlign w:val="center"/>
          </w:tcPr>
          <w:p>
            <w:pPr>
              <w:pStyle w:val="22"/>
              <w:widowControl w:val="0"/>
              <w:jc w:val="center"/>
              <w:rPr>
                <w:rFonts w:hint="eastAsia" w:ascii="仿宋" w:hAnsi="仿宋" w:eastAsia="仿宋" w:cs="仿宋"/>
              </w:rPr>
            </w:pPr>
          </w:p>
        </w:tc>
        <w:tc>
          <w:tcPr>
            <w:tcW w:w="2974" w:type="dxa"/>
            <w:gridSpan w:val="2"/>
            <w:vAlign w:val="center"/>
          </w:tcPr>
          <w:p>
            <w:pPr>
              <w:pStyle w:val="22"/>
              <w:widowControl w:val="0"/>
              <w:jc w:val="center"/>
              <w:rPr>
                <w:rFonts w:hint="eastAsia" w:ascii="仿宋" w:hAnsi="仿宋" w:eastAsia="仿宋" w:cs="仿宋"/>
              </w:rPr>
            </w:pPr>
          </w:p>
        </w:tc>
        <w:tc>
          <w:tcPr>
            <w:tcW w:w="1174" w:type="dxa"/>
            <w:vAlign w:val="center"/>
          </w:tcPr>
          <w:p>
            <w:pPr>
              <w:pStyle w:val="22"/>
              <w:widowControl w:val="0"/>
              <w:jc w:val="center"/>
              <w:rPr>
                <w:rFonts w:hint="eastAsia" w:ascii="仿宋" w:hAnsi="仿宋" w:eastAsia="仿宋" w:cs="仿宋"/>
              </w:rPr>
            </w:pPr>
          </w:p>
        </w:tc>
        <w:tc>
          <w:tcPr>
            <w:tcW w:w="2490" w:type="dxa"/>
            <w:gridSpan w:val="2"/>
            <w:vAlign w:val="center"/>
          </w:tcPr>
          <w:p>
            <w:pPr>
              <w:pStyle w:val="22"/>
              <w:widowControl w:val="0"/>
              <w:jc w:val="right"/>
              <w:rPr>
                <w:rFonts w:hint="eastAsia" w:ascii="仿宋" w:hAnsi="仿宋" w:eastAsia="仿宋" w:cs="仿宋"/>
              </w:rPr>
            </w:pPr>
            <w:r>
              <w:rPr>
                <w:rFonts w:hint="eastAsia" w:ascii="仿宋" w:hAnsi="仿宋" w:eastAsia="仿宋" w:cs="仿宋"/>
              </w:rPr>
              <w:t>公开02表</w:t>
            </w:r>
          </w:p>
        </w:tc>
      </w:tr>
      <w:tr>
        <w:tblPrEx>
          <w:tblCellMar>
            <w:top w:w="0" w:type="dxa"/>
            <w:left w:w="108" w:type="dxa"/>
            <w:bottom w:w="0" w:type="dxa"/>
            <w:right w:w="108" w:type="dxa"/>
          </w:tblCellMar>
        </w:tblPrEx>
        <w:trPr>
          <w:trHeight w:val="376" w:hRule="atLeast"/>
          <w:jc w:val="center"/>
        </w:trPr>
        <w:tc>
          <w:tcPr>
            <w:tcW w:w="12949" w:type="dxa"/>
            <w:gridSpan w:val="8"/>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常州市生态环境监控中心</w:t>
            </w:r>
          </w:p>
        </w:tc>
        <w:tc>
          <w:tcPr>
            <w:tcW w:w="2490" w:type="dxa"/>
            <w:gridSpan w:val="2"/>
            <w:vAlign w:val="center"/>
          </w:tcPr>
          <w:p>
            <w:pPr>
              <w:pStyle w:val="22"/>
              <w:widowControl w:val="0"/>
              <w:jc w:val="right"/>
              <w:rPr>
                <w:rFonts w:hint="eastAsia" w:ascii="仿宋" w:hAnsi="仿宋" w:eastAsia="仿宋" w:cs="仿宋"/>
              </w:rPr>
            </w:pPr>
            <w:r>
              <w:rPr>
                <w:rFonts w:hint="eastAsia" w:ascii="仿宋" w:hAnsi="仿宋" w:eastAsia="仿宋" w:cs="仿宋"/>
              </w:rPr>
              <w:t>金额单位：万元</w:t>
            </w:r>
          </w:p>
        </w:tc>
      </w:tr>
      <w:tr>
        <w:tblPrEx>
          <w:tblCellMar>
            <w:top w:w="0" w:type="dxa"/>
            <w:left w:w="108" w:type="dxa"/>
            <w:bottom w:w="0" w:type="dxa"/>
            <w:right w:w="108" w:type="dxa"/>
          </w:tblCellMar>
        </w:tblPrEx>
        <w:trPr>
          <w:cantSplit/>
          <w:trHeight w:val="312" w:hRule="atLeast"/>
          <w:jc w:val="center"/>
        </w:trPr>
        <w:tc>
          <w:tcPr>
            <w:tcW w:w="4040"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w:t>
            </w:r>
          </w:p>
        </w:tc>
        <w:tc>
          <w:tcPr>
            <w:tcW w:w="1592"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本年收入合计</w:t>
            </w:r>
          </w:p>
        </w:tc>
        <w:tc>
          <w:tcPr>
            <w:tcW w:w="1604"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财政拨款收入</w:t>
            </w:r>
          </w:p>
        </w:tc>
        <w:tc>
          <w:tcPr>
            <w:tcW w:w="1565"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上级补助收入</w:t>
            </w:r>
          </w:p>
        </w:tc>
        <w:tc>
          <w:tcPr>
            <w:tcW w:w="1396"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财政专户管理教育收费</w:t>
            </w:r>
          </w:p>
        </w:tc>
        <w:tc>
          <w:tcPr>
            <w:tcW w:w="1578"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事业收入（不含专户管理教育收费）</w:t>
            </w:r>
          </w:p>
        </w:tc>
        <w:tc>
          <w:tcPr>
            <w:tcW w:w="1174"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经营收入</w:t>
            </w:r>
          </w:p>
        </w:tc>
        <w:tc>
          <w:tcPr>
            <w:tcW w:w="1277"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附属单位上缴收入</w:t>
            </w:r>
          </w:p>
        </w:tc>
        <w:tc>
          <w:tcPr>
            <w:tcW w:w="1213"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其他收入</w:t>
            </w:r>
          </w:p>
        </w:tc>
      </w:tr>
      <w:tr>
        <w:tblPrEx>
          <w:tblCellMar>
            <w:top w:w="0" w:type="dxa"/>
            <w:left w:w="108" w:type="dxa"/>
            <w:bottom w:w="0" w:type="dxa"/>
            <w:right w:w="108" w:type="dxa"/>
          </w:tblCellMar>
        </w:tblPrEx>
        <w:trPr>
          <w:cantSplit/>
          <w:trHeight w:val="220" w:hRule="atLeast"/>
          <w:jc w:val="center"/>
        </w:trPr>
        <w:tc>
          <w:tcPr>
            <w:tcW w:w="1115"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功能分类</w:t>
            </w:r>
          </w:p>
          <w:p>
            <w:pPr>
              <w:pStyle w:val="22"/>
              <w:widowControl w:val="0"/>
              <w:jc w:val="center"/>
              <w:rPr>
                <w:rFonts w:hint="eastAsia" w:ascii="仿宋" w:hAnsi="仿宋" w:eastAsia="仿宋" w:cs="仿宋"/>
              </w:rPr>
            </w:pPr>
            <w:r>
              <w:rPr>
                <w:rFonts w:hint="eastAsia" w:ascii="仿宋" w:hAnsi="仿宋" w:eastAsia="仿宋" w:cs="仿宋"/>
              </w:rPr>
              <w:t>科目编码</w:t>
            </w:r>
          </w:p>
        </w:tc>
        <w:tc>
          <w:tcPr>
            <w:tcW w:w="2925"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1592"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604"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565"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396" w:type="dxa"/>
            <w:vMerge w:val="continue"/>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p>
        </w:tc>
        <w:tc>
          <w:tcPr>
            <w:tcW w:w="1578" w:type="dxa"/>
            <w:vMerge w:val="continue"/>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p>
        </w:tc>
        <w:tc>
          <w:tcPr>
            <w:tcW w:w="1174"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277"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213"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rPr>
            </w:pPr>
          </w:p>
        </w:tc>
      </w:tr>
      <w:tr>
        <w:tblPrEx>
          <w:tblCellMar>
            <w:top w:w="0" w:type="dxa"/>
            <w:left w:w="108" w:type="dxa"/>
            <w:bottom w:w="0" w:type="dxa"/>
            <w:right w:w="108" w:type="dxa"/>
          </w:tblCellMar>
        </w:tblPrEx>
        <w:trPr>
          <w:cantSplit/>
          <w:trHeight w:val="432" w:hRule="exact"/>
          <w:jc w:val="center"/>
        </w:trPr>
        <w:tc>
          <w:tcPr>
            <w:tcW w:w="4040"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1592"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6,358.83</w:t>
            </w:r>
          </w:p>
        </w:tc>
        <w:tc>
          <w:tcPr>
            <w:tcW w:w="1604"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5,806.71</w:t>
            </w:r>
          </w:p>
        </w:tc>
        <w:tc>
          <w:tcPr>
            <w:tcW w:w="1565"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c>
          <w:tcPr>
            <w:tcW w:w="1396"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c>
          <w:tcPr>
            <w:tcW w:w="1578"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552.12</w:t>
            </w:r>
          </w:p>
        </w:tc>
        <w:tc>
          <w:tcPr>
            <w:tcW w:w="1174"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c>
          <w:tcPr>
            <w:tcW w:w="1277"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c>
          <w:tcPr>
            <w:tcW w:w="1213"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卫生健康支出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10.22</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10.22</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21011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行政事业单位医疗</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10.22</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10.22</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2101102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事业单位医疗</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6.57</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6.57</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2101103</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公务员医疗补助</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3.65</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3.65</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节能环保支出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6,285.92</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5,733.80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552.12</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环境保护管理事务</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4,589.49</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4,037.37</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552.12</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2110102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一般行政管理事务</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507.60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507.60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2110199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其他环境保护管理事务支出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4,081.89</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3,529.77</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552.12</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21103</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污染防治</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1,166.08</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1,166.08</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2110302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水体</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1,166.08</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1,166.08</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21104</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自然生态保护</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530.35</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530.35</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2110401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生态保护</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530.35</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530.35</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住房保障支出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62.69</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62.69</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22102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住房改革支出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62.69</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62.69</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2210201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住房公积金</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21.79</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21.79</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2210202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提租补贴</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4.62</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4.62</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2210203</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购房补贴</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36.28</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36.28</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suppressAutoHyphens/>
        <w:bidi w:val="0"/>
        <w:spacing w:before="66" w:after="0"/>
        <w:ind w:left="0" w:leftChars="0" w:right="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color w:val="000000"/>
          <w:sz w:val="22"/>
          <w:szCs w:val="22"/>
        </w:rPr>
        <w:t>注：</w:t>
      </w:r>
      <w:r>
        <w:rPr>
          <w:rFonts w:hint="eastAsia" w:ascii="仿宋" w:hAnsi="仿宋" w:eastAsia="仿宋" w:cs="仿宋"/>
          <w:b w:val="0"/>
          <w:bCs w:val="0"/>
          <w:sz w:val="22"/>
          <w:szCs w:val="22"/>
        </w:rPr>
        <w:t>本表反映本年度取得的各项收入情况。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suppressAutoHyphens/>
        <w:bidi w:val="0"/>
        <w:spacing w:before="66" w:after="0"/>
        <w:ind w:left="57" w:right="0" w:firstLine="220" w:firstLineChars="100"/>
        <w:jc w:val="both"/>
        <w:rPr>
          <w:rFonts w:hint="eastAsia" w:ascii="仿宋" w:hAnsi="仿宋" w:eastAsia="仿宋" w:cs="仿宋"/>
          <w:b w:val="0"/>
          <w:bCs w:val="0"/>
          <w:sz w:val="22"/>
          <w:szCs w:val="22"/>
        </w:rPr>
        <w:sectPr>
          <w:footerReference r:id="rId9"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4183"/>
        <w:gridCol w:w="2011"/>
        <w:gridCol w:w="1486"/>
        <w:gridCol w:w="1564"/>
        <w:gridCol w:w="1593"/>
        <w:gridCol w:w="1472"/>
        <w:gridCol w:w="1482"/>
      </w:tblGrid>
      <w:tr>
        <w:tblPrEx>
          <w:tblCellMar>
            <w:top w:w="55" w:type="dxa"/>
            <w:left w:w="55" w:type="dxa"/>
            <w:bottom w:w="55" w:type="dxa"/>
            <w:right w:w="55" w:type="dxa"/>
          </w:tblCellMar>
        </w:tblPrEx>
        <w:trPr>
          <w:trHeight w:val="341" w:hRule="atLeast"/>
        </w:trPr>
        <w:tc>
          <w:tcPr>
            <w:tcW w:w="15347" w:type="dxa"/>
            <w:gridSpan w:val="8"/>
            <w:vAlign w:val="center"/>
          </w:tcPr>
          <w:p>
            <w:pPr>
              <w:pStyle w:val="5"/>
              <w:widowControl w:val="0"/>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支出决算表</w:t>
            </w:r>
          </w:p>
        </w:tc>
      </w:tr>
      <w:tr>
        <w:tblPrEx>
          <w:tblCellMar>
            <w:top w:w="55" w:type="dxa"/>
            <w:left w:w="55" w:type="dxa"/>
            <w:bottom w:w="55" w:type="dxa"/>
            <w:right w:w="55" w:type="dxa"/>
          </w:tblCellMar>
        </w:tblPrEx>
        <w:trPr>
          <w:trHeight w:val="321" w:hRule="atLeast"/>
        </w:trPr>
        <w:tc>
          <w:tcPr>
            <w:tcW w:w="5739" w:type="dxa"/>
            <w:gridSpan w:val="2"/>
            <w:vAlign w:val="center"/>
          </w:tcPr>
          <w:p>
            <w:pPr>
              <w:pStyle w:val="22"/>
              <w:widowControl w:val="0"/>
              <w:jc w:val="center"/>
              <w:rPr>
                <w:rFonts w:hint="eastAsia" w:ascii="仿宋" w:hAnsi="仿宋" w:eastAsia="仿宋" w:cs="仿宋"/>
              </w:rPr>
            </w:pPr>
          </w:p>
        </w:tc>
        <w:tc>
          <w:tcPr>
            <w:tcW w:w="2011" w:type="dxa"/>
            <w:vAlign w:val="center"/>
          </w:tcPr>
          <w:p>
            <w:pPr>
              <w:pStyle w:val="22"/>
              <w:widowControl w:val="0"/>
              <w:spacing w:before="0" w:after="0"/>
              <w:ind w:firstLine="0"/>
              <w:jc w:val="center"/>
              <w:rPr>
                <w:rFonts w:hint="eastAsia" w:ascii="仿宋" w:hAnsi="仿宋" w:eastAsia="仿宋" w:cs="仿宋"/>
                <w:sz w:val="20"/>
              </w:rPr>
            </w:pPr>
          </w:p>
        </w:tc>
        <w:tc>
          <w:tcPr>
            <w:tcW w:w="1486" w:type="dxa"/>
            <w:vAlign w:val="center"/>
          </w:tcPr>
          <w:p>
            <w:pPr>
              <w:pStyle w:val="22"/>
              <w:widowControl w:val="0"/>
              <w:spacing w:before="0" w:after="0"/>
              <w:ind w:firstLine="0"/>
              <w:jc w:val="center"/>
              <w:rPr>
                <w:rFonts w:hint="eastAsia" w:ascii="仿宋" w:hAnsi="仿宋" w:eastAsia="仿宋" w:cs="仿宋"/>
                <w:sz w:val="20"/>
              </w:rPr>
            </w:pPr>
          </w:p>
        </w:tc>
        <w:tc>
          <w:tcPr>
            <w:tcW w:w="1564" w:type="dxa"/>
            <w:vAlign w:val="center"/>
          </w:tcPr>
          <w:p>
            <w:pPr>
              <w:pStyle w:val="22"/>
              <w:widowControl w:val="0"/>
              <w:spacing w:before="0" w:after="0"/>
              <w:ind w:firstLine="0"/>
              <w:jc w:val="center"/>
              <w:rPr>
                <w:rFonts w:hint="eastAsia" w:ascii="仿宋" w:hAnsi="仿宋" w:eastAsia="仿宋" w:cs="仿宋"/>
                <w:sz w:val="20"/>
              </w:rPr>
            </w:pPr>
          </w:p>
        </w:tc>
        <w:tc>
          <w:tcPr>
            <w:tcW w:w="1593" w:type="dxa"/>
            <w:vAlign w:val="center"/>
          </w:tcPr>
          <w:p>
            <w:pPr>
              <w:pStyle w:val="22"/>
              <w:widowControl w:val="0"/>
              <w:spacing w:before="0" w:after="0"/>
              <w:ind w:firstLine="0"/>
              <w:jc w:val="center"/>
              <w:rPr>
                <w:rFonts w:hint="eastAsia" w:ascii="仿宋" w:hAnsi="仿宋" w:eastAsia="仿宋" w:cs="仿宋"/>
                <w:sz w:val="20"/>
              </w:rPr>
            </w:pPr>
          </w:p>
        </w:tc>
        <w:tc>
          <w:tcPr>
            <w:tcW w:w="2954" w:type="dxa"/>
            <w:gridSpan w:val="2"/>
            <w:vAlign w:val="center"/>
          </w:tcPr>
          <w:p>
            <w:pPr>
              <w:pStyle w:val="22"/>
              <w:widowControl w:val="0"/>
              <w:spacing w:before="0" w:after="0"/>
              <w:ind w:firstLine="0"/>
              <w:jc w:val="right"/>
              <w:rPr>
                <w:rFonts w:hint="eastAsia" w:ascii="仿宋" w:hAnsi="仿宋" w:eastAsia="仿宋" w:cs="仿宋"/>
                <w:sz w:val="22"/>
                <w:szCs w:val="22"/>
              </w:rPr>
            </w:pPr>
            <w:r>
              <w:rPr>
                <w:rFonts w:hint="eastAsia" w:ascii="仿宋" w:hAnsi="仿宋" w:eastAsia="仿宋" w:cs="仿宋"/>
                <w:sz w:val="22"/>
                <w:szCs w:val="22"/>
              </w:rPr>
              <w:t>公开03表</w:t>
            </w:r>
          </w:p>
        </w:tc>
      </w:tr>
      <w:tr>
        <w:tblPrEx>
          <w:tblCellMar>
            <w:top w:w="55" w:type="dxa"/>
            <w:left w:w="55" w:type="dxa"/>
            <w:bottom w:w="55" w:type="dxa"/>
            <w:right w:w="55" w:type="dxa"/>
          </w:tblCellMar>
        </w:tblPrEx>
        <w:trPr>
          <w:trHeight w:val="321" w:hRule="atLeast"/>
        </w:trPr>
        <w:tc>
          <w:tcPr>
            <w:tcW w:w="12393" w:type="dxa"/>
            <w:gridSpan w:val="6"/>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常州市生态环境监控中心</w:t>
            </w:r>
          </w:p>
        </w:tc>
        <w:tc>
          <w:tcPr>
            <w:tcW w:w="2954" w:type="dxa"/>
            <w:gridSpan w:val="2"/>
            <w:vAlign w:val="center"/>
          </w:tcPr>
          <w:p>
            <w:pPr>
              <w:pStyle w:val="22"/>
              <w:widowControl w:val="0"/>
              <w:spacing w:before="0" w:after="0"/>
              <w:ind w:firstLine="0"/>
              <w:jc w:val="right"/>
              <w:rPr>
                <w:rFonts w:hint="eastAsia" w:ascii="仿宋" w:hAnsi="仿宋" w:eastAsia="仿宋" w:cs="仿宋"/>
                <w:sz w:val="22"/>
                <w:szCs w:val="22"/>
              </w:rPr>
            </w:pPr>
            <w:r>
              <w:rPr>
                <w:rFonts w:hint="eastAsia" w:ascii="仿宋" w:hAnsi="仿宋" w:eastAsia="仿宋" w:cs="仿宋"/>
                <w:sz w:val="22"/>
                <w:szCs w:val="22"/>
              </w:rPr>
              <w:t>金额单位：万元</w:t>
            </w:r>
          </w:p>
        </w:tc>
      </w:tr>
      <w:tr>
        <w:tblPrEx>
          <w:tblCellMar>
            <w:top w:w="55" w:type="dxa"/>
            <w:left w:w="55" w:type="dxa"/>
            <w:bottom w:w="55" w:type="dxa"/>
            <w:right w:w="55" w:type="dxa"/>
          </w:tblCellMar>
        </w:tblPrEx>
        <w:trPr>
          <w:trHeight w:val="321" w:hRule="atLeast"/>
        </w:trPr>
        <w:tc>
          <w:tcPr>
            <w:tcW w:w="5739"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kern w:val="0"/>
                <w:sz w:val="22"/>
                <w:szCs w:val="22"/>
              </w:rPr>
              <w:t>项目</w:t>
            </w:r>
          </w:p>
        </w:tc>
        <w:tc>
          <w:tcPr>
            <w:tcW w:w="2011"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本年支出合计</w:t>
            </w:r>
          </w:p>
        </w:tc>
        <w:tc>
          <w:tcPr>
            <w:tcW w:w="1486"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564"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593"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472"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经营支出</w:t>
            </w:r>
          </w:p>
        </w:tc>
        <w:tc>
          <w:tcPr>
            <w:tcW w:w="1482"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tblPrEx>
          <w:tblCellMar>
            <w:top w:w="55" w:type="dxa"/>
            <w:left w:w="55" w:type="dxa"/>
            <w:bottom w:w="55" w:type="dxa"/>
            <w:right w:w="55" w:type="dxa"/>
          </w:tblCellMar>
        </w:tblPrEx>
        <w:trPr>
          <w:trHeight w:val="370" w:hRule="atLeast"/>
        </w:trPr>
        <w:tc>
          <w:tcPr>
            <w:tcW w:w="1556" w:type="dxa"/>
            <w:tcBorders>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kern w:val="0"/>
                <w:sz w:val="22"/>
                <w:szCs w:val="22"/>
              </w:rPr>
            </w:pPr>
            <w:r>
              <w:rPr>
                <w:rFonts w:hint="eastAsia" w:ascii="仿宋" w:hAnsi="仿宋" w:eastAsia="仿宋" w:cs="仿宋"/>
                <w:kern w:val="0"/>
                <w:sz w:val="22"/>
                <w:szCs w:val="22"/>
              </w:rPr>
              <w:t>功能分类</w:t>
            </w:r>
          </w:p>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4183" w:type="dxa"/>
            <w:tcBorders>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科目名称</w:t>
            </w:r>
          </w:p>
        </w:tc>
        <w:tc>
          <w:tcPr>
            <w:tcW w:w="2011"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486"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564"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593"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472"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482" w:type="dxa"/>
            <w:vMerge w:val="continue"/>
            <w:tcBorders>
              <w:left w:val="single" w:color="000000" w:sz="4" w:space="0"/>
              <w:bottom w:val="single" w:color="000000" w:sz="4" w:space="0"/>
              <w:right w:val="single" w:color="000000" w:sz="4" w:space="0"/>
            </w:tcBorders>
          </w:tcPr>
          <w:p>
            <w:pPr>
              <w:widowControl w:val="0"/>
              <w:spacing w:before="0" w:after="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403" w:hRule="exact"/>
        </w:trPr>
        <w:tc>
          <w:tcPr>
            <w:tcW w:w="5739"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2011"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6,358.83</w:t>
            </w:r>
          </w:p>
        </w:tc>
        <w:tc>
          <w:tcPr>
            <w:tcW w:w="1486"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310.28</w:t>
            </w:r>
          </w:p>
        </w:tc>
        <w:tc>
          <w:tcPr>
            <w:tcW w:w="1564"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6,048.55</w:t>
            </w:r>
          </w:p>
        </w:tc>
        <w:tc>
          <w:tcPr>
            <w:tcW w:w="1593"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c>
          <w:tcPr>
            <w:tcW w:w="1472"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c>
          <w:tcPr>
            <w:tcW w:w="1482"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卫生健康支出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10.22</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10.22</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21011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行政事业单位医疗</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10.22</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10.22</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2101102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事业单位医疗</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6.57</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6.57</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2101103</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公务员医疗补助</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3.65</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3.65</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节能环保支出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6,285.92</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237.37</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6,048.55</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环境保护管理事务</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4,589.49</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237.37</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4,352.12</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2110102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一般行政管理事务</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507.60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507.60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2110199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其他环境保护管理事务支出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4,081.89</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237.37</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3,844.52</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21103</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污染防治</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1,166.08</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1,166.08</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2110302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水体</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1,166.08</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1,166.08</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21104</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自然生态保护</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530.35</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530.35</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2110401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生态保护</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530.35</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530.35</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住房保障支出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62.69</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62.69</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住房改革支出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62.69</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62.69</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2210201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住房公积金</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21.79</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21.79</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2210202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提租补贴</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4.62</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4.62</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2210203</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购房补贴</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36.28</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36.28</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bl>
    <w:p>
      <w:pPr>
        <w:widowControl w:val="0"/>
        <w:suppressAutoHyphens/>
        <w:bidi w:val="0"/>
        <w:spacing w:before="59" w:after="0"/>
        <w:ind w:left="0" w:leftChars="0" w:right="0" w:firstLine="0" w:firstLineChars="0"/>
        <w:jc w:val="left"/>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注：本表反映本年度各项支出情况。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suppressAutoHyphens/>
        <w:bidi w:val="0"/>
        <w:spacing w:before="59" w:after="0"/>
        <w:ind w:left="57" w:right="0" w:firstLine="0"/>
        <w:jc w:val="left"/>
        <w:rPr>
          <w:rFonts w:hint="eastAsia" w:ascii="仿宋" w:hAnsi="仿宋" w:eastAsia="仿宋" w:cs="仿宋"/>
          <w:b w:val="0"/>
          <w:bCs w:val="0"/>
          <w:sz w:val="22"/>
          <w:szCs w:val="22"/>
        </w:rPr>
        <w:sectPr>
          <w:footerReference r:id="rId10"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72" w:type="dxa"/>
        <w:tblInd w:w="75" w:type="dxa"/>
        <w:tblLayout w:type="fixed"/>
        <w:tblCellMar>
          <w:top w:w="55" w:type="dxa"/>
          <w:left w:w="55" w:type="dxa"/>
          <w:bottom w:w="55" w:type="dxa"/>
          <w:right w:w="55" w:type="dxa"/>
        </w:tblCellMar>
      </w:tblPr>
      <w:tblGrid>
        <w:gridCol w:w="3725"/>
        <w:gridCol w:w="1837"/>
        <w:gridCol w:w="847"/>
        <w:gridCol w:w="1913"/>
        <w:gridCol w:w="907"/>
        <w:gridCol w:w="1728"/>
        <w:gridCol w:w="1194"/>
        <w:gridCol w:w="221"/>
        <w:gridCol w:w="1500"/>
        <w:gridCol w:w="1500"/>
      </w:tblGrid>
      <w:tr>
        <w:tblPrEx>
          <w:tblCellMar>
            <w:top w:w="55" w:type="dxa"/>
            <w:left w:w="55" w:type="dxa"/>
            <w:bottom w:w="55" w:type="dxa"/>
            <w:right w:w="55" w:type="dxa"/>
          </w:tblCellMar>
        </w:tblPrEx>
        <w:trPr>
          <w:trHeight w:val="319" w:hRule="atLeast"/>
        </w:trPr>
        <w:tc>
          <w:tcPr>
            <w:tcW w:w="15372" w:type="dxa"/>
            <w:gridSpan w:val="10"/>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财政拨款收入支出决算总表</w:t>
            </w:r>
          </w:p>
        </w:tc>
      </w:tr>
      <w:tr>
        <w:tblPrEx>
          <w:tblCellMar>
            <w:top w:w="55" w:type="dxa"/>
            <w:left w:w="55" w:type="dxa"/>
            <w:bottom w:w="55" w:type="dxa"/>
            <w:right w:w="55" w:type="dxa"/>
          </w:tblCellMar>
        </w:tblPrEx>
        <w:trPr>
          <w:trHeight w:val="319" w:hRule="atLeast"/>
        </w:trPr>
        <w:tc>
          <w:tcPr>
            <w:tcW w:w="5562" w:type="dxa"/>
            <w:gridSpan w:val="2"/>
          </w:tcPr>
          <w:p>
            <w:pPr>
              <w:pStyle w:val="22"/>
              <w:widowControl w:val="0"/>
              <w:rPr>
                <w:rFonts w:hint="eastAsia" w:ascii="仿宋" w:hAnsi="仿宋" w:eastAsia="仿宋" w:cs="仿宋"/>
                <w:sz w:val="20"/>
              </w:rPr>
            </w:pPr>
          </w:p>
        </w:tc>
        <w:tc>
          <w:tcPr>
            <w:tcW w:w="847" w:type="dxa"/>
          </w:tcPr>
          <w:p>
            <w:pPr>
              <w:pStyle w:val="22"/>
              <w:widowControl w:val="0"/>
              <w:rPr>
                <w:rFonts w:hint="eastAsia" w:ascii="仿宋" w:hAnsi="仿宋" w:eastAsia="仿宋" w:cs="仿宋"/>
                <w:sz w:val="20"/>
              </w:rPr>
            </w:pPr>
          </w:p>
        </w:tc>
        <w:tc>
          <w:tcPr>
            <w:tcW w:w="1913" w:type="dxa"/>
          </w:tcPr>
          <w:p>
            <w:pPr>
              <w:pStyle w:val="22"/>
              <w:widowControl w:val="0"/>
              <w:rPr>
                <w:rFonts w:hint="eastAsia" w:ascii="仿宋" w:hAnsi="仿宋" w:eastAsia="仿宋" w:cs="仿宋"/>
                <w:sz w:val="20"/>
              </w:rPr>
            </w:pPr>
          </w:p>
        </w:tc>
        <w:tc>
          <w:tcPr>
            <w:tcW w:w="2635" w:type="dxa"/>
            <w:gridSpan w:val="2"/>
          </w:tcPr>
          <w:p>
            <w:pPr>
              <w:pStyle w:val="22"/>
              <w:widowControl w:val="0"/>
              <w:rPr>
                <w:rFonts w:hint="eastAsia" w:ascii="仿宋" w:hAnsi="仿宋" w:eastAsia="仿宋" w:cs="仿宋"/>
                <w:sz w:val="20"/>
              </w:rPr>
            </w:pPr>
          </w:p>
        </w:tc>
        <w:tc>
          <w:tcPr>
            <w:tcW w:w="1194" w:type="dxa"/>
          </w:tcPr>
          <w:p>
            <w:pPr>
              <w:pStyle w:val="22"/>
              <w:widowControl w:val="0"/>
              <w:rPr>
                <w:rFonts w:hint="eastAsia" w:ascii="仿宋" w:hAnsi="仿宋" w:eastAsia="仿宋" w:cs="仿宋"/>
                <w:sz w:val="20"/>
              </w:rPr>
            </w:pPr>
          </w:p>
        </w:tc>
        <w:tc>
          <w:tcPr>
            <w:tcW w:w="3221" w:type="dxa"/>
            <w:gridSpan w:val="3"/>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公开04表</w:t>
            </w:r>
          </w:p>
        </w:tc>
      </w:tr>
      <w:tr>
        <w:tblPrEx>
          <w:tblCellMar>
            <w:top w:w="55" w:type="dxa"/>
            <w:left w:w="55" w:type="dxa"/>
            <w:bottom w:w="55" w:type="dxa"/>
            <w:right w:w="55" w:type="dxa"/>
          </w:tblCellMar>
        </w:tblPrEx>
        <w:trPr>
          <w:trHeight w:val="319" w:hRule="atLeast"/>
        </w:trPr>
        <w:tc>
          <w:tcPr>
            <w:tcW w:w="12151" w:type="dxa"/>
            <w:gridSpan w:val="7"/>
          </w:tcPr>
          <w:p>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sz w:val="22"/>
                <w:szCs w:val="22"/>
              </w:rPr>
              <w:t>常州市生态环境监控中心</w:t>
            </w:r>
          </w:p>
        </w:tc>
        <w:tc>
          <w:tcPr>
            <w:tcW w:w="3221" w:type="dxa"/>
            <w:gridSpan w:val="3"/>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金额单位：万元</w:t>
            </w:r>
          </w:p>
        </w:tc>
      </w:tr>
      <w:tr>
        <w:tblPrEx>
          <w:tblCellMar>
            <w:top w:w="55" w:type="dxa"/>
            <w:left w:w="55" w:type="dxa"/>
            <w:bottom w:w="55" w:type="dxa"/>
            <w:right w:w="55" w:type="dxa"/>
          </w:tblCellMar>
        </w:tblPrEx>
        <w:trPr>
          <w:trHeight w:val="162" w:hRule="atLeast"/>
        </w:trPr>
        <w:tc>
          <w:tcPr>
            <w:tcW w:w="5562"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收</w:t>
            </w:r>
            <w:r>
              <w:rPr>
                <w:rFonts w:hint="eastAsia" w:ascii="仿宋" w:hAnsi="仿宋" w:eastAsia="仿宋" w:cs="仿宋"/>
                <w:sz w:val="22"/>
                <w:szCs w:val="22"/>
              </w:rPr>
              <w:tab/>
            </w:r>
            <w:r>
              <w:rPr>
                <w:rFonts w:hint="eastAsia" w:ascii="仿宋" w:hAnsi="仿宋" w:eastAsia="仿宋" w:cs="仿宋"/>
                <w:sz w:val="22"/>
                <w:szCs w:val="22"/>
              </w:rPr>
              <w:t>入</w:t>
            </w:r>
          </w:p>
        </w:tc>
        <w:tc>
          <w:tcPr>
            <w:tcW w:w="9810" w:type="dxa"/>
            <w:gridSpan w:val="8"/>
            <w:tcBorders>
              <w:top w:val="single" w:color="000000" w:sz="4" w:space="0"/>
              <w:left w:val="single" w:color="000000" w:sz="4" w:space="0"/>
              <w:bottom w:val="single" w:color="000000" w:sz="4" w:space="0"/>
              <w:right w:val="single" w:color="000000" w:sz="4" w:space="0"/>
            </w:tcBorders>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支</w:t>
            </w:r>
            <w:r>
              <w:rPr>
                <w:rFonts w:hint="eastAsia" w:ascii="仿宋" w:hAnsi="仿宋" w:eastAsia="仿宋" w:cs="仿宋"/>
                <w:sz w:val="22"/>
                <w:szCs w:val="22"/>
              </w:rPr>
              <w:tab/>
            </w:r>
            <w:r>
              <w:rPr>
                <w:rFonts w:hint="eastAsia" w:ascii="仿宋" w:hAnsi="仿宋" w:eastAsia="仿宋" w:cs="仿宋"/>
                <w:sz w:val="22"/>
                <w:szCs w:val="22"/>
              </w:rPr>
              <w:t>出</w:t>
            </w:r>
          </w:p>
        </w:tc>
      </w:tr>
      <w:tr>
        <w:tblPrEx>
          <w:tblCellMar>
            <w:top w:w="55" w:type="dxa"/>
            <w:left w:w="55" w:type="dxa"/>
            <w:bottom w:w="55" w:type="dxa"/>
            <w:right w:w="55" w:type="dxa"/>
          </w:tblCellMar>
        </w:tblPrEx>
        <w:trPr>
          <w:trHeight w:val="199" w:hRule="atLeast"/>
        </w:trPr>
        <w:tc>
          <w:tcPr>
            <w:tcW w:w="3725"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w:t>
            </w:r>
            <w:r>
              <w:rPr>
                <w:rFonts w:hint="eastAsia" w:ascii="仿宋" w:hAnsi="仿宋" w:eastAsia="仿宋" w:cs="仿宋"/>
                <w:sz w:val="22"/>
                <w:szCs w:val="22"/>
              </w:rPr>
              <w:tab/>
            </w:r>
            <w:r>
              <w:rPr>
                <w:rFonts w:hint="eastAsia" w:ascii="仿宋" w:hAnsi="仿宋" w:eastAsia="仿宋" w:cs="仿宋"/>
                <w:sz w:val="22"/>
                <w:szCs w:val="22"/>
              </w:rPr>
              <w:t>目</w:t>
            </w:r>
          </w:p>
        </w:tc>
        <w:tc>
          <w:tcPr>
            <w:tcW w:w="1837"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决算数</w:t>
            </w:r>
          </w:p>
        </w:tc>
        <w:tc>
          <w:tcPr>
            <w:tcW w:w="3667" w:type="dxa"/>
            <w:gridSpan w:val="3"/>
            <w:vMerge w:val="restart"/>
            <w:tcBorders>
              <w:left w:val="single" w:color="000000" w:sz="4" w:space="0"/>
              <w:bottom w:val="single" w:color="000000" w:sz="4" w:space="0"/>
            </w:tcBorders>
            <w:vAlign w:val="center"/>
          </w:tcPr>
          <w:p>
            <w:pPr>
              <w:widowControl w:val="0"/>
              <w:jc w:val="center"/>
              <w:rPr>
                <w:rFonts w:hint="eastAsia" w:ascii="仿宋" w:hAnsi="仿宋" w:eastAsia="仿宋" w:cs="仿宋"/>
                <w:sz w:val="22"/>
                <w:szCs w:val="22"/>
              </w:rPr>
            </w:pPr>
            <w:r>
              <w:rPr>
                <w:rFonts w:hint="eastAsia" w:ascii="仿宋" w:hAnsi="仿宋" w:eastAsia="仿宋" w:cs="仿宋"/>
                <w:sz w:val="22"/>
                <w:szCs w:val="22"/>
              </w:rPr>
              <w:t>按功能分类</w:t>
            </w:r>
          </w:p>
        </w:tc>
        <w:tc>
          <w:tcPr>
            <w:tcW w:w="6143" w:type="dxa"/>
            <w:gridSpan w:val="5"/>
            <w:tcBorders>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sz w:val="22"/>
                <w:szCs w:val="22"/>
              </w:rPr>
            </w:pPr>
            <w:r>
              <w:rPr>
                <w:rFonts w:hint="eastAsia" w:ascii="仿宋" w:hAnsi="仿宋" w:eastAsia="仿宋" w:cs="仿宋"/>
                <w:sz w:val="22"/>
                <w:szCs w:val="22"/>
              </w:rPr>
              <w:t>决算数</w:t>
            </w:r>
          </w:p>
        </w:tc>
      </w:tr>
      <w:tr>
        <w:tblPrEx>
          <w:tblCellMar>
            <w:top w:w="55" w:type="dxa"/>
            <w:left w:w="55" w:type="dxa"/>
            <w:bottom w:w="55" w:type="dxa"/>
            <w:right w:w="55" w:type="dxa"/>
          </w:tblCellMar>
        </w:tblPrEx>
        <w:trPr>
          <w:trHeight w:val="578" w:hRule="atLeast"/>
        </w:trPr>
        <w:tc>
          <w:tcPr>
            <w:tcW w:w="3725" w:type="dxa"/>
            <w:vMerge w:val="continue"/>
            <w:tcBorders>
              <w:left w:val="single" w:color="000000" w:sz="4" w:space="0"/>
              <w:bottom w:val="single" w:color="000000" w:sz="4" w:space="0"/>
            </w:tcBorders>
          </w:tcPr>
          <w:p>
            <w:pPr>
              <w:pStyle w:val="22"/>
              <w:widowControl w:val="0"/>
              <w:rPr>
                <w:rFonts w:hint="eastAsia" w:ascii="仿宋" w:hAnsi="仿宋" w:eastAsia="仿宋" w:cs="仿宋"/>
                <w:sz w:val="22"/>
                <w:szCs w:val="22"/>
              </w:rPr>
            </w:pPr>
          </w:p>
        </w:tc>
        <w:tc>
          <w:tcPr>
            <w:tcW w:w="1837" w:type="dxa"/>
            <w:vMerge w:val="continue"/>
            <w:tcBorders>
              <w:left w:val="single" w:color="000000" w:sz="4" w:space="0"/>
              <w:bottom w:val="single" w:color="000000" w:sz="4" w:space="0"/>
            </w:tcBorders>
          </w:tcPr>
          <w:p>
            <w:pPr>
              <w:pStyle w:val="22"/>
              <w:widowControl w:val="0"/>
              <w:rPr>
                <w:rFonts w:hint="eastAsia" w:ascii="仿宋" w:hAnsi="仿宋" w:eastAsia="仿宋" w:cs="仿宋"/>
                <w:sz w:val="22"/>
                <w:szCs w:val="22"/>
              </w:rPr>
            </w:pPr>
          </w:p>
        </w:tc>
        <w:tc>
          <w:tcPr>
            <w:tcW w:w="3667" w:type="dxa"/>
            <w:gridSpan w:val="3"/>
            <w:vMerge w:val="continue"/>
            <w:tcBorders>
              <w:left w:val="single" w:color="000000" w:sz="4" w:space="0"/>
              <w:bottom w:val="single" w:color="000000" w:sz="4" w:space="0"/>
            </w:tcBorders>
          </w:tcPr>
          <w:p>
            <w:pPr>
              <w:pStyle w:val="22"/>
              <w:widowControl w:val="0"/>
              <w:rPr>
                <w:rFonts w:hint="eastAsia" w:ascii="仿宋" w:hAnsi="仿宋" w:eastAsia="仿宋" w:cs="仿宋"/>
                <w:sz w:val="22"/>
                <w:szCs w:val="22"/>
              </w:rPr>
            </w:pPr>
          </w:p>
        </w:tc>
        <w:tc>
          <w:tcPr>
            <w:tcW w:w="1728"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小计</w:t>
            </w:r>
          </w:p>
        </w:tc>
        <w:tc>
          <w:tcPr>
            <w:tcW w:w="1415"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一般公共预算财政拨款</w:t>
            </w:r>
          </w:p>
        </w:tc>
        <w:tc>
          <w:tcPr>
            <w:tcW w:w="150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政府性基金预算财政拨款</w:t>
            </w:r>
          </w:p>
        </w:tc>
        <w:tc>
          <w:tcPr>
            <w:tcW w:w="1500"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国有资本经营预算财政拨款</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5,806.71</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九、卫生健康支出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10.22</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10.22</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十、节能环保支出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5,733.80</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5,733.80</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十一、城乡社区支出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十二、农林水支出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十三、交通运输支出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十四、资源勘探工业信息等支出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十五、商业服务业等支出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十六、金融支出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十七、援助其他地区支出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十八、自然资源海洋气象等支出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十九、住房保障支出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62.69</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62.69</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二十、粮油物资储备支出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二十一、国有资本经营预算支出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二十二、灾害防治及应急管理支出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二十三、其他支出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二十四、债务还本支出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二十五、债务付息支出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二十六、抗疫特别国债安排的支出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359" w:hRule="exact"/>
        </w:trPr>
        <w:tc>
          <w:tcPr>
            <w:tcW w:w="3725" w:type="dxa"/>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b/>
                <w:bCs/>
                <w:sz w:val="22"/>
                <w:szCs w:val="22"/>
              </w:rPr>
              <w:t>本年收入合计</w:t>
            </w:r>
          </w:p>
        </w:tc>
        <w:tc>
          <w:tcPr>
            <w:tcW w:w="1837" w:type="dxa"/>
            <w:tcBorders>
              <w:top w:val="single" w:color="000000" w:sz="4" w:space="0"/>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5,806.71</w:t>
            </w:r>
          </w:p>
        </w:tc>
        <w:tc>
          <w:tcPr>
            <w:tcW w:w="3667" w:type="dxa"/>
            <w:gridSpan w:val="3"/>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rPr>
              <w:t>本年支出合计</w:t>
            </w:r>
          </w:p>
        </w:tc>
        <w:tc>
          <w:tcPr>
            <w:tcW w:w="1728" w:type="dxa"/>
            <w:tcBorders>
              <w:top w:val="single" w:color="000000" w:sz="4" w:space="0"/>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5,806.71</w:t>
            </w:r>
          </w:p>
        </w:tc>
        <w:tc>
          <w:tcPr>
            <w:tcW w:w="1415" w:type="dxa"/>
            <w:gridSpan w:val="2"/>
            <w:tcBorders>
              <w:top w:val="single" w:color="000000" w:sz="4" w:space="0"/>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5,806.71</w:t>
            </w:r>
          </w:p>
        </w:tc>
        <w:tc>
          <w:tcPr>
            <w:tcW w:w="1500" w:type="dxa"/>
            <w:tcBorders>
              <w:top w:val="single" w:color="000000" w:sz="4" w:space="0"/>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年初财政拨款结转和结余</w:t>
            </w:r>
          </w:p>
        </w:tc>
        <w:tc>
          <w:tcPr>
            <w:tcW w:w="183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年末财政拨款结转和结余</w:t>
            </w:r>
          </w:p>
        </w:tc>
        <w:tc>
          <w:tcPr>
            <w:tcW w:w="172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一、一般公共预算财政拨款</w:t>
            </w:r>
          </w:p>
        </w:tc>
        <w:tc>
          <w:tcPr>
            <w:tcW w:w="183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72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二、政府性基金预算财政拨款</w:t>
            </w:r>
          </w:p>
        </w:tc>
        <w:tc>
          <w:tcPr>
            <w:tcW w:w="183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72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三、国有资本经营预算财政拨款</w:t>
            </w:r>
          </w:p>
        </w:tc>
        <w:tc>
          <w:tcPr>
            <w:tcW w:w="183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72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322" w:hRule="exact"/>
        </w:trPr>
        <w:tc>
          <w:tcPr>
            <w:tcW w:w="3725"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rPr>
              <w:t>总计</w:t>
            </w:r>
          </w:p>
        </w:tc>
        <w:tc>
          <w:tcPr>
            <w:tcW w:w="1837"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5,806.71</w:t>
            </w:r>
          </w:p>
        </w:tc>
        <w:tc>
          <w:tcPr>
            <w:tcW w:w="3667" w:type="dxa"/>
            <w:gridSpan w:val="3"/>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rPr>
              <w:t>总计</w:t>
            </w:r>
          </w:p>
        </w:tc>
        <w:tc>
          <w:tcPr>
            <w:tcW w:w="1728"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5,806.71</w:t>
            </w:r>
          </w:p>
        </w:tc>
        <w:tc>
          <w:tcPr>
            <w:tcW w:w="1415" w:type="dxa"/>
            <w:gridSpan w:val="2"/>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5,806.71</w:t>
            </w:r>
          </w:p>
        </w:tc>
        <w:tc>
          <w:tcPr>
            <w:tcW w:w="1500"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ind w:left="0" w:leftChars="0" w:firstLine="0" w:firstLineChars="0"/>
        <w:jc w:val="both"/>
        <w:rPr>
          <w:rFonts w:hint="eastAsia" w:ascii="仿宋" w:hAnsi="仿宋" w:eastAsia="仿宋" w:cs="仿宋"/>
          <w:b w:val="0"/>
          <w:bCs w:val="0"/>
        </w:rPr>
      </w:pPr>
      <w:r>
        <w:rPr>
          <w:rFonts w:hint="eastAsia" w:ascii="仿宋" w:hAnsi="仿宋" w:eastAsia="仿宋" w:cs="仿宋"/>
          <w:b w:val="0"/>
          <w:bCs w:val="0"/>
          <w:lang w:val="en-US" w:eastAsia="zh-CN"/>
        </w:rPr>
        <w:t>注：</w:t>
      </w:r>
      <w:r>
        <w:rPr>
          <w:rFonts w:hint="eastAsia" w:ascii="仿宋" w:hAnsi="仿宋" w:eastAsia="仿宋" w:cs="仿宋"/>
          <w:b w:val="0"/>
          <w:bCs w:val="0"/>
        </w:rPr>
        <w:t>本表反映本年度一般公共预算财政拨款、政府性基金预算财政拨款和国有资本经营预算财政拨款的总收支和年末结转结余情况。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rPr>
        <w:t>本表金额单位转换时可能存在尾数误差。</w:t>
      </w:r>
      <w:r>
        <w:rPr>
          <w:rFonts w:hint="eastAsia" w:ascii="仿宋" w:hAnsi="仿宋" w:eastAsia="仿宋" w:cs="仿宋"/>
          <w:b w:val="0"/>
          <w:bCs w:val="0"/>
          <w:sz w:val="22"/>
          <w:szCs w:val="22"/>
          <w:lang w:val="en-US" w:eastAsia="zh-CN"/>
        </w:rPr>
        <w:t/>
      </w:r>
    </w:p>
    <w:p>
      <w:pPr>
        <w:jc w:val="both"/>
        <w:rPr>
          <w:rFonts w:hint="eastAsia" w:ascii="仿宋" w:hAnsi="仿宋" w:eastAsia="仿宋" w:cs="仿宋"/>
          <w:b w:val="0"/>
          <w:bCs w:val="0"/>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417" w:type="dxa"/>
        <w:tblInd w:w="44" w:type="dxa"/>
        <w:tblLayout w:type="fixed"/>
        <w:tblCellMar>
          <w:top w:w="55" w:type="dxa"/>
          <w:left w:w="55" w:type="dxa"/>
          <w:bottom w:w="55" w:type="dxa"/>
          <w:right w:w="55" w:type="dxa"/>
        </w:tblCellMar>
      </w:tblPr>
      <w:tblGrid>
        <w:gridCol w:w="1278"/>
        <w:gridCol w:w="5022"/>
        <w:gridCol w:w="3184"/>
        <w:gridCol w:w="2778"/>
        <w:gridCol w:w="3155"/>
      </w:tblGrid>
      <w:tr>
        <w:tblPrEx>
          <w:tblCellMar>
            <w:top w:w="55" w:type="dxa"/>
            <w:left w:w="55" w:type="dxa"/>
            <w:bottom w:w="55" w:type="dxa"/>
            <w:right w:w="55" w:type="dxa"/>
          </w:tblCellMar>
        </w:tblPrEx>
        <w:trPr>
          <w:trHeight w:val="321" w:hRule="atLeast"/>
        </w:trPr>
        <w:tc>
          <w:tcPr>
            <w:tcW w:w="15417"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财政拨款支出决算表（功能科目）</w:t>
            </w:r>
          </w:p>
        </w:tc>
      </w:tr>
      <w:tr>
        <w:tblPrEx>
          <w:tblCellMar>
            <w:top w:w="55" w:type="dxa"/>
            <w:left w:w="55" w:type="dxa"/>
            <w:bottom w:w="55" w:type="dxa"/>
            <w:right w:w="55" w:type="dxa"/>
          </w:tblCellMar>
        </w:tblPrEx>
        <w:trPr>
          <w:trHeight w:val="321" w:hRule="atLeast"/>
        </w:trPr>
        <w:tc>
          <w:tcPr>
            <w:tcW w:w="6300" w:type="dxa"/>
            <w:gridSpan w:val="2"/>
          </w:tcPr>
          <w:p>
            <w:pPr>
              <w:pStyle w:val="22"/>
              <w:widowControl w:val="0"/>
              <w:rPr>
                <w:rFonts w:hint="eastAsia" w:ascii="仿宋" w:hAnsi="仿宋" w:eastAsia="仿宋" w:cs="仿宋"/>
                <w:sz w:val="20"/>
              </w:rPr>
            </w:pPr>
          </w:p>
        </w:tc>
        <w:tc>
          <w:tcPr>
            <w:tcW w:w="3184" w:type="dxa"/>
          </w:tcPr>
          <w:p>
            <w:pPr>
              <w:pStyle w:val="22"/>
              <w:widowControl w:val="0"/>
              <w:rPr>
                <w:rFonts w:hint="eastAsia" w:ascii="仿宋" w:hAnsi="仿宋" w:eastAsia="仿宋" w:cs="仿宋"/>
                <w:sz w:val="27"/>
              </w:rPr>
            </w:pPr>
          </w:p>
        </w:tc>
        <w:tc>
          <w:tcPr>
            <w:tcW w:w="5933" w:type="dxa"/>
            <w:gridSpan w:val="2"/>
            <w:vAlign w:val="center"/>
          </w:tcPr>
          <w:p>
            <w:pPr>
              <w:pStyle w:val="22"/>
              <w:widowControl w:val="0"/>
              <w:jc w:val="right"/>
              <w:rPr>
                <w:rFonts w:hint="eastAsia" w:ascii="仿宋" w:hAnsi="仿宋" w:eastAsia="仿宋" w:cs="仿宋"/>
                <w:sz w:val="27"/>
              </w:rPr>
            </w:pPr>
            <w:r>
              <w:rPr>
                <w:rFonts w:hint="eastAsia" w:ascii="仿宋" w:hAnsi="仿宋" w:eastAsia="仿宋" w:cs="仿宋"/>
              </w:rPr>
              <w:t>公开05表</w:t>
            </w:r>
          </w:p>
        </w:tc>
      </w:tr>
      <w:tr>
        <w:tblPrEx>
          <w:tblCellMar>
            <w:top w:w="55" w:type="dxa"/>
            <w:left w:w="55" w:type="dxa"/>
            <w:bottom w:w="55" w:type="dxa"/>
            <w:right w:w="55" w:type="dxa"/>
          </w:tblCellMar>
        </w:tblPrEx>
        <w:trPr>
          <w:trHeight w:val="288" w:hRule="atLeast"/>
        </w:trPr>
        <w:tc>
          <w:tcPr>
            <w:tcW w:w="6300" w:type="dxa"/>
            <w:gridSpan w:val="2"/>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常州市生态环境监控中心</w:t>
            </w:r>
          </w:p>
        </w:tc>
        <w:tc>
          <w:tcPr>
            <w:tcW w:w="3184" w:type="dxa"/>
          </w:tcPr>
          <w:p>
            <w:pPr>
              <w:pStyle w:val="22"/>
              <w:widowControl w:val="0"/>
              <w:rPr>
                <w:rFonts w:hint="eastAsia" w:ascii="仿宋" w:hAnsi="仿宋" w:eastAsia="仿宋" w:cs="仿宋"/>
                <w:sz w:val="27"/>
              </w:rPr>
            </w:pPr>
          </w:p>
        </w:tc>
        <w:tc>
          <w:tcPr>
            <w:tcW w:w="2778" w:type="dxa"/>
            <w:vAlign w:val="center"/>
          </w:tcPr>
          <w:p>
            <w:pPr>
              <w:pStyle w:val="22"/>
              <w:widowControl w:val="0"/>
              <w:jc w:val="right"/>
              <w:rPr>
                <w:rFonts w:hint="eastAsia" w:ascii="仿宋" w:hAnsi="仿宋" w:eastAsia="仿宋" w:cs="仿宋"/>
                <w:sz w:val="27"/>
              </w:rPr>
            </w:pPr>
          </w:p>
        </w:tc>
        <w:tc>
          <w:tcPr>
            <w:tcW w:w="3155"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319" w:hRule="atLeast"/>
        </w:trPr>
        <w:tc>
          <w:tcPr>
            <w:tcW w:w="6300" w:type="dxa"/>
            <w:gridSpan w:val="2"/>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w:t>
            </w:r>
            <w:r>
              <w:rPr>
                <w:rFonts w:hint="eastAsia" w:ascii="仿宋" w:hAnsi="仿宋" w:eastAsia="仿宋" w:cs="仿宋"/>
                <w:sz w:val="22"/>
                <w:szCs w:val="22"/>
              </w:rPr>
              <w:tab/>
            </w:r>
            <w:r>
              <w:rPr>
                <w:rFonts w:hint="eastAsia" w:ascii="仿宋" w:hAnsi="仿宋" w:eastAsia="仿宋" w:cs="仿宋"/>
                <w:sz w:val="22"/>
                <w:szCs w:val="22"/>
              </w:rPr>
              <w:t>目</w:t>
            </w:r>
          </w:p>
        </w:tc>
        <w:tc>
          <w:tcPr>
            <w:tcW w:w="3184" w:type="dxa"/>
            <w:vMerge w:val="restart"/>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本年支出合计</w:t>
            </w:r>
          </w:p>
        </w:tc>
        <w:tc>
          <w:tcPr>
            <w:tcW w:w="2778" w:type="dxa"/>
            <w:vMerge w:val="restart"/>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3155" w:type="dxa"/>
            <w:vMerge w:val="restart"/>
            <w:tcBorders>
              <w:top w:val="single" w:color="000000" w:sz="6" w:space="0"/>
              <w:left w:val="single" w:color="000000" w:sz="6" w:space="0"/>
              <w:bottom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341" w:hRule="atLeast"/>
        </w:trPr>
        <w:tc>
          <w:tcPr>
            <w:tcW w:w="1278"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功能分类</w:t>
            </w:r>
          </w:p>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5022"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3184"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2778"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3155"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275" w:hRule="atLeast"/>
        </w:trPr>
        <w:tc>
          <w:tcPr>
            <w:tcW w:w="6300"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栏次</w:t>
            </w:r>
          </w:p>
        </w:tc>
        <w:tc>
          <w:tcPr>
            <w:tcW w:w="3184"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1</w:t>
            </w:r>
          </w:p>
        </w:tc>
        <w:tc>
          <w:tcPr>
            <w:tcW w:w="2778"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2</w:t>
            </w:r>
          </w:p>
        </w:tc>
        <w:tc>
          <w:tcPr>
            <w:tcW w:w="3155" w:type="dxa"/>
            <w:tcBorders>
              <w:left w:val="single" w:color="000000" w:sz="6" w:space="0"/>
              <w:bottom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3</w:t>
            </w:r>
          </w:p>
        </w:tc>
      </w:tr>
      <w:tr>
        <w:tblPrEx>
          <w:tblCellMar>
            <w:top w:w="55" w:type="dxa"/>
            <w:left w:w="55" w:type="dxa"/>
            <w:bottom w:w="55" w:type="dxa"/>
            <w:right w:w="55" w:type="dxa"/>
          </w:tblCellMar>
        </w:tblPrEx>
        <w:trPr>
          <w:trHeight w:val="374" w:hRule="exact"/>
        </w:trPr>
        <w:tc>
          <w:tcPr>
            <w:tcW w:w="6300"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3184"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5,806.71</w:t>
            </w:r>
          </w:p>
        </w:tc>
        <w:tc>
          <w:tcPr>
            <w:tcW w:w="2778"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rPr>
              <w:t>310.28</w:t>
            </w:r>
          </w:p>
        </w:tc>
        <w:tc>
          <w:tcPr>
            <w:tcW w:w="3155" w:type="dxa"/>
            <w:tcBorders>
              <w:left w:val="single" w:color="000000" w:sz="6" w:space="0"/>
              <w:bottom w:val="single" w:color="000000" w:sz="6" w:space="0"/>
              <w:right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5,496.43</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卫生健康支出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10.22</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10.22</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21011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行政事业单位医疗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10.22</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10.22</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2101102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事业单位医疗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6.57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6.57</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2101103</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公务员医疗补助</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3.65</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3.65</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节能环保支出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5,733.80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237.37</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5,496.43</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环境保护管理事务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4,037.37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237.37</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3,800.00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2110102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一般行政管理事务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507.60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507.60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2110199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其他环境保护管理事务支出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3,529.77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237.37</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3,292.40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21103</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污染防治</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1,166.08</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1,166.08</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2110302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水体</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1,166.08</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1,166.08</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21104</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自然生态保护</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530.35</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530.35</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2110401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生态保护</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530.35</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530.35</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62.69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62.69</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住房改革支出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62.69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62.69</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住房公积金</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21.79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21.79</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提租补贴</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4.62</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4.62</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2210203</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购房补贴</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36.28</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36.28</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tabs>
          <w:tab w:val="left" w:pos="0"/>
        </w:tabs>
        <w:suppressAutoHyphens/>
        <w:bidi w:val="0"/>
        <w:spacing w:before="0" w:after="0"/>
        <w:ind w:left="0" w:leftChars="0" w:right="0" w:firstLine="0" w:firstLineChars="0"/>
        <w:jc w:val="both"/>
        <w:rPr>
          <w:rFonts w:hint="eastAsia" w:ascii="仿宋" w:hAnsi="仿宋" w:eastAsia="仿宋" w:cs="仿宋"/>
          <w:b w:val="0"/>
          <w:bCs w:val="0"/>
        </w:rPr>
      </w:pPr>
      <w:r>
        <w:rPr>
          <w:rFonts w:hint="eastAsia" w:ascii="仿宋" w:hAnsi="仿宋" w:eastAsia="仿宋" w:cs="仿宋"/>
          <w:b w:val="0"/>
          <w:bCs w:val="0"/>
        </w:rPr>
        <w:t>注：本表反映本年度一般公共预算财政拨款、政府性基金预算财政拨款和国有资本经营预算财政拨款支出情况。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rPr>
        <w:t>本表金额单位转换时可能存在尾数误差。</w:t>
      </w:r>
      <w:r>
        <w:rPr>
          <w:rFonts w:hint="eastAsia" w:ascii="仿宋" w:hAnsi="仿宋" w:eastAsia="仿宋" w:cs="仿宋"/>
          <w:b w:val="0"/>
          <w:bCs w:val="0"/>
          <w:sz w:val="22"/>
          <w:szCs w:val="22"/>
          <w:lang w:val="en-US" w:eastAsia="zh-CN"/>
        </w:rPr>
        <w:t/>
      </w:r>
    </w:p>
    <w:p>
      <w:pPr>
        <w:widowControl w:val="0"/>
        <w:numPr>
          <w:ilvl w:val="0"/>
          <w:numId w:val="0"/>
        </w:numPr>
        <w:tabs>
          <w:tab w:val="left" w:pos="55"/>
        </w:tabs>
        <w:suppressAutoHyphens/>
        <w:bidi w:val="0"/>
        <w:spacing w:before="0" w:after="0"/>
        <w:ind w:right="0" w:rightChars="0"/>
        <w:jc w:val="both"/>
        <w:rPr>
          <w:rFonts w:hint="eastAsia" w:ascii="仿宋" w:hAnsi="仿宋" w:eastAsia="仿宋" w:cs="仿宋"/>
          <w:b w:val="0"/>
          <w:bCs w:val="0"/>
        </w:rPr>
        <w:sectPr>
          <w:footerReference r:id="rId12"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515" w:type="dxa"/>
        <w:tblInd w:w="38" w:type="dxa"/>
        <w:tblLayout w:type="fixed"/>
        <w:tblCellMar>
          <w:top w:w="55" w:type="dxa"/>
          <w:left w:w="55" w:type="dxa"/>
          <w:bottom w:w="55" w:type="dxa"/>
          <w:right w:w="55" w:type="dxa"/>
        </w:tblCellMar>
      </w:tblPr>
      <w:tblGrid>
        <w:gridCol w:w="990"/>
        <w:gridCol w:w="3542"/>
        <w:gridCol w:w="2047"/>
        <w:gridCol w:w="2040"/>
        <w:gridCol w:w="1896"/>
      </w:tblGrid>
      <w:tr>
        <w:tblPrEx>
          <w:tblCellMar>
            <w:top w:w="55" w:type="dxa"/>
            <w:left w:w="55" w:type="dxa"/>
            <w:bottom w:w="55" w:type="dxa"/>
            <w:right w:w="55" w:type="dxa"/>
          </w:tblCellMar>
        </w:tblPrEx>
        <w:trPr>
          <w:trHeight w:val="319" w:hRule="atLeast"/>
        </w:trPr>
        <w:tc>
          <w:tcPr>
            <w:tcW w:w="10515"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财政拨款基本支出决算表（经济科目）</w:t>
            </w:r>
          </w:p>
        </w:tc>
      </w:tr>
      <w:tr>
        <w:tblPrEx>
          <w:tblCellMar>
            <w:top w:w="55" w:type="dxa"/>
            <w:left w:w="55" w:type="dxa"/>
            <w:bottom w:w="55" w:type="dxa"/>
            <w:right w:w="55" w:type="dxa"/>
          </w:tblCellMar>
        </w:tblPrEx>
        <w:trPr>
          <w:trHeight w:val="319" w:hRule="atLeast"/>
        </w:trPr>
        <w:tc>
          <w:tcPr>
            <w:tcW w:w="4532" w:type="dxa"/>
            <w:gridSpan w:val="2"/>
          </w:tcPr>
          <w:p>
            <w:pPr>
              <w:pStyle w:val="22"/>
              <w:widowControl w:val="0"/>
              <w:rPr>
                <w:rFonts w:hint="eastAsia" w:ascii="仿宋" w:hAnsi="仿宋" w:eastAsia="仿宋" w:cs="仿宋"/>
                <w:sz w:val="20"/>
              </w:rPr>
            </w:pPr>
          </w:p>
        </w:tc>
        <w:tc>
          <w:tcPr>
            <w:tcW w:w="2047" w:type="dxa"/>
          </w:tcPr>
          <w:p>
            <w:pPr>
              <w:pStyle w:val="22"/>
              <w:widowControl w:val="0"/>
              <w:rPr>
                <w:rFonts w:hint="eastAsia" w:ascii="仿宋" w:hAnsi="仿宋" w:eastAsia="仿宋" w:cs="仿宋"/>
                <w:sz w:val="20"/>
              </w:rPr>
            </w:pPr>
          </w:p>
        </w:tc>
        <w:tc>
          <w:tcPr>
            <w:tcW w:w="2040" w:type="dxa"/>
          </w:tcPr>
          <w:p>
            <w:pPr>
              <w:pStyle w:val="22"/>
              <w:widowControl w:val="0"/>
              <w:rPr>
                <w:rFonts w:hint="eastAsia" w:ascii="仿宋" w:hAnsi="仿宋" w:eastAsia="仿宋" w:cs="仿宋"/>
                <w:sz w:val="20"/>
              </w:rPr>
            </w:pPr>
          </w:p>
        </w:tc>
        <w:tc>
          <w:tcPr>
            <w:tcW w:w="1896" w:type="dxa"/>
            <w:vAlign w:val="center"/>
          </w:tcPr>
          <w:p>
            <w:pPr>
              <w:pStyle w:val="22"/>
              <w:widowControl w:val="0"/>
              <w:jc w:val="right"/>
              <w:rPr>
                <w:rFonts w:hint="eastAsia" w:ascii="仿宋" w:hAnsi="仿宋" w:eastAsia="仿宋" w:cs="仿宋"/>
                <w:sz w:val="20"/>
              </w:rPr>
            </w:pPr>
            <w:r>
              <w:rPr>
                <w:rFonts w:hint="eastAsia" w:ascii="仿宋" w:hAnsi="仿宋" w:eastAsia="仿宋" w:cs="仿宋"/>
              </w:rPr>
              <w:t>公开06表</w:t>
            </w:r>
          </w:p>
        </w:tc>
      </w:tr>
      <w:tr>
        <w:tblPrEx>
          <w:tblCellMar>
            <w:top w:w="55" w:type="dxa"/>
            <w:left w:w="55" w:type="dxa"/>
            <w:bottom w:w="55" w:type="dxa"/>
            <w:right w:w="55" w:type="dxa"/>
          </w:tblCellMar>
        </w:tblPrEx>
        <w:trPr>
          <w:trHeight w:val="319" w:hRule="atLeast"/>
        </w:trPr>
        <w:tc>
          <w:tcPr>
            <w:tcW w:w="8619" w:type="dxa"/>
            <w:gridSpan w:val="4"/>
          </w:tcPr>
          <w:p>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sz w:val="22"/>
                <w:szCs w:val="22"/>
              </w:rPr>
              <w:t>常州市生态环境监控中心</w:t>
            </w:r>
          </w:p>
        </w:tc>
        <w:tc>
          <w:tcPr>
            <w:tcW w:w="1896" w:type="dxa"/>
            <w:vAlign w:val="center"/>
          </w:tcPr>
          <w:p>
            <w:pPr>
              <w:pStyle w:val="22"/>
              <w:widowControl w:val="0"/>
              <w:jc w:val="right"/>
              <w:rPr>
                <w:rFonts w:hint="eastAsia" w:ascii="仿宋" w:hAnsi="仿宋" w:eastAsia="仿宋" w:cs="仿宋"/>
                <w:sz w:val="20"/>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243" w:hRule="atLeast"/>
        </w:trPr>
        <w:tc>
          <w:tcPr>
            <w:tcW w:w="4532"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983"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财政拨款基本支出</w:t>
            </w:r>
          </w:p>
        </w:tc>
      </w:tr>
      <w:tr>
        <w:tblPrEx>
          <w:tblCellMar>
            <w:top w:w="55" w:type="dxa"/>
            <w:left w:w="55" w:type="dxa"/>
            <w:bottom w:w="55" w:type="dxa"/>
            <w:right w:w="55" w:type="dxa"/>
          </w:tblCellMar>
        </w:tblPrEx>
        <w:trPr>
          <w:trHeight w:val="483" w:hRule="atLeast"/>
        </w:trPr>
        <w:tc>
          <w:tcPr>
            <w:tcW w:w="99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经济分类科目编码</w:t>
            </w:r>
          </w:p>
        </w:tc>
        <w:tc>
          <w:tcPr>
            <w:tcW w:w="35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896"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409" w:hRule="exact"/>
        </w:trPr>
        <w:tc>
          <w:tcPr>
            <w:tcW w:w="4532"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合计</w:t>
            </w:r>
          </w:p>
        </w:tc>
        <w:tc>
          <w:tcPr>
            <w:tcW w:w="204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310.28</w:t>
            </w:r>
          </w:p>
        </w:tc>
        <w:tc>
          <w:tcPr>
            <w:tcW w:w="204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293.13</w:t>
            </w:r>
          </w:p>
        </w:tc>
        <w:tc>
          <w:tcPr>
            <w:tcW w:w="1896"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17.15</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292.57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292.57</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52.52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52.52</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108.72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108.72</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奖金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0.30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0.30</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60.54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60.54</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21.20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21.20</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8.46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8.46</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7.49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7.49</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4.68</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1.40</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27.27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27.27</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医疗费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17.15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17.15</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办公费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1.35</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印刷费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0.01</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咨询费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手续费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邮电费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0.04</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取暖费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物业管理费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0.18</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差旅费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8.13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8.13</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因公出国（境）费用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维修（护）费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0.12</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租赁费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会议费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0.63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0.63</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培训费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0.28</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专用材料费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被装购置费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专用燃料费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劳务费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0.68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0.68</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委托业务费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1.95</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福利费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1.54</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0.07</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30240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税金及附加费用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2.18</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0.56</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离休费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退休费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退职（役）费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抚恤金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救济费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医疗费补助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0.46</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助学金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奖励金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个人农业生产补贴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代缴社会保险费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0.10</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债务利息及费用支出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国内债务付息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国外债务付息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国内债务发行费用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国外债务发行费用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房屋建筑物购建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办公设备购置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基础设施建设</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大型修缮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信息网络及软件购置更新</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物资储备</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土地补偿</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安置补助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地上附着物和青苗补偿</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拆迁补偿</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公务用车购置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其他交通工具购置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31021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文物和陈列品购置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31022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无形资产购置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资本金注入</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政府投资基金股权投资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费用补贴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利息补贴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赠与</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国家赔偿费用支出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tabs>
          <w:tab w:val="left" w:pos="660"/>
          <w:tab w:val="left" w:pos="10780"/>
        </w:tabs>
        <w:suppressAutoHyphens/>
        <w:bidi w:val="0"/>
        <w:spacing w:before="25" w:after="0" w:line="290" w:lineRule="auto"/>
        <w:ind w:left="0" w:leftChars="0" w:right="0" w:righ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注：本表反映本年度一般公共预算财政拨款、政府性基金预算财政拨款和国有资本经营预算财政拨款基本支出情况。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numPr>
          <w:ilvl w:val="0"/>
          <w:numId w:val="0"/>
        </w:numPr>
        <w:suppressAutoHyphens/>
        <w:bidi w:val="0"/>
        <w:spacing w:before="0" w:after="0" w:line="255" w:lineRule="exact"/>
        <w:jc w:val="both"/>
        <w:rPr>
          <w:rFonts w:hint="eastAsia" w:ascii="仿宋" w:hAnsi="仿宋" w:eastAsia="仿宋" w:cs="仿宋"/>
          <w:b w:val="0"/>
          <w:bCs w:val="0"/>
          <w:sz w:val="22"/>
          <w:szCs w:val="22"/>
        </w:rPr>
        <w:sectPr>
          <w:footerReference r:id="rId13"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446" w:type="dxa"/>
        <w:tblInd w:w="78" w:type="dxa"/>
        <w:tblLayout w:type="fixed"/>
        <w:tblCellMar>
          <w:top w:w="55" w:type="dxa"/>
          <w:left w:w="55" w:type="dxa"/>
          <w:bottom w:w="55" w:type="dxa"/>
          <w:right w:w="55" w:type="dxa"/>
        </w:tblCellMar>
      </w:tblPr>
      <w:tblGrid>
        <w:gridCol w:w="1134"/>
        <w:gridCol w:w="4332"/>
        <w:gridCol w:w="1969"/>
        <w:gridCol w:w="1499"/>
        <w:gridCol w:w="1512"/>
      </w:tblGrid>
      <w:tr>
        <w:tblPrEx>
          <w:tblCellMar>
            <w:top w:w="55" w:type="dxa"/>
            <w:left w:w="55" w:type="dxa"/>
            <w:bottom w:w="55" w:type="dxa"/>
            <w:right w:w="55" w:type="dxa"/>
          </w:tblCellMar>
        </w:tblPrEx>
        <w:trPr>
          <w:trHeight w:val="560" w:hRule="atLeast"/>
        </w:trPr>
        <w:tc>
          <w:tcPr>
            <w:tcW w:w="10446"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一般公共预算支出决算表（功能科目）</w:t>
            </w:r>
          </w:p>
        </w:tc>
      </w:tr>
      <w:tr>
        <w:tblPrEx>
          <w:tblCellMar>
            <w:top w:w="55" w:type="dxa"/>
            <w:left w:w="55" w:type="dxa"/>
            <w:bottom w:w="55" w:type="dxa"/>
            <w:right w:w="55" w:type="dxa"/>
          </w:tblCellMar>
        </w:tblPrEx>
        <w:trPr>
          <w:trHeight w:val="147" w:hRule="atLeast"/>
        </w:trPr>
        <w:tc>
          <w:tcPr>
            <w:tcW w:w="5466" w:type="dxa"/>
            <w:gridSpan w:val="2"/>
          </w:tcPr>
          <w:p>
            <w:pPr>
              <w:pStyle w:val="22"/>
              <w:widowControl w:val="0"/>
              <w:rPr>
                <w:rFonts w:hint="eastAsia" w:ascii="仿宋" w:hAnsi="仿宋" w:eastAsia="仿宋" w:cs="仿宋"/>
                <w:sz w:val="20"/>
              </w:rPr>
            </w:pPr>
          </w:p>
        </w:tc>
        <w:tc>
          <w:tcPr>
            <w:tcW w:w="1969" w:type="dxa"/>
          </w:tcPr>
          <w:p>
            <w:pPr>
              <w:pStyle w:val="22"/>
              <w:widowControl w:val="0"/>
              <w:rPr>
                <w:rFonts w:hint="eastAsia" w:ascii="仿宋" w:hAnsi="仿宋" w:eastAsia="仿宋" w:cs="仿宋"/>
                <w:sz w:val="20"/>
              </w:rPr>
            </w:pPr>
          </w:p>
        </w:tc>
        <w:tc>
          <w:tcPr>
            <w:tcW w:w="1499" w:type="dxa"/>
          </w:tcPr>
          <w:p>
            <w:pPr>
              <w:pStyle w:val="22"/>
              <w:widowControl w:val="0"/>
              <w:rPr>
                <w:rFonts w:hint="eastAsia" w:ascii="仿宋" w:hAnsi="仿宋" w:eastAsia="仿宋" w:cs="仿宋"/>
                <w:sz w:val="20"/>
              </w:rPr>
            </w:pPr>
          </w:p>
        </w:tc>
        <w:tc>
          <w:tcPr>
            <w:tcW w:w="1512" w:type="dxa"/>
            <w:vAlign w:val="center"/>
          </w:tcPr>
          <w:p>
            <w:pPr>
              <w:pStyle w:val="22"/>
              <w:widowControl w:val="0"/>
              <w:jc w:val="right"/>
              <w:rPr>
                <w:rFonts w:hint="eastAsia" w:ascii="仿宋" w:hAnsi="仿宋" w:eastAsia="仿宋" w:cs="仿宋"/>
                <w:sz w:val="20"/>
              </w:rPr>
            </w:pPr>
            <w:r>
              <w:rPr>
                <w:rFonts w:hint="eastAsia" w:ascii="仿宋" w:hAnsi="仿宋" w:eastAsia="仿宋" w:cs="仿宋"/>
              </w:rPr>
              <w:t>公开07表</w:t>
            </w:r>
          </w:p>
        </w:tc>
      </w:tr>
      <w:tr>
        <w:tblPrEx>
          <w:tblCellMar>
            <w:top w:w="55" w:type="dxa"/>
            <w:left w:w="55" w:type="dxa"/>
            <w:bottom w:w="55" w:type="dxa"/>
            <w:right w:w="55" w:type="dxa"/>
          </w:tblCellMar>
        </w:tblPrEx>
        <w:trPr>
          <w:trHeight w:val="303" w:hRule="atLeast"/>
        </w:trPr>
        <w:tc>
          <w:tcPr>
            <w:tcW w:w="7435" w:type="dxa"/>
            <w:gridSpan w:val="3"/>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常州市生态环境监控中心</w:t>
            </w:r>
          </w:p>
        </w:tc>
        <w:tc>
          <w:tcPr>
            <w:tcW w:w="3011" w:type="dxa"/>
            <w:gridSpan w:val="2"/>
          </w:tcPr>
          <w:p>
            <w:pPr>
              <w:pStyle w:val="22"/>
              <w:widowControl w:val="0"/>
              <w:jc w:val="right"/>
              <w:rPr>
                <w:rFonts w:hint="eastAsia" w:ascii="仿宋" w:hAnsi="仿宋" w:eastAsia="仿宋" w:cs="仿宋"/>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158" w:hRule="atLeast"/>
        </w:trPr>
        <w:tc>
          <w:tcPr>
            <w:tcW w:w="5466" w:type="dxa"/>
            <w:gridSpan w:val="2"/>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969" w:type="dxa"/>
            <w:vMerge w:val="restart"/>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本年支出合计</w:t>
            </w:r>
          </w:p>
        </w:tc>
        <w:tc>
          <w:tcPr>
            <w:tcW w:w="1499" w:type="dxa"/>
            <w:vMerge w:val="restart"/>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1512" w:type="dxa"/>
            <w:vMerge w:val="restart"/>
            <w:tcBorders>
              <w:top w:val="single" w:color="000000" w:sz="6" w:space="0"/>
              <w:left w:val="single" w:color="000000" w:sz="6" w:space="0"/>
              <w:bottom w:val="single" w:color="000000" w:sz="6" w:space="0"/>
              <w:right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561" w:hRule="atLeast"/>
        </w:trPr>
        <w:tc>
          <w:tcPr>
            <w:tcW w:w="1134"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功能分类科目编码</w:t>
            </w:r>
          </w:p>
        </w:tc>
        <w:tc>
          <w:tcPr>
            <w:tcW w:w="4332"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1969" w:type="dxa"/>
            <w:vMerge w:val="continue"/>
            <w:tcBorders>
              <w:left w:val="single" w:color="000000" w:sz="6" w:space="0"/>
              <w:bottom w:val="single" w:color="000000" w:sz="6" w:space="0"/>
            </w:tcBorders>
          </w:tcPr>
          <w:p>
            <w:pPr>
              <w:widowControl w:val="0"/>
              <w:jc w:val="left"/>
              <w:rPr>
                <w:rFonts w:hint="eastAsia" w:ascii="仿宋" w:hAnsi="仿宋" w:eastAsia="仿宋" w:cs="仿宋"/>
                <w:sz w:val="2"/>
                <w:szCs w:val="2"/>
              </w:rPr>
            </w:pPr>
          </w:p>
        </w:tc>
        <w:tc>
          <w:tcPr>
            <w:tcW w:w="1499" w:type="dxa"/>
            <w:vMerge w:val="continue"/>
            <w:tcBorders>
              <w:left w:val="single" w:color="000000" w:sz="6" w:space="0"/>
              <w:bottom w:val="single" w:color="000000" w:sz="6" w:space="0"/>
            </w:tcBorders>
          </w:tcPr>
          <w:p>
            <w:pPr>
              <w:widowControl w:val="0"/>
              <w:jc w:val="left"/>
              <w:rPr>
                <w:rFonts w:hint="eastAsia" w:ascii="仿宋" w:hAnsi="仿宋" w:eastAsia="仿宋" w:cs="仿宋"/>
                <w:sz w:val="2"/>
                <w:szCs w:val="2"/>
              </w:rPr>
            </w:pPr>
          </w:p>
        </w:tc>
        <w:tc>
          <w:tcPr>
            <w:tcW w:w="1512"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trHeight w:val="152" w:hRule="atLeast"/>
        </w:trPr>
        <w:tc>
          <w:tcPr>
            <w:tcW w:w="5466"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栏次</w:t>
            </w:r>
          </w:p>
        </w:tc>
        <w:tc>
          <w:tcPr>
            <w:tcW w:w="1969"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1</w:t>
            </w:r>
          </w:p>
        </w:tc>
        <w:tc>
          <w:tcPr>
            <w:tcW w:w="1499"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2</w:t>
            </w:r>
          </w:p>
        </w:tc>
        <w:tc>
          <w:tcPr>
            <w:tcW w:w="1512" w:type="dxa"/>
            <w:tcBorders>
              <w:left w:val="single" w:color="000000" w:sz="6" w:space="0"/>
              <w:bottom w:val="single" w:color="000000" w:sz="6" w:space="0"/>
              <w:right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3</w:t>
            </w:r>
          </w:p>
        </w:tc>
      </w:tr>
      <w:tr>
        <w:tblPrEx>
          <w:tblCellMar>
            <w:top w:w="55" w:type="dxa"/>
            <w:left w:w="55" w:type="dxa"/>
            <w:bottom w:w="55" w:type="dxa"/>
            <w:right w:w="55" w:type="dxa"/>
          </w:tblCellMar>
        </w:tblPrEx>
        <w:trPr>
          <w:trHeight w:val="298" w:hRule="exact"/>
        </w:trPr>
        <w:tc>
          <w:tcPr>
            <w:tcW w:w="5466"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
            </w:r>
            <w:r>
              <w:rPr>
                <w:rFonts w:hint="eastAsia" w:ascii="仿宋" w:hAnsi="仿宋" w:eastAsia="仿宋" w:cs="仿宋"/>
              </w:rPr>
              <w:t>合计</w:t>
            </w:r>
          </w:p>
        </w:tc>
        <w:tc>
          <w:tcPr>
            <w:tcW w:w="1969" w:type="dxa"/>
            <w:tcBorders>
              <w:left w:val="single" w:color="000000" w:sz="6" w:space="0"/>
              <w:bottom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5,806.71</w:t>
            </w:r>
          </w:p>
        </w:tc>
        <w:tc>
          <w:tcPr>
            <w:tcW w:w="1499" w:type="dxa"/>
            <w:tcBorders>
              <w:left w:val="single" w:color="000000" w:sz="6" w:space="0"/>
              <w:bottom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310.28</w:t>
            </w:r>
          </w:p>
        </w:tc>
        <w:tc>
          <w:tcPr>
            <w:tcW w:w="1512" w:type="dxa"/>
            <w:tcBorders>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5,496.43</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卫生健康支出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10.22</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10.22</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21011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行政事业单位医疗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10.22</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10.22</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2101102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事业单位医疗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6.57</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6.57</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2101103</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公务员医疗补助</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3.65</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3.65</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节能环保支出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5,733.80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237.37</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5,496.43</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环境保护管理事务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4,037.37</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237.37</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3,800.00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2110102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一般行政管理事务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507.60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507.60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2110199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其他环境保护管理事务支出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3,529.77</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237.37</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3,292.40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21103</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污染防治</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1,166.08</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1,166.08</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2110302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水体</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1,166.08</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1,166.08</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21104</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自然生态保护</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530.35</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530.35</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2110401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生态保护</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530.35</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530.35</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住房保障支出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62.69</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62.69</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住房改革支出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62.69</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62.69</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2210201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住房公积金</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21.79</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21.79</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2210202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提租补贴</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4.62</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4.62</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2210203</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购房补贴</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36.28</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36.28</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tabs>
          <w:tab w:val="left" w:pos="0"/>
        </w:tabs>
        <w:spacing w:before="25" w:after="0"/>
        <w:ind w:left="0" w:leftChars="0" w:right="0" w:righ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注：本表反映本年度一般公共预算财政拨款支出情况。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numPr>
          <w:ilvl w:val="0"/>
          <w:numId w:val="0"/>
        </w:numPr>
        <w:suppressAutoHyphens/>
        <w:bidi w:val="0"/>
        <w:spacing w:before="25" w:after="0"/>
        <w:jc w:val="both"/>
        <w:rPr>
          <w:rFonts w:hint="eastAsia" w:ascii="仿宋" w:hAnsi="仿宋" w:eastAsia="仿宋" w:cs="仿宋"/>
          <w:b w:val="0"/>
          <w:bCs w:val="0"/>
          <w:sz w:val="22"/>
          <w:szCs w:val="22"/>
        </w:rPr>
        <w:sectPr>
          <w:footerReference r:id="rId14"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473" w:type="dxa"/>
        <w:tblInd w:w="65" w:type="dxa"/>
        <w:tblLayout w:type="fixed"/>
        <w:tblCellMar>
          <w:top w:w="55" w:type="dxa"/>
          <w:left w:w="55" w:type="dxa"/>
          <w:bottom w:w="55" w:type="dxa"/>
          <w:right w:w="55" w:type="dxa"/>
        </w:tblCellMar>
      </w:tblPr>
      <w:tblGrid>
        <w:gridCol w:w="1121"/>
        <w:gridCol w:w="3566"/>
        <w:gridCol w:w="2200"/>
        <w:gridCol w:w="1708"/>
        <w:gridCol w:w="1878"/>
      </w:tblGrid>
      <w:tr>
        <w:tblPrEx>
          <w:tblCellMar>
            <w:top w:w="55" w:type="dxa"/>
            <w:left w:w="55" w:type="dxa"/>
            <w:bottom w:w="55" w:type="dxa"/>
            <w:right w:w="55" w:type="dxa"/>
          </w:tblCellMar>
        </w:tblPrEx>
        <w:trPr>
          <w:trHeight w:val="319" w:hRule="atLeast"/>
        </w:trPr>
        <w:tc>
          <w:tcPr>
            <w:tcW w:w="10473" w:type="dxa"/>
            <w:gridSpan w:val="5"/>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一般公共预算基本支出决算表（经济科目）</w:t>
            </w:r>
          </w:p>
        </w:tc>
      </w:tr>
      <w:tr>
        <w:tblPrEx>
          <w:tblCellMar>
            <w:top w:w="55" w:type="dxa"/>
            <w:left w:w="55" w:type="dxa"/>
            <w:bottom w:w="55" w:type="dxa"/>
            <w:right w:w="55" w:type="dxa"/>
          </w:tblCellMar>
        </w:tblPrEx>
        <w:trPr>
          <w:trHeight w:val="199" w:hRule="atLeast"/>
        </w:trPr>
        <w:tc>
          <w:tcPr>
            <w:tcW w:w="8595" w:type="dxa"/>
            <w:gridSpan w:val="4"/>
            <w:vAlign w:val="center"/>
          </w:tcPr>
          <w:p>
            <w:pPr>
              <w:pStyle w:val="22"/>
              <w:widowControl w:val="0"/>
              <w:jc w:val="right"/>
              <w:rPr>
                <w:rFonts w:hint="eastAsia" w:ascii="仿宋" w:hAnsi="仿宋" w:eastAsia="仿宋" w:cs="仿宋"/>
                <w:color w:val="000000"/>
                <w:sz w:val="22"/>
                <w:szCs w:val="22"/>
                <w:lang w:eastAsia="zh-CN"/>
              </w:rPr>
            </w:pPr>
          </w:p>
        </w:tc>
        <w:tc>
          <w:tcPr>
            <w:tcW w:w="1878" w:type="dxa"/>
            <w:vAlign w:val="center"/>
          </w:tcPr>
          <w:p>
            <w:pPr>
              <w:pStyle w:val="22"/>
              <w:widowControl w:val="0"/>
              <w:jc w:val="right"/>
              <w:rPr>
                <w:rFonts w:hint="eastAsia" w:ascii="仿宋" w:hAnsi="仿宋" w:eastAsia="仿宋" w:cs="仿宋"/>
              </w:rPr>
            </w:pPr>
            <w:r>
              <w:rPr>
                <w:rFonts w:hint="eastAsia" w:ascii="仿宋" w:hAnsi="仿宋" w:eastAsia="仿宋" w:cs="仿宋"/>
              </w:rPr>
              <w:t>公开08表</w:t>
            </w:r>
          </w:p>
        </w:tc>
      </w:tr>
      <w:tr>
        <w:tblPrEx>
          <w:tblCellMar>
            <w:top w:w="55" w:type="dxa"/>
            <w:left w:w="55" w:type="dxa"/>
            <w:bottom w:w="55" w:type="dxa"/>
            <w:right w:w="55" w:type="dxa"/>
          </w:tblCellMar>
        </w:tblPrEx>
        <w:trPr>
          <w:trHeight w:val="320" w:hRule="atLeast"/>
        </w:trPr>
        <w:tc>
          <w:tcPr>
            <w:tcW w:w="8595"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常州市生态环境监控中心</w:t>
            </w:r>
          </w:p>
        </w:tc>
        <w:tc>
          <w:tcPr>
            <w:tcW w:w="1878" w:type="dxa"/>
            <w:vAlign w:val="center"/>
          </w:tcPr>
          <w:p>
            <w:pPr>
              <w:pStyle w:val="22"/>
              <w:widowControl w:val="0"/>
              <w:jc w:val="right"/>
              <w:rPr>
                <w:rFonts w:hint="eastAsia" w:ascii="仿宋" w:hAnsi="仿宋" w:eastAsia="仿宋" w:cs="仿宋"/>
                <w:sz w:val="20"/>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180" w:hRule="atLeast"/>
        </w:trPr>
        <w:tc>
          <w:tcPr>
            <w:tcW w:w="4687"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786"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一般公共预算财政拨款基本支出</w:t>
            </w:r>
          </w:p>
        </w:tc>
      </w:tr>
      <w:tr>
        <w:tblPrEx>
          <w:tblCellMar>
            <w:top w:w="55" w:type="dxa"/>
            <w:left w:w="55" w:type="dxa"/>
            <w:bottom w:w="55" w:type="dxa"/>
            <w:right w:w="55" w:type="dxa"/>
          </w:tblCellMar>
        </w:tblPrEx>
        <w:trPr>
          <w:trHeight w:val="474" w:hRule="atLeast"/>
        </w:trPr>
        <w:tc>
          <w:tcPr>
            <w:tcW w:w="112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经济分类科目编码</w:t>
            </w:r>
          </w:p>
        </w:tc>
        <w:tc>
          <w:tcPr>
            <w:tcW w:w="3566"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20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1708"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878"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94" w:hRule="exact"/>
        </w:trPr>
        <w:tc>
          <w:tcPr>
            <w:tcW w:w="4687"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2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310.28</w:t>
            </w:r>
          </w:p>
        </w:tc>
        <w:tc>
          <w:tcPr>
            <w:tcW w:w="170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293.13</w:t>
            </w:r>
          </w:p>
        </w:tc>
        <w:tc>
          <w:tcPr>
            <w:tcW w:w="1878"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17.15</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292.57</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292.57</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基本工资</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52.52</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52.52</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津贴补贴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108.72</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108.72</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奖金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0.30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0.30</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伙食补助费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绩效工资</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60.54</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60.54</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机关事业单位基本养老保险缴费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21.20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21.20</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职业年金缴费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8.46</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8.46</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职工基本医疗保险缴费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7.49</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7.49</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公务员医疗补助缴费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4.68</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4.68</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其他社会保障缴费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1.40</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住房公积金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27.27</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27.27</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医疗费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17.15</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17.15</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办公费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1.35</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1.35</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印刷费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0.01</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0.01</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咨询费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手续费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电费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邮电费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0.04</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0.04</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取暖费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物业管理费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0.18</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0.18</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差旅费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8.13</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8.13</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因公出国（境）费用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维修（护）费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0.12</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0.12</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租赁费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会议费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0.63</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0.63</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培训费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0.28</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0.28</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公务接待费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专用材料费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被装购置费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专用燃料费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劳务费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0.68</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0.68</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委托业务费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工会经费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1.95</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1.95</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福利费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1.54</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1.54</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公务用车运行维护费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其他交通费用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0.07</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0.07</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30240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税金及附加费用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2.18</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2.18</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0.56</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0.56</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离休费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退休费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退职（役）费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抚恤金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生活补助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救济费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医疗费补助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0.46</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0.46</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助学金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奖励金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个人农业生产补贴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代缴社会保险费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0.10</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债务利息及费用支出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国内债务付息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国外债务付息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国内债务发行费用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国外债务发行费用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房屋建筑物购建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办公设备购置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基础设施建设</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大型修缮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信息网络及软件购置更新</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物资储备</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土地补偿</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安置补助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地上附着物和青苗补偿</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拆迁补偿</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公务用车购置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其他交通工具购置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31021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文物和陈列品购置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31022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无形资产购置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资本金注入</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政府投资基金股权投资</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费用补贴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利息补贴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赠与</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国家赔偿费用支出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spacing w:before="25" w:after="0"/>
        <w:ind w:left="0" w:leftChars="0" w:right="-92" w:rightChars="-42"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注：本表反映本年度一般公共预算财政拨款基本支出情况。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numPr>
          <w:ilvl w:val="0"/>
          <w:numId w:val="0"/>
        </w:numPr>
        <w:suppressAutoHyphens/>
        <w:bidi w:val="0"/>
        <w:spacing w:before="25" w:after="0"/>
        <w:jc w:val="both"/>
        <w:rPr>
          <w:rFonts w:hint="eastAsia" w:ascii="仿宋" w:hAnsi="仿宋" w:eastAsia="仿宋" w:cs="仿宋"/>
          <w:b w:val="0"/>
          <w:bCs w:val="0"/>
          <w:sz w:val="22"/>
          <w:szCs w:val="22"/>
        </w:rPr>
        <w:sectPr>
          <w:footerReference r:id="rId15"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486" w:type="dxa"/>
        <w:tblInd w:w="62" w:type="dxa"/>
        <w:tblLayout w:type="fixed"/>
        <w:tblCellMar>
          <w:top w:w="55" w:type="dxa"/>
          <w:left w:w="55" w:type="dxa"/>
          <w:bottom w:w="55" w:type="dxa"/>
          <w:right w:w="55" w:type="dxa"/>
        </w:tblCellMar>
      </w:tblPr>
      <w:tblGrid>
        <w:gridCol w:w="1044"/>
        <w:gridCol w:w="1042"/>
        <w:gridCol w:w="1020"/>
        <w:gridCol w:w="1029"/>
        <w:gridCol w:w="998"/>
        <w:gridCol w:w="1026"/>
        <w:gridCol w:w="1043"/>
        <w:gridCol w:w="1010"/>
        <w:gridCol w:w="1058"/>
        <w:gridCol w:w="1010"/>
        <w:gridCol w:w="948"/>
        <w:gridCol w:w="1089"/>
        <w:gridCol w:w="1042"/>
        <w:gridCol w:w="1043"/>
        <w:gridCol w:w="1057"/>
        <w:gridCol w:w="1027"/>
      </w:tblGrid>
      <w:tr>
        <w:tblPrEx>
          <w:tblCellMar>
            <w:top w:w="55" w:type="dxa"/>
            <w:left w:w="55" w:type="dxa"/>
            <w:bottom w:w="55" w:type="dxa"/>
            <w:right w:w="55" w:type="dxa"/>
          </w:tblCellMar>
        </w:tblPrEx>
        <w:trPr>
          <w:trHeight w:val="321" w:hRule="atLeast"/>
        </w:trPr>
        <w:tc>
          <w:tcPr>
            <w:tcW w:w="16486" w:type="dxa"/>
            <w:gridSpan w:val="16"/>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一般公共预算“三公”经费、会议费、培训费支出决算表</w:t>
            </w:r>
          </w:p>
        </w:tc>
      </w:tr>
      <w:tr>
        <w:tblPrEx>
          <w:tblCellMar>
            <w:top w:w="55" w:type="dxa"/>
            <w:left w:w="55" w:type="dxa"/>
            <w:bottom w:w="55" w:type="dxa"/>
            <w:right w:w="55" w:type="dxa"/>
          </w:tblCellMar>
        </w:tblPrEx>
        <w:trPr>
          <w:trHeight w:val="207" w:hRule="atLeast"/>
        </w:trPr>
        <w:tc>
          <w:tcPr>
            <w:tcW w:w="16486" w:type="dxa"/>
            <w:gridSpan w:val="16"/>
          </w:tcPr>
          <w:p>
            <w:pPr>
              <w:pStyle w:val="22"/>
              <w:widowControl w:val="0"/>
              <w:jc w:val="right"/>
              <w:rPr>
                <w:rFonts w:hint="eastAsia" w:ascii="仿宋" w:hAnsi="仿宋" w:eastAsia="仿宋" w:cs="仿宋"/>
                <w:sz w:val="20"/>
              </w:rPr>
            </w:pPr>
            <w:r>
              <w:rPr>
                <w:rFonts w:hint="eastAsia" w:ascii="仿宋" w:hAnsi="仿宋" w:eastAsia="仿宋" w:cs="仿宋"/>
              </w:rPr>
              <w:t>公开09表</w:t>
            </w:r>
          </w:p>
        </w:tc>
      </w:tr>
      <w:tr>
        <w:tblPrEx>
          <w:tblCellMar>
            <w:top w:w="55" w:type="dxa"/>
            <w:left w:w="55" w:type="dxa"/>
            <w:bottom w:w="55" w:type="dxa"/>
            <w:right w:w="55" w:type="dxa"/>
          </w:tblCellMar>
        </w:tblPrEx>
        <w:trPr>
          <w:trHeight w:val="103" w:hRule="atLeast"/>
        </w:trPr>
        <w:tc>
          <w:tcPr>
            <w:tcW w:w="8212" w:type="dxa"/>
            <w:gridSpan w:val="8"/>
            <w:tcBorders>
              <w:bottom w:val="single" w:color="auto" w:sz="4" w:space="0"/>
            </w:tcBorders>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常州市生态环境监控中心</w:t>
            </w:r>
          </w:p>
        </w:tc>
        <w:tc>
          <w:tcPr>
            <w:tcW w:w="8274" w:type="dxa"/>
            <w:gridSpan w:val="8"/>
            <w:tcBorders>
              <w:bottom w:val="single" w:color="auto" w:sz="4" w:space="0"/>
            </w:tcBorders>
          </w:tcPr>
          <w:p>
            <w:pPr>
              <w:pStyle w:val="22"/>
              <w:widowControl w:val="0"/>
              <w:jc w:val="right"/>
              <w:rPr>
                <w:rFonts w:hint="eastAsia" w:ascii="仿宋" w:hAnsi="仿宋" w:eastAsia="仿宋" w:cs="仿宋"/>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171" w:hRule="atLeast"/>
        </w:trPr>
        <w:tc>
          <w:tcPr>
            <w:tcW w:w="8212" w:type="dxa"/>
            <w:gridSpan w:val="8"/>
            <w:tcBorders>
              <w:top w:val="single" w:color="auto" w:sz="4" w:space="0"/>
              <w:left w:val="single" w:color="auto" w:sz="4" w:space="0"/>
              <w:bottom w:val="single" w:color="auto" w:sz="4" w:space="0"/>
              <w:right w:val="single" w:color="auto" w:sz="4" w:space="0"/>
            </w:tcBorders>
          </w:tcPr>
          <w:p>
            <w:pPr>
              <w:pStyle w:val="22"/>
              <w:widowControl w:val="0"/>
              <w:jc w:val="center"/>
              <w:rPr>
                <w:rFonts w:hint="eastAsia" w:ascii="仿宋" w:hAnsi="仿宋" w:eastAsia="仿宋" w:cs="仿宋"/>
              </w:rPr>
            </w:pPr>
            <w:r>
              <w:rPr>
                <w:rFonts w:hint="eastAsia" w:ascii="仿宋" w:hAnsi="仿宋" w:eastAsia="仿宋" w:cs="仿宋"/>
                <w:lang w:val="en-US" w:eastAsia="zh-CN"/>
              </w:rPr>
              <w:t>预算数</w:t>
            </w:r>
          </w:p>
        </w:tc>
        <w:tc>
          <w:tcPr>
            <w:tcW w:w="8274" w:type="dxa"/>
            <w:gridSpan w:val="8"/>
            <w:tcBorders>
              <w:top w:val="single" w:color="auto" w:sz="4" w:space="0"/>
              <w:left w:val="single" w:color="auto" w:sz="4" w:space="0"/>
              <w:bottom w:val="single" w:color="auto" w:sz="4" w:space="0"/>
              <w:right w:val="single" w:color="auto" w:sz="4" w:space="0"/>
            </w:tcBorders>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决算数</w:t>
            </w:r>
          </w:p>
        </w:tc>
      </w:tr>
      <w:tr>
        <w:tblPrEx>
          <w:tblCellMar>
            <w:top w:w="55" w:type="dxa"/>
            <w:left w:w="55" w:type="dxa"/>
            <w:bottom w:w="55" w:type="dxa"/>
            <w:right w:w="55" w:type="dxa"/>
          </w:tblCellMar>
        </w:tblPrEx>
        <w:trPr>
          <w:trHeight w:val="179" w:hRule="atLeast"/>
        </w:trPr>
        <w:tc>
          <w:tcPr>
            <w:tcW w:w="6159" w:type="dxa"/>
            <w:gridSpan w:val="6"/>
            <w:tcBorders>
              <w:top w:val="single" w:color="auto"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w:t>
            </w:r>
          </w:p>
        </w:tc>
        <w:tc>
          <w:tcPr>
            <w:tcW w:w="1043" w:type="dxa"/>
            <w:vMerge w:val="restart"/>
            <w:tcBorders>
              <w:top w:val="single" w:color="auto"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会议费</w:t>
            </w:r>
          </w:p>
        </w:tc>
        <w:tc>
          <w:tcPr>
            <w:tcW w:w="1010" w:type="dxa"/>
            <w:vMerge w:val="restart"/>
            <w:tcBorders>
              <w:top w:val="single" w:color="auto" w:sz="4" w:space="0"/>
              <w:left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培训费</w:t>
            </w:r>
          </w:p>
        </w:tc>
        <w:tc>
          <w:tcPr>
            <w:tcW w:w="6190" w:type="dxa"/>
            <w:gridSpan w:val="6"/>
            <w:tcBorders>
              <w:top w:val="single" w:color="auto"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w:t>
            </w:r>
          </w:p>
        </w:tc>
        <w:tc>
          <w:tcPr>
            <w:tcW w:w="1057" w:type="dxa"/>
            <w:vMerge w:val="restart"/>
            <w:tcBorders>
              <w:top w:val="single" w:color="auto" w:sz="4" w:space="0"/>
              <w:left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会议费</w:t>
            </w:r>
          </w:p>
        </w:tc>
        <w:tc>
          <w:tcPr>
            <w:tcW w:w="1027" w:type="dxa"/>
            <w:vMerge w:val="restart"/>
            <w:tcBorders>
              <w:top w:val="single" w:color="auto" w:sz="4" w:space="0"/>
              <w:left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培训费</w:t>
            </w:r>
          </w:p>
        </w:tc>
      </w:tr>
      <w:tr>
        <w:tblPrEx>
          <w:tblCellMar>
            <w:top w:w="55" w:type="dxa"/>
            <w:left w:w="55" w:type="dxa"/>
            <w:bottom w:w="55" w:type="dxa"/>
            <w:right w:w="55" w:type="dxa"/>
          </w:tblCellMar>
        </w:tblPrEx>
        <w:trPr>
          <w:trHeight w:val="297" w:hRule="atLeast"/>
        </w:trPr>
        <w:tc>
          <w:tcPr>
            <w:tcW w:w="1044"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1042"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3047" w:type="dxa"/>
            <w:gridSpan w:val="3"/>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公务用车购置及运行费</w:t>
            </w:r>
          </w:p>
        </w:tc>
        <w:tc>
          <w:tcPr>
            <w:tcW w:w="1026"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w:t>
            </w:r>
          </w:p>
          <w:p>
            <w:pPr>
              <w:pStyle w:val="22"/>
              <w:widowControl w:val="0"/>
              <w:jc w:val="center"/>
              <w:rPr>
                <w:rFonts w:hint="eastAsia" w:ascii="仿宋" w:hAnsi="仿宋" w:eastAsia="仿宋" w:cs="仿宋"/>
              </w:rPr>
            </w:pPr>
            <w:r>
              <w:rPr>
                <w:rFonts w:hint="eastAsia" w:ascii="仿宋" w:hAnsi="仿宋" w:eastAsia="仿宋" w:cs="仿宋"/>
              </w:rPr>
              <w:t>接待费</w:t>
            </w:r>
          </w:p>
        </w:tc>
        <w:tc>
          <w:tcPr>
            <w:tcW w:w="1043" w:type="dxa"/>
            <w:vMerge w:val="continue"/>
            <w:tcBorders>
              <w:left w:val="single" w:color="000000" w:sz="4" w:space="0"/>
              <w:bottom w:val="single" w:color="000000" w:sz="4" w:space="0"/>
            </w:tcBorders>
            <w:vAlign w:val="center"/>
          </w:tcPr>
          <w:p>
            <w:pPr>
              <w:widowControl w:val="0"/>
              <w:jc w:val="center"/>
              <w:rPr>
                <w:rFonts w:hint="eastAsia" w:ascii="仿宋" w:hAnsi="仿宋" w:eastAsia="仿宋" w:cs="仿宋"/>
                <w:sz w:val="20"/>
              </w:rPr>
            </w:pPr>
          </w:p>
        </w:tc>
        <w:tc>
          <w:tcPr>
            <w:tcW w:w="1010" w:type="dxa"/>
            <w:vMerge w:val="continue"/>
            <w:tcBorders>
              <w:left w:val="single" w:color="000000" w:sz="4" w:space="0"/>
              <w:right w:val="single" w:color="000000" w:sz="4" w:space="0"/>
            </w:tcBorders>
            <w:vAlign w:val="center"/>
          </w:tcPr>
          <w:p>
            <w:pPr>
              <w:widowControl w:val="0"/>
              <w:jc w:val="center"/>
              <w:rPr>
                <w:rFonts w:hint="eastAsia" w:ascii="仿宋" w:hAnsi="仿宋" w:eastAsia="仿宋" w:cs="仿宋"/>
                <w:sz w:val="20"/>
              </w:rPr>
            </w:pPr>
          </w:p>
        </w:tc>
        <w:tc>
          <w:tcPr>
            <w:tcW w:w="1058" w:type="dxa"/>
            <w:vMerge w:val="restart"/>
            <w:tcBorders>
              <w:left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“三公”经费合计</w:t>
            </w:r>
          </w:p>
        </w:tc>
        <w:tc>
          <w:tcPr>
            <w:tcW w:w="1010" w:type="dxa"/>
            <w:vMerge w:val="restart"/>
            <w:tcBorders>
              <w:left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因公出国（境）费</w:t>
            </w:r>
          </w:p>
        </w:tc>
        <w:tc>
          <w:tcPr>
            <w:tcW w:w="3079" w:type="dxa"/>
            <w:gridSpan w:val="3"/>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公务用车购置及运行费</w:t>
            </w:r>
          </w:p>
        </w:tc>
        <w:tc>
          <w:tcPr>
            <w:tcW w:w="1043" w:type="dxa"/>
            <w:vMerge w:val="restart"/>
            <w:tcBorders>
              <w:left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w:t>
            </w:r>
          </w:p>
          <w:p>
            <w:pPr>
              <w:pStyle w:val="22"/>
              <w:widowControl w:val="0"/>
              <w:jc w:val="center"/>
              <w:rPr>
                <w:rFonts w:hint="eastAsia" w:ascii="仿宋" w:hAnsi="仿宋" w:eastAsia="仿宋" w:cs="仿宋"/>
                <w:sz w:val="20"/>
              </w:rPr>
            </w:pPr>
            <w:r>
              <w:rPr>
                <w:rFonts w:hint="eastAsia" w:ascii="仿宋" w:hAnsi="仿宋" w:eastAsia="仿宋" w:cs="仿宋"/>
              </w:rPr>
              <w:t>接待费</w:t>
            </w:r>
          </w:p>
        </w:tc>
        <w:tc>
          <w:tcPr>
            <w:tcW w:w="1057" w:type="dxa"/>
            <w:vMerge w:val="continue"/>
            <w:tcBorders>
              <w:left w:val="single" w:color="000000" w:sz="4" w:space="0"/>
              <w:right w:val="single" w:color="000000" w:sz="4" w:space="0"/>
            </w:tcBorders>
            <w:vAlign w:val="center"/>
          </w:tcPr>
          <w:p>
            <w:pPr>
              <w:widowControl w:val="0"/>
              <w:jc w:val="center"/>
              <w:rPr>
                <w:rFonts w:hint="eastAsia" w:ascii="仿宋" w:hAnsi="仿宋" w:eastAsia="仿宋" w:cs="仿宋"/>
                <w:sz w:val="20"/>
              </w:rPr>
            </w:pPr>
          </w:p>
        </w:tc>
        <w:tc>
          <w:tcPr>
            <w:tcW w:w="1027" w:type="dxa"/>
            <w:vMerge w:val="continue"/>
            <w:tcBorders>
              <w:left w:val="single" w:color="000000" w:sz="4" w:space="0"/>
              <w:right w:val="single" w:color="000000" w:sz="4" w:space="0"/>
            </w:tcBorders>
            <w:vAlign w:val="center"/>
          </w:tcPr>
          <w:p>
            <w:pPr>
              <w:widowControl w:val="0"/>
              <w:jc w:val="center"/>
              <w:rPr>
                <w:rFonts w:hint="eastAsia" w:ascii="仿宋" w:hAnsi="仿宋" w:eastAsia="仿宋" w:cs="仿宋"/>
                <w:sz w:val="20"/>
              </w:rPr>
            </w:pPr>
          </w:p>
        </w:tc>
      </w:tr>
      <w:tr>
        <w:tblPrEx>
          <w:tblCellMar>
            <w:top w:w="55" w:type="dxa"/>
            <w:left w:w="55" w:type="dxa"/>
            <w:bottom w:w="55" w:type="dxa"/>
            <w:right w:w="55" w:type="dxa"/>
          </w:tblCellMar>
        </w:tblPrEx>
        <w:trPr>
          <w:trHeight w:val="621" w:hRule="exact"/>
        </w:trPr>
        <w:tc>
          <w:tcPr>
            <w:tcW w:w="1044" w:type="dxa"/>
            <w:vMerge w:val="continue"/>
            <w:tcBorders>
              <w:left w:val="single" w:color="000000" w:sz="4" w:space="0"/>
              <w:bottom w:val="single" w:color="000000" w:sz="4" w:space="0"/>
            </w:tcBorders>
          </w:tcPr>
          <w:p>
            <w:pPr>
              <w:widowControl w:val="0"/>
              <w:jc w:val="left"/>
              <w:rPr>
                <w:rFonts w:hint="eastAsia" w:ascii="仿宋" w:hAnsi="仿宋" w:eastAsia="仿宋" w:cs="仿宋"/>
                <w:sz w:val="2"/>
                <w:szCs w:val="2"/>
              </w:rPr>
            </w:pPr>
          </w:p>
        </w:tc>
        <w:tc>
          <w:tcPr>
            <w:tcW w:w="1042" w:type="dxa"/>
            <w:vMerge w:val="continue"/>
            <w:tcBorders>
              <w:left w:val="single" w:color="000000" w:sz="4" w:space="0"/>
              <w:bottom w:val="single" w:color="000000" w:sz="4" w:space="0"/>
            </w:tcBorders>
          </w:tcPr>
          <w:p>
            <w:pPr>
              <w:widowControl w:val="0"/>
              <w:jc w:val="left"/>
              <w:rPr>
                <w:rFonts w:hint="eastAsia" w:ascii="仿宋" w:hAnsi="仿宋" w:eastAsia="仿宋" w:cs="仿宋"/>
                <w:sz w:val="2"/>
                <w:szCs w:val="2"/>
              </w:rPr>
            </w:pPr>
          </w:p>
        </w:tc>
        <w:tc>
          <w:tcPr>
            <w:tcW w:w="102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小计</w:t>
            </w:r>
          </w:p>
        </w:tc>
        <w:tc>
          <w:tcPr>
            <w:tcW w:w="1029"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998"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公务用车运行费</w:t>
            </w:r>
          </w:p>
        </w:tc>
        <w:tc>
          <w:tcPr>
            <w:tcW w:w="1026" w:type="dxa"/>
            <w:vMerge w:val="continue"/>
            <w:tcBorders>
              <w:left w:val="single" w:color="000000" w:sz="4" w:space="0"/>
              <w:bottom w:val="single" w:color="000000" w:sz="4" w:space="0"/>
            </w:tcBorders>
          </w:tcPr>
          <w:p>
            <w:pPr>
              <w:widowControl w:val="0"/>
              <w:jc w:val="left"/>
              <w:rPr>
                <w:rFonts w:hint="eastAsia" w:ascii="仿宋" w:hAnsi="仿宋" w:eastAsia="仿宋" w:cs="仿宋"/>
                <w:sz w:val="2"/>
                <w:szCs w:val="2"/>
              </w:rPr>
            </w:pPr>
          </w:p>
        </w:tc>
        <w:tc>
          <w:tcPr>
            <w:tcW w:w="1043" w:type="dxa"/>
            <w:vMerge w:val="continue"/>
            <w:tcBorders>
              <w:left w:val="single" w:color="000000" w:sz="4" w:space="0"/>
              <w:bottom w:val="single" w:color="000000" w:sz="4" w:space="0"/>
            </w:tcBorders>
          </w:tcPr>
          <w:p>
            <w:pPr>
              <w:widowControl w:val="0"/>
              <w:jc w:val="left"/>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sz w:val="2"/>
                <w:szCs w:val="2"/>
              </w:rPr>
            </w:pPr>
          </w:p>
        </w:tc>
        <w:tc>
          <w:tcPr>
            <w:tcW w:w="1058"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c>
          <w:tcPr>
            <w:tcW w:w="948"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
                <w:szCs w:val="2"/>
              </w:rPr>
            </w:pPr>
            <w:r>
              <w:rPr>
                <w:rFonts w:hint="eastAsia" w:ascii="仿宋" w:hAnsi="仿宋" w:eastAsia="仿宋" w:cs="仿宋"/>
              </w:rPr>
              <w:t/>
            </w:r>
            <w:r>
              <w:rPr>
                <w:rFonts w:ascii="仿宋" w:hAnsi="仿宋" w:cs="仿宋" w:eastAsia="仿宋"/>
              </w:rPr>
              <w:t>小计</w:t>
            </w:r>
          </w:p>
        </w:tc>
        <w:tc>
          <w:tcPr>
            <w:tcW w:w="1089"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
                <w:szCs w:val="2"/>
              </w:rPr>
            </w:pPr>
            <w:r>
              <w:rPr>
                <w:rFonts w:hint="eastAsia" w:ascii="仿宋" w:hAnsi="仿宋" w:eastAsia="仿宋" w:cs="仿宋"/>
              </w:rPr>
              <w:t>公务用车购置费</w:t>
            </w:r>
          </w:p>
        </w:tc>
        <w:tc>
          <w:tcPr>
            <w:tcW w:w="1042"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
                <w:szCs w:val="2"/>
              </w:rPr>
            </w:pPr>
            <w:r>
              <w:rPr>
                <w:rFonts w:hint="eastAsia" w:ascii="仿宋" w:hAnsi="仿宋" w:eastAsia="仿宋" w:cs="仿宋"/>
              </w:rPr>
              <w:t>公务用车运行费</w:t>
            </w:r>
          </w:p>
        </w:tc>
        <w:tc>
          <w:tcPr>
            <w:tcW w:w="1043"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c>
          <w:tcPr>
            <w:tcW w:w="1057"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c>
          <w:tcPr>
            <w:tcW w:w="1027"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cantSplit/>
          <w:trHeight w:val="380" w:hRule="atLeast"/>
        </w:trPr>
        <w:tc>
          <w:tcPr>
            <w:tcW w:w="104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42"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2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2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99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26"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43"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2.20</w:t>
            </w:r>
          </w:p>
        </w:tc>
        <w:tc>
          <w:tcPr>
            <w:tcW w:w="101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1.28</w:t>
            </w:r>
          </w:p>
        </w:tc>
        <w:tc>
          <w:tcPr>
            <w:tcW w:w="1058"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1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948"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89"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42"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43"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5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2.20</w:t>
            </w:r>
          </w:p>
        </w:tc>
        <w:tc>
          <w:tcPr>
            <w:tcW w:w="102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1.28</w:t>
            </w:r>
          </w:p>
        </w:tc>
      </w:tr>
    </w:tbl>
    <w:p>
      <w:pPr>
        <w:spacing w:before="30" w:after="33"/>
        <w:ind w:left="220" w:leftChars="100" w:firstLine="0" w:firstLineChars="0"/>
        <w:rPr>
          <w:rFonts w:hint="eastAsia" w:ascii="仿宋" w:hAnsi="仿宋" w:eastAsia="仿宋" w:cs="仿宋"/>
          <w:sz w:val="22"/>
          <w:szCs w:val="22"/>
        </w:rPr>
      </w:pPr>
      <w:r>
        <w:rPr>
          <w:rFonts w:hint="eastAsia" w:ascii="仿宋" w:hAnsi="仿宋" w:eastAsia="仿宋" w:cs="仿宋"/>
          <w:sz w:val="22"/>
          <w:szCs w:val="22"/>
        </w:rPr>
        <w:t>相关统计数：</w:t>
      </w:r>
    </w:p>
    <w:tbl>
      <w:tblPr>
        <w:tblStyle w:val="12"/>
        <w:tblW w:w="11798" w:type="dxa"/>
        <w:tblInd w:w="62" w:type="dxa"/>
        <w:tblLayout w:type="fixed"/>
        <w:tblCellMar>
          <w:top w:w="55" w:type="dxa"/>
          <w:left w:w="55" w:type="dxa"/>
          <w:bottom w:w="55" w:type="dxa"/>
          <w:right w:w="55" w:type="dxa"/>
        </w:tblCellMar>
      </w:tblPr>
      <w:tblGrid>
        <w:gridCol w:w="4028"/>
        <w:gridCol w:w="1976"/>
        <w:gridCol w:w="3908"/>
        <w:gridCol w:w="1886"/>
      </w:tblGrid>
      <w:tr>
        <w:trPr>
          <w:cantSplit/>
          <w:trHeight w:val="214"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sz w:val="22"/>
                <w:szCs w:val="22"/>
              </w:rPr>
              <w:t/>
            </w:r>
            <w:r>
              <w:rPr>
                <w:rFonts w:ascii="仿宋" w:hAnsi="仿宋" w:cs="仿宋" w:eastAsia="仿宋"/>
                <w:sz w:val="22"/>
              </w:rPr>
              <w:t>项目</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sz w:val="22"/>
                <w:szCs w:val="22"/>
              </w:rPr>
              <w:t>统计数</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sz w:val="22"/>
                <w:szCs w:val="22"/>
              </w:rPr>
              <w:t>项目</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sz w:val="22"/>
                <w:szCs w:val="22"/>
              </w:rPr>
              <w:t>统计数</w:t>
            </w:r>
          </w:p>
        </w:tc>
      </w:tr>
      <w:tr>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因公出国（境）团组数(个)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因公出国（境）人次数(人)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r>
      <w:tr>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公务用车购置数(辆)</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公务用车保有量(辆)</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r>
      <w:tr>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国内公务接待批次(个)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国内公务接待人次(人)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r>
      <w:tr>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国（境）外公务接待批次(个)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国（境）外公务接待人次(人)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r>
      <w:tr>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召开会议次数(个)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1</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参加会议人次(人)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32</w:t>
            </w:r>
          </w:p>
        </w:tc>
      </w:tr>
      <w:tr>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组织培训次数(个)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1</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参加培训人次(人)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6</w:t>
            </w:r>
          </w:p>
        </w:tc>
      </w:tr>
    </w:tbl>
    <w:p>
      <w:pPr>
        <w:widowControl w:val="0"/>
        <w:suppressAutoHyphens/>
        <w:bidi w:val="0"/>
        <w:spacing w:before="0" w:after="0"/>
        <w:ind w:left="0" w:leftChars="0" w:right="-2" w:righ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w:t>
      </w:r>
      <w:r>
        <w:rPr>
          <w:rFonts w:hint="eastAsia" w:ascii="仿宋" w:hAnsi="仿宋" w:eastAsia="仿宋" w:cs="仿宋"/>
          <w:b w:val="0"/>
          <w:bCs w:val="0"/>
          <w:sz w:val="22"/>
          <w:szCs w:val="22"/>
          <w:lang w:val="en-US" w:eastAsia="zh-CN"/>
        </w:rPr>
        <w:t>本表反映本年度一般公共预算“三公”经费、会议费和培训费支出情况。其中，预算数为全年预算数，反映按规定程序调整后的预算数；决算数是包括当年一般公共预算财政拨款和以前年度结转资金安排的实际支出。</w:t>
      </w:r>
      <w:r>
        <w:rPr>
          <w:rFonts w:ascii="仿宋" w:hAnsi="仿宋" w:cs="仿宋" w:eastAsia="仿宋"/>
          <w:sz w:val="22"/>
        </w:rPr>
        <w:t/>
      </w:r>
      <w:r>
        <w:rPr>
          <w:rFonts w:hint="eastAsia" w:ascii="仿宋" w:hAnsi="仿宋" w:eastAsia="仿宋" w:cs="仿宋"/>
          <w:b w:val="0"/>
          <w:bCs w:val="0"/>
          <w:sz w:val="22"/>
          <w:szCs w:val="22"/>
          <w:lang w:val="en-US" w:eastAsia="zh-CN"/>
        </w:rPr>
        <w:t>本表金额单位转换时可能存在尾数误差</w:t>
      </w:r>
      <w:r>
        <w:rPr>
          <w:rFonts w:hint="eastAsia" w:ascii="仿宋" w:hAnsi="仿宋" w:eastAsia="仿宋" w:cs="仿宋"/>
          <w:b w:val="0"/>
          <w:bCs w:val="0"/>
          <w:sz w:val="22"/>
          <w:szCs w:val="22"/>
        </w:rPr>
        <w:t>。</w:t>
      </w:r>
      <w:r>
        <w:rPr>
          <w:rFonts w:hint="eastAsia" w:ascii="仿宋" w:hAnsi="仿宋" w:eastAsia="仿宋" w:cs="仿宋"/>
          <w:b w:val="0"/>
          <w:bCs w:val="0"/>
          <w:sz w:val="22"/>
          <w:szCs w:val="22"/>
          <w:lang w:val="en-US" w:eastAsia="zh-CN"/>
        </w:rPr>
        <w:t/>
      </w:r>
    </w:p>
    <w:p>
      <w:pPr>
        <w:widowControl w:val="0"/>
        <w:suppressAutoHyphens/>
        <w:bidi w:val="0"/>
        <w:spacing w:before="0" w:after="0"/>
        <w:ind w:left="227" w:right="0" w:firstLine="220" w:firstLineChars="100"/>
        <w:jc w:val="both"/>
        <w:rPr>
          <w:rFonts w:hint="eastAsia" w:ascii="仿宋" w:hAnsi="仿宋" w:eastAsia="仿宋" w:cs="仿宋"/>
          <w:b w:val="0"/>
          <w:bCs w:val="0"/>
          <w:sz w:val="22"/>
          <w:szCs w:val="22"/>
        </w:rPr>
        <w:sectPr>
          <w:footerReference r:id="rId16" w:type="default"/>
          <w:pgSz w:w="16838" w:h="11906" w:orient="landscape"/>
          <w:pgMar w:top="720" w:right="153" w:bottom="720" w:left="153"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400" w:type="dxa"/>
        <w:tblInd w:w="62" w:type="dxa"/>
        <w:tblLayout w:type="fixed"/>
        <w:tblCellMar>
          <w:top w:w="55" w:type="dxa"/>
          <w:left w:w="55" w:type="dxa"/>
          <w:bottom w:w="55" w:type="dxa"/>
          <w:right w:w="55" w:type="dxa"/>
        </w:tblCellMar>
      </w:tblPr>
      <w:tblGrid>
        <w:gridCol w:w="1431"/>
        <w:gridCol w:w="6995"/>
        <w:gridCol w:w="2684"/>
        <w:gridCol w:w="2432"/>
        <w:gridCol w:w="1858"/>
      </w:tblGrid>
      <w:tr>
        <w:tblPrEx>
          <w:tblCellMar>
            <w:top w:w="55" w:type="dxa"/>
            <w:left w:w="55" w:type="dxa"/>
            <w:bottom w:w="55" w:type="dxa"/>
            <w:right w:w="55" w:type="dxa"/>
          </w:tblCellMar>
        </w:tblPrEx>
        <w:trPr>
          <w:trHeight w:val="395" w:hRule="atLeast"/>
        </w:trPr>
        <w:tc>
          <w:tcPr>
            <w:tcW w:w="15400"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政府性基金预算支出决算表</w:t>
            </w:r>
          </w:p>
        </w:tc>
      </w:tr>
      <w:tr>
        <w:trPr>
          <w:trHeight w:val="323" w:hRule="atLeast"/>
        </w:trPr>
        <w:tc>
          <w:tcPr>
            <w:tcW w:w="8426" w:type="dxa"/>
            <w:gridSpan w:val="2"/>
          </w:tcPr>
          <w:p>
            <w:pPr>
              <w:pStyle w:val="22"/>
              <w:widowControl w:val="0"/>
              <w:rPr>
                <w:rFonts w:hint="eastAsia" w:ascii="仿宋" w:hAnsi="仿宋" w:eastAsia="仿宋" w:cs="仿宋"/>
                <w:sz w:val="20"/>
              </w:rPr>
            </w:pPr>
          </w:p>
        </w:tc>
        <w:tc>
          <w:tcPr>
            <w:tcW w:w="2684" w:type="dxa"/>
          </w:tcPr>
          <w:p>
            <w:pPr>
              <w:pStyle w:val="22"/>
              <w:widowControl w:val="0"/>
              <w:rPr>
                <w:rFonts w:hint="eastAsia" w:ascii="仿宋" w:hAnsi="仿宋" w:eastAsia="仿宋" w:cs="仿宋"/>
                <w:sz w:val="27"/>
              </w:rPr>
            </w:pPr>
          </w:p>
        </w:tc>
        <w:tc>
          <w:tcPr>
            <w:tcW w:w="2432" w:type="dxa"/>
          </w:tcPr>
          <w:p>
            <w:pPr>
              <w:pStyle w:val="22"/>
              <w:widowControl w:val="0"/>
              <w:rPr>
                <w:rFonts w:hint="eastAsia" w:ascii="仿宋" w:hAnsi="仿宋" w:eastAsia="仿宋" w:cs="仿宋"/>
                <w:sz w:val="20"/>
              </w:rPr>
            </w:pPr>
          </w:p>
        </w:tc>
        <w:tc>
          <w:tcPr>
            <w:tcW w:w="1858"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公开10表</w:t>
            </w:r>
          </w:p>
        </w:tc>
      </w:tr>
      <w:tr>
        <w:tblPrEx>
          <w:tblCellMar>
            <w:top w:w="55" w:type="dxa"/>
            <w:left w:w="55" w:type="dxa"/>
            <w:bottom w:w="55" w:type="dxa"/>
            <w:right w:w="55" w:type="dxa"/>
          </w:tblCellMar>
        </w:tblPrEx>
        <w:trPr>
          <w:trHeight w:val="152" w:hRule="atLeast"/>
        </w:trPr>
        <w:tc>
          <w:tcPr>
            <w:tcW w:w="13542"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常州市生态环境监控中心</w:t>
            </w:r>
          </w:p>
        </w:tc>
        <w:tc>
          <w:tcPr>
            <w:tcW w:w="1858"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金额单位：万元</w:t>
            </w:r>
          </w:p>
        </w:tc>
      </w:tr>
      <w:tr>
        <w:trPr>
          <w:trHeight w:val="267" w:hRule="atLeast"/>
        </w:trPr>
        <w:tc>
          <w:tcPr>
            <w:tcW w:w="8426"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684"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本年支出合计</w:t>
            </w:r>
          </w:p>
        </w:tc>
        <w:tc>
          <w:tcPr>
            <w:tcW w:w="2432"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1858"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27" w:hRule="atLeast"/>
        </w:trPr>
        <w:tc>
          <w:tcPr>
            <w:tcW w:w="143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功能分类</w:t>
            </w:r>
          </w:p>
          <w:p>
            <w:pPr>
              <w:pStyle w:val="22"/>
              <w:widowControl w:val="0"/>
              <w:jc w:val="center"/>
              <w:rPr>
                <w:rFonts w:hint="eastAsia" w:ascii="仿宋" w:hAnsi="仿宋" w:eastAsia="仿宋" w:cs="仿宋"/>
              </w:rPr>
            </w:pPr>
            <w:r>
              <w:rPr>
                <w:rFonts w:hint="eastAsia" w:ascii="仿宋" w:hAnsi="仿宋" w:eastAsia="仿宋" w:cs="仿宋"/>
              </w:rPr>
              <w:t>科目编码</w:t>
            </w:r>
          </w:p>
        </w:tc>
        <w:tc>
          <w:tcPr>
            <w:tcW w:w="6995"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684"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2432" w:type="dxa"/>
            <w:vMerge w:val="continue"/>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p>
        </w:tc>
        <w:tc>
          <w:tcPr>
            <w:tcW w:w="1858"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rPr>
            </w:pPr>
          </w:p>
        </w:tc>
      </w:tr>
      <w:tr>
        <w:tblPrEx>
          <w:tblCellMar>
            <w:top w:w="55" w:type="dxa"/>
            <w:left w:w="55" w:type="dxa"/>
            <w:bottom w:w="55" w:type="dxa"/>
            <w:right w:w="55" w:type="dxa"/>
          </w:tblCellMar>
        </w:tblPrEx>
        <w:trPr>
          <w:trHeight w:val="275" w:hRule="atLeast"/>
        </w:trPr>
        <w:tc>
          <w:tcPr>
            <w:tcW w:w="8426"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栏次</w:t>
            </w:r>
          </w:p>
        </w:tc>
        <w:tc>
          <w:tcPr>
            <w:tcW w:w="2684"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1</w:t>
            </w:r>
          </w:p>
        </w:tc>
        <w:tc>
          <w:tcPr>
            <w:tcW w:w="243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2</w:t>
            </w:r>
          </w:p>
        </w:tc>
        <w:tc>
          <w:tcPr>
            <w:tcW w:w="1858"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2</w:t>
            </w:r>
          </w:p>
        </w:tc>
      </w:tr>
      <w:tr>
        <w:tblPrEx>
          <w:tblCellMar>
            <w:top w:w="55" w:type="dxa"/>
            <w:left w:w="55" w:type="dxa"/>
            <w:bottom w:w="55" w:type="dxa"/>
            <w:right w:w="55" w:type="dxa"/>
          </w:tblCellMar>
        </w:tblPrEx>
        <w:trPr>
          <w:trHeight w:val="389" w:hRule="exact"/>
        </w:trPr>
        <w:tc>
          <w:tcPr>
            <w:tcW w:w="8426"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68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432"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58"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699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268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432"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r>
      <w:tr>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699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268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432"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r>
    </w:tbl>
    <w:p>
      <w:pPr>
        <w:spacing w:before="25" w:after="0"/>
        <w:ind w:left="0" w:lef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注：本表反映本年度政府性基金预算财政拨款支出情况。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lang w:val="en-US" w:eastAsia="zh-CN"/>
        </w:rPr>
        <w:t/>
      </w:r>
    </w:p>
    <w:p>
      <w:pPr>
        <w:numPr>
          <w:ilvl w:val="0"/>
          <w:numId w:val="0"/>
        </w:numPr>
        <w:spacing w:before="25" w:after="0"/>
        <w:ind w:left="440" w:leftChars="200" w:firstLine="0" w:firstLineChars="0"/>
        <w:jc w:val="both"/>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
      </w:r>
      <w:r>
        <w:rPr>
          <w:rFonts w:ascii="仿宋" w:hAnsi="仿宋" w:cs="仿宋" w:eastAsia="仿宋"/>
          <w:sz w:val="22"/>
        </w:rPr>
        <w:t>本</w:t>
      </w:r>
      <w:r>
        <w:rPr>
          <w:rFonts w:ascii="仿宋" w:hAnsi="仿宋" w:cs="仿宋" w:eastAsia="仿宋"/>
          <w:sz w:val="22"/>
        </w:rPr>
        <w:t>单位</w:t>
      </w:r>
      <w:r>
        <w:rPr>
          <w:rFonts w:ascii="仿宋" w:hAnsi="仿宋" w:cs="仿宋" w:eastAsia="仿宋"/>
          <w:sz w:val="22"/>
        </w:rPr>
        <w:t>无政府性基金预算收入支出决算，故本表为空。</w:t>
      </w:r>
      <w:r>
        <w:rPr>
          <w:rFonts w:ascii="仿宋" w:hAnsi="仿宋" w:cs="仿宋" w:eastAsia="仿宋"/>
          <w:sz w:val="22"/>
        </w:rPr>
        <w:t/>
      </w:r>
    </w:p>
    <w:p>
      <w:pPr>
        <w:widowControl w:val="0"/>
        <w:numPr>
          <w:ilvl w:val="0"/>
          <w:numId w:val="0"/>
        </w:numPr>
        <w:suppressAutoHyphens/>
        <w:bidi w:val="0"/>
        <w:spacing w:before="25" w:after="0"/>
        <w:jc w:val="both"/>
        <w:rPr>
          <w:rFonts w:hint="default" w:ascii="仿宋" w:hAnsi="仿宋" w:eastAsia="仿宋" w:cs="仿宋"/>
          <w:b w:val="0"/>
          <w:bCs w:val="0"/>
          <w:sz w:val="22"/>
          <w:szCs w:val="22"/>
          <w:lang w:val="en-US" w:eastAsia="zh-CN"/>
        </w:rPr>
        <w:sectPr>
          <w:footerReference r:id="rId17"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400" w:type="dxa"/>
        <w:tblInd w:w="47" w:type="dxa"/>
        <w:tblLayout w:type="fixed"/>
        <w:tblCellMar>
          <w:top w:w="55" w:type="dxa"/>
          <w:left w:w="55" w:type="dxa"/>
          <w:bottom w:w="55" w:type="dxa"/>
          <w:right w:w="55" w:type="dxa"/>
        </w:tblCellMar>
      </w:tblPr>
      <w:tblGrid>
        <w:gridCol w:w="1462"/>
        <w:gridCol w:w="7058"/>
        <w:gridCol w:w="2510"/>
        <w:gridCol w:w="2309"/>
        <w:gridCol w:w="2061"/>
      </w:tblGrid>
      <w:tr>
        <w:tblPrEx>
          <w:tblCellMar>
            <w:top w:w="55" w:type="dxa"/>
            <w:left w:w="55" w:type="dxa"/>
            <w:bottom w:w="55" w:type="dxa"/>
            <w:right w:w="55" w:type="dxa"/>
          </w:tblCellMar>
        </w:tblPrEx>
        <w:trPr>
          <w:trHeight w:val="395" w:hRule="atLeast"/>
        </w:trPr>
        <w:tc>
          <w:tcPr>
            <w:tcW w:w="15400"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国有资本经营预算支出决算表</w:t>
            </w:r>
          </w:p>
        </w:tc>
      </w:tr>
      <w:tr>
        <w:tblPrEx>
          <w:tblCellMar>
            <w:top w:w="55" w:type="dxa"/>
            <w:left w:w="55" w:type="dxa"/>
            <w:bottom w:w="55" w:type="dxa"/>
            <w:right w:w="55" w:type="dxa"/>
          </w:tblCellMar>
        </w:tblPrEx>
        <w:trPr>
          <w:trHeight w:val="323" w:hRule="atLeast"/>
        </w:trPr>
        <w:tc>
          <w:tcPr>
            <w:tcW w:w="8520" w:type="dxa"/>
            <w:gridSpan w:val="2"/>
          </w:tcPr>
          <w:p>
            <w:pPr>
              <w:pStyle w:val="22"/>
              <w:widowControl w:val="0"/>
              <w:rPr>
                <w:rFonts w:hint="eastAsia" w:ascii="仿宋" w:hAnsi="仿宋" w:eastAsia="仿宋" w:cs="仿宋"/>
                <w:sz w:val="20"/>
              </w:rPr>
            </w:pPr>
          </w:p>
        </w:tc>
        <w:tc>
          <w:tcPr>
            <w:tcW w:w="2510" w:type="dxa"/>
          </w:tcPr>
          <w:p>
            <w:pPr>
              <w:pStyle w:val="22"/>
              <w:widowControl w:val="0"/>
              <w:rPr>
                <w:rFonts w:hint="eastAsia" w:ascii="仿宋" w:hAnsi="仿宋" w:eastAsia="仿宋" w:cs="仿宋"/>
                <w:sz w:val="27"/>
              </w:rPr>
            </w:pPr>
          </w:p>
        </w:tc>
        <w:tc>
          <w:tcPr>
            <w:tcW w:w="2309" w:type="dxa"/>
          </w:tcPr>
          <w:p>
            <w:pPr>
              <w:pStyle w:val="22"/>
              <w:widowControl w:val="0"/>
              <w:rPr>
                <w:rFonts w:hint="eastAsia" w:ascii="仿宋" w:hAnsi="仿宋" w:eastAsia="仿宋" w:cs="仿宋"/>
                <w:sz w:val="20"/>
              </w:rPr>
            </w:pPr>
          </w:p>
        </w:tc>
        <w:tc>
          <w:tcPr>
            <w:tcW w:w="2061"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公开1</w:t>
            </w:r>
            <w:r>
              <w:rPr>
                <w:rFonts w:hint="eastAsia" w:ascii="仿宋" w:hAnsi="仿宋" w:eastAsia="仿宋" w:cs="仿宋"/>
                <w:lang w:val="en-US" w:eastAsia="zh-CN"/>
              </w:rPr>
              <w:t>1</w:t>
            </w:r>
            <w:r>
              <w:rPr>
                <w:rFonts w:hint="eastAsia" w:ascii="仿宋" w:hAnsi="仿宋" w:eastAsia="仿宋" w:cs="仿宋"/>
              </w:rPr>
              <w:t>表</w:t>
            </w:r>
          </w:p>
        </w:tc>
      </w:tr>
      <w:tr>
        <w:tblPrEx>
          <w:tblCellMar>
            <w:top w:w="55" w:type="dxa"/>
            <w:left w:w="55" w:type="dxa"/>
            <w:bottom w:w="55" w:type="dxa"/>
            <w:right w:w="55" w:type="dxa"/>
          </w:tblCellMar>
        </w:tblPrEx>
        <w:trPr>
          <w:trHeight w:val="152" w:hRule="atLeast"/>
        </w:trPr>
        <w:tc>
          <w:tcPr>
            <w:tcW w:w="13339"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常州市生态环境监控中心</w:t>
            </w:r>
          </w:p>
        </w:tc>
        <w:tc>
          <w:tcPr>
            <w:tcW w:w="2061"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267" w:hRule="atLeast"/>
        </w:trPr>
        <w:tc>
          <w:tcPr>
            <w:tcW w:w="8520"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510"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本年支出合计</w:t>
            </w:r>
          </w:p>
        </w:tc>
        <w:tc>
          <w:tcPr>
            <w:tcW w:w="2309"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2061"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27" w:hRule="atLeast"/>
        </w:trPr>
        <w:tc>
          <w:tcPr>
            <w:tcW w:w="146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功能分类</w:t>
            </w:r>
          </w:p>
          <w:p>
            <w:pPr>
              <w:pStyle w:val="22"/>
              <w:widowControl w:val="0"/>
              <w:jc w:val="center"/>
              <w:rPr>
                <w:rFonts w:hint="eastAsia" w:ascii="仿宋" w:hAnsi="仿宋" w:eastAsia="仿宋" w:cs="仿宋"/>
              </w:rPr>
            </w:pPr>
            <w:r>
              <w:rPr>
                <w:rFonts w:hint="eastAsia" w:ascii="仿宋" w:hAnsi="仿宋" w:eastAsia="仿宋" w:cs="仿宋"/>
              </w:rPr>
              <w:t>科目编码</w:t>
            </w:r>
          </w:p>
        </w:tc>
        <w:tc>
          <w:tcPr>
            <w:tcW w:w="7058"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510"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2309" w:type="dxa"/>
            <w:vMerge w:val="continue"/>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p>
        </w:tc>
        <w:tc>
          <w:tcPr>
            <w:tcW w:w="2061"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rPr>
            </w:pPr>
          </w:p>
        </w:tc>
      </w:tr>
      <w:tr>
        <w:tblPrEx>
          <w:tblCellMar>
            <w:top w:w="55" w:type="dxa"/>
            <w:left w:w="55" w:type="dxa"/>
            <w:bottom w:w="55" w:type="dxa"/>
            <w:right w:w="55" w:type="dxa"/>
          </w:tblCellMar>
        </w:tblPrEx>
        <w:trPr>
          <w:trHeight w:val="275" w:hRule="atLeast"/>
        </w:trPr>
        <w:tc>
          <w:tcPr>
            <w:tcW w:w="8520"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栏次</w:t>
            </w:r>
          </w:p>
        </w:tc>
        <w:tc>
          <w:tcPr>
            <w:tcW w:w="251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1</w:t>
            </w:r>
          </w:p>
        </w:tc>
        <w:tc>
          <w:tcPr>
            <w:tcW w:w="2309"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2</w:t>
            </w:r>
          </w:p>
        </w:tc>
        <w:tc>
          <w:tcPr>
            <w:tcW w:w="2061"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2</w:t>
            </w:r>
          </w:p>
        </w:tc>
      </w:tr>
      <w:tr>
        <w:tblPrEx>
          <w:tblCellMar>
            <w:top w:w="55" w:type="dxa"/>
            <w:left w:w="55" w:type="dxa"/>
            <w:bottom w:w="55" w:type="dxa"/>
            <w:right w:w="55" w:type="dxa"/>
          </w:tblCellMar>
        </w:tblPrEx>
        <w:trPr>
          <w:trHeight w:val="389" w:hRule="exact"/>
        </w:trPr>
        <w:tc>
          <w:tcPr>
            <w:tcW w:w="8520"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51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30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61"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705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2510"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309"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705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2510"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309"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r>
    </w:tbl>
    <w:p>
      <w:pPr>
        <w:bidi w:val="0"/>
        <w:ind w:left="0" w:lef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注：本表反映本年度国有资本经营预算财政拨款支出情况。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lang w:val="en-US" w:eastAsia="zh-CN"/>
        </w:rPr>
        <w:t/>
      </w:r>
    </w:p>
    <w:p>
      <w:pPr>
        <w:numPr>
          <w:ilvl w:val="0"/>
          <w:numId w:val="0"/>
        </w:numPr>
        <w:bidi w:val="0"/>
        <w:ind w:left="440" w:leftChars="200" w:firstLine="0" w:firstLineChars="0"/>
        <w:jc w:val="both"/>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
      </w:r>
      <w:r>
        <w:rPr>
          <w:rFonts w:ascii="仿宋" w:hAnsi="仿宋" w:cs="仿宋" w:eastAsia="仿宋"/>
          <w:sz w:val="22"/>
        </w:rPr>
        <w:t>本</w:t>
      </w:r>
      <w:r>
        <w:rPr>
          <w:rFonts w:ascii="仿宋" w:hAnsi="仿宋" w:cs="仿宋" w:eastAsia="仿宋"/>
          <w:sz w:val="22"/>
        </w:rPr>
        <w:t>单位</w:t>
      </w:r>
      <w:r>
        <w:rPr>
          <w:rFonts w:ascii="仿宋" w:hAnsi="仿宋" w:cs="仿宋" w:eastAsia="仿宋"/>
          <w:sz w:val="22"/>
        </w:rPr>
        <w:t>无</w:t>
      </w:r>
      <w:r>
        <w:rPr>
          <w:rFonts w:hint="eastAsia" w:ascii="仿宋" w:hAnsi="仿宋" w:eastAsia="仿宋" w:cs="仿宋"/>
          <w:b w:val="0"/>
          <w:bCs w:val="0"/>
          <w:sz w:val="22"/>
          <w:szCs w:val="22"/>
        </w:rPr>
        <w:t>国有资本经营预算支出</w:t>
      </w:r>
      <w:r>
        <w:rPr>
          <w:rFonts w:hint="eastAsia" w:ascii="仿宋" w:hAnsi="仿宋" w:eastAsia="仿宋" w:cs="仿宋"/>
          <w:b w:val="0"/>
          <w:bCs w:val="0"/>
          <w:sz w:val="22"/>
          <w:szCs w:val="22"/>
          <w:lang w:val="en-US" w:eastAsia="zh-CN"/>
        </w:rPr>
        <w:t>决算，故本表为空。</w:t>
      </w:r>
      <w:r>
        <w:rPr>
          <w:rFonts w:ascii="仿宋" w:hAnsi="仿宋" w:cs="仿宋" w:eastAsia="仿宋"/>
          <w:sz w:val="22"/>
        </w:rPr>
        <w:t/>
      </w:r>
    </w:p>
    <w:p>
      <w:pPr>
        <w:spacing w:before="25" w:after="0"/>
        <w:ind w:left="-220" w:leftChars="-100" w:firstLine="0" w:firstLineChars="0"/>
        <w:jc w:val="both"/>
        <w:rPr>
          <w:rFonts w:hint="default" w:ascii="仿宋" w:hAnsi="仿宋" w:eastAsia="仿宋" w:cs="仿宋"/>
          <w:b w:val="0"/>
          <w:bCs w:val="0"/>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466" w:type="dxa"/>
        <w:tblInd w:w="53" w:type="dxa"/>
        <w:tblLayout w:type="fixed"/>
        <w:tblCellMar>
          <w:top w:w="55" w:type="dxa"/>
          <w:left w:w="55" w:type="dxa"/>
          <w:bottom w:w="55" w:type="dxa"/>
          <w:right w:w="55" w:type="dxa"/>
        </w:tblCellMar>
      </w:tblPr>
      <w:tblGrid>
        <w:gridCol w:w="1642"/>
        <w:gridCol w:w="4990"/>
        <w:gridCol w:w="3834"/>
      </w:tblGrid>
      <w:tr>
        <w:tblPrEx>
          <w:tblCellMar>
            <w:top w:w="55" w:type="dxa"/>
            <w:left w:w="55" w:type="dxa"/>
            <w:bottom w:w="55" w:type="dxa"/>
            <w:right w:w="55" w:type="dxa"/>
          </w:tblCellMar>
        </w:tblPrEx>
        <w:trPr>
          <w:trHeight w:val="319" w:hRule="atLeast"/>
        </w:trPr>
        <w:tc>
          <w:tcPr>
            <w:tcW w:w="10466" w:type="dxa"/>
            <w:gridSpan w:val="3"/>
          </w:tcPr>
          <w:p>
            <w:pPr>
              <w:pStyle w:val="22"/>
              <w:widowControl w:val="0"/>
              <w:tabs>
                <w:tab w:val="left" w:pos="610"/>
              </w:tabs>
              <w:spacing w:before="28" w:after="0"/>
              <w:ind w:left="8" w:firstLine="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一般公共预算机关运行经费支出决算表</w:t>
            </w:r>
          </w:p>
        </w:tc>
      </w:tr>
      <w:tr>
        <w:tblPrEx>
          <w:tblCellMar>
            <w:top w:w="55" w:type="dxa"/>
            <w:left w:w="55" w:type="dxa"/>
            <w:bottom w:w="55" w:type="dxa"/>
            <w:right w:w="55" w:type="dxa"/>
          </w:tblCellMar>
        </w:tblPrEx>
        <w:trPr>
          <w:trHeight w:val="90" w:hRule="atLeast"/>
        </w:trPr>
        <w:tc>
          <w:tcPr>
            <w:tcW w:w="6632" w:type="dxa"/>
            <w:gridSpan w:val="2"/>
          </w:tcPr>
          <w:p>
            <w:pPr>
              <w:pStyle w:val="22"/>
              <w:widowControl w:val="0"/>
              <w:rPr>
                <w:rFonts w:hint="eastAsia" w:ascii="仿宋" w:hAnsi="仿宋" w:eastAsia="仿宋" w:cs="仿宋"/>
                <w:sz w:val="20"/>
              </w:rPr>
            </w:pPr>
          </w:p>
        </w:tc>
        <w:tc>
          <w:tcPr>
            <w:tcW w:w="3834" w:type="dxa"/>
            <w:vAlign w:val="center"/>
          </w:tcPr>
          <w:p>
            <w:pPr>
              <w:pStyle w:val="22"/>
              <w:widowControl w:val="0"/>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6632" w:type="dxa"/>
            <w:gridSpan w:val="2"/>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常州市生态环境监控中心</w:t>
            </w:r>
          </w:p>
        </w:tc>
        <w:tc>
          <w:tcPr>
            <w:tcW w:w="3834"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319" w:hRule="atLeast"/>
        </w:trPr>
        <w:tc>
          <w:tcPr>
            <w:tcW w:w="6632"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w:t>
            </w:r>
            <w:r>
              <w:rPr>
                <w:rFonts w:hint="eastAsia" w:ascii="仿宋" w:hAnsi="仿宋" w:eastAsia="仿宋" w:cs="仿宋"/>
                <w:sz w:val="22"/>
                <w:szCs w:val="22"/>
              </w:rPr>
              <w:tab/>
            </w:r>
            <w:r>
              <w:rPr>
                <w:rFonts w:hint="eastAsia" w:ascii="仿宋" w:hAnsi="仿宋" w:eastAsia="仿宋" w:cs="仿宋"/>
                <w:sz w:val="22"/>
                <w:szCs w:val="22"/>
              </w:rPr>
              <w:t>目</w:t>
            </w:r>
          </w:p>
        </w:tc>
        <w:tc>
          <w:tcPr>
            <w:tcW w:w="3834"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机关运行经费支出决算</w:t>
            </w:r>
          </w:p>
        </w:tc>
      </w:tr>
      <w:tr>
        <w:tblPrEx>
          <w:tblCellMar>
            <w:top w:w="55" w:type="dxa"/>
            <w:left w:w="55" w:type="dxa"/>
            <w:bottom w:w="55" w:type="dxa"/>
            <w:right w:w="55" w:type="dxa"/>
          </w:tblCellMar>
        </w:tblPrEx>
        <w:trPr>
          <w:trHeight w:val="363" w:hRule="atLeast"/>
        </w:trPr>
        <w:tc>
          <w:tcPr>
            <w:tcW w:w="16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99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3834"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229" w:hRule="atLeast"/>
        </w:trPr>
        <w:tc>
          <w:tcPr>
            <w:tcW w:w="6632"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3834"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302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办公费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印刷费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咨询费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30204</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手续费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水费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电费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邮电费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取暖费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物业管理费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差旅费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因公出国（境）费用</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维修（护）费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30214</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租赁费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会议费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培训费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公务接待费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专用材料费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30224</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被装购置费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专用燃料费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劳务费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委托业务费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工会经费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福利费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30231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公务用车运行维护费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30239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其他交通费用</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30240</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税金及附加费用</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30299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其他商品和服务支出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307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债务利息及费用支出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310</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房屋建筑物购建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办公设备购置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专用设备购置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基础设施建设</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大型修缮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信息网络及软件购置更新</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物资储备</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土地补偿</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31010</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安置补助</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地上附着物和青苗补偿</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拆迁补偿</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公务用车购置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其他交通工具购置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31021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文物和陈列品购置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31022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无形资产购置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31099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其他资本性支出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312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对企业补助</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399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其他支出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bl>
    <w:p>
      <w:pPr>
        <w:spacing w:before="25" w:after="0"/>
        <w:ind w:left="0" w:leftChars="0" w:right="-92" w:rightChars="-42" w:firstLine="0" w:firstLineChars="0"/>
        <w:jc w:val="both"/>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rPr>
        <w:t>注：“机关运行经费” 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lang w:val="en-US" w:eastAsia="zh-CN"/>
        </w:rPr>
        <w:t/>
      </w:r>
    </w:p>
    <w:p>
      <w:pPr>
        <w:numPr>
          <w:ilvl w:val="0"/>
          <w:numId w:val="0"/>
        </w:numPr>
        <w:tabs>
          <w:tab w:val="left" w:pos="440"/>
        </w:tabs>
        <w:spacing w:before="25" w:after="0"/>
        <w:ind w:left="440" w:leftChars="20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
      </w:r>
      <w:r>
        <w:rPr>
          <w:rFonts w:hint="eastAsia" w:ascii="仿宋" w:hAnsi="仿宋" w:eastAsia="仿宋" w:cs="仿宋"/>
          <w:b w:val="0"/>
          <w:bCs w:val="0"/>
          <w:sz w:val="22"/>
          <w:szCs w:val="22"/>
          <w:lang w:eastAsia="zh-CN"/>
        </w:rPr>
        <w:t>本</w:t>
      </w:r>
      <w:r>
        <w:rPr>
          <w:rFonts w:ascii="仿宋" w:hAnsi="仿宋" w:cs="仿宋" w:eastAsia="仿宋"/>
          <w:sz w:val="22"/>
        </w:rPr>
        <w:t>单位</w:t>
      </w:r>
      <w:r>
        <w:rPr>
          <w:rFonts w:hint="eastAsia" w:ascii="仿宋" w:hAnsi="仿宋" w:eastAsia="仿宋" w:cs="仿宋"/>
          <w:b w:val="0"/>
          <w:bCs w:val="0"/>
          <w:sz w:val="22"/>
          <w:szCs w:val="22"/>
        </w:rPr>
        <w:t>无一般公共预算机关运行经费支出决算，故本表为空。</w:t>
      </w:r>
      <w:r>
        <w:rPr>
          <w:rFonts w:ascii="仿宋" w:hAnsi="仿宋" w:cs="仿宋" w:eastAsia="仿宋"/>
          <w:sz w:val="22"/>
        </w:rPr>
        <w:t/>
      </w:r>
    </w:p>
    <w:p>
      <w:pPr>
        <w:numPr>
          <w:ilvl w:val="0"/>
          <w:numId w:val="0"/>
        </w:numPr>
        <w:tabs>
          <w:tab w:val="left" w:pos="440"/>
        </w:tabs>
        <w:spacing w:before="25" w:after="0"/>
        <w:ind w:left="440" w:leftChars="200" w:firstLine="0" w:firstLineChars="0"/>
        <w:jc w:val="both"/>
        <w:rPr>
          <w:rFonts w:hint="eastAsia" w:ascii="仿宋" w:hAnsi="仿宋" w:eastAsia="仿宋" w:cs="仿宋"/>
          <w:b w:val="0"/>
          <w:bCs w:val="0"/>
          <w:sz w:val="22"/>
          <w:szCs w:val="22"/>
          <w:lang w:val="en-US" w:eastAsia="zh-CN"/>
        </w:rPr>
        <w:sectPr>
          <w:footerReference r:id="rId18" w:type="default"/>
          <w:type w:val="continuous"/>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459" w:type="dxa"/>
        <w:tblInd w:w="45" w:type="dxa"/>
        <w:tblLayout w:type="fixed"/>
        <w:tblCellMar>
          <w:top w:w="55" w:type="dxa"/>
          <w:left w:w="55" w:type="dxa"/>
          <w:bottom w:w="55" w:type="dxa"/>
          <w:right w:w="55" w:type="dxa"/>
        </w:tblCellMar>
      </w:tblPr>
      <w:tblGrid>
        <w:gridCol w:w="4472"/>
        <w:gridCol w:w="722"/>
        <w:gridCol w:w="1992"/>
        <w:gridCol w:w="3273"/>
      </w:tblGrid>
      <w:tr>
        <w:tblPrEx>
          <w:tblCellMar>
            <w:top w:w="55" w:type="dxa"/>
            <w:left w:w="55" w:type="dxa"/>
            <w:bottom w:w="55" w:type="dxa"/>
            <w:right w:w="55" w:type="dxa"/>
          </w:tblCellMar>
        </w:tblPrEx>
        <w:trPr>
          <w:trHeight w:val="333" w:hRule="atLeast"/>
        </w:trPr>
        <w:tc>
          <w:tcPr>
            <w:tcW w:w="10459" w:type="dxa"/>
            <w:gridSpan w:val="4"/>
            <w:vAlign w:val="center"/>
          </w:tcPr>
          <w:p>
            <w:pPr>
              <w:pStyle w:val="22"/>
              <w:widowControl w:val="0"/>
              <w:bidi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政府采购支出决算表</w:t>
            </w:r>
          </w:p>
        </w:tc>
      </w:tr>
      <w:tr>
        <w:tblPrEx>
          <w:tblCellMar>
            <w:top w:w="55" w:type="dxa"/>
            <w:left w:w="55" w:type="dxa"/>
            <w:bottom w:w="55" w:type="dxa"/>
            <w:right w:w="55" w:type="dxa"/>
          </w:tblCellMar>
        </w:tblPrEx>
        <w:trPr>
          <w:trHeight w:val="333" w:hRule="atLeast"/>
        </w:trPr>
        <w:tc>
          <w:tcPr>
            <w:tcW w:w="4472" w:type="dxa"/>
          </w:tcPr>
          <w:p>
            <w:pPr>
              <w:pStyle w:val="22"/>
              <w:widowControl w:val="0"/>
              <w:bidi w:val="0"/>
              <w:rPr>
                <w:rFonts w:hint="eastAsia" w:ascii="仿宋" w:hAnsi="仿宋" w:eastAsia="仿宋" w:cs="仿宋"/>
              </w:rPr>
            </w:pPr>
          </w:p>
        </w:tc>
        <w:tc>
          <w:tcPr>
            <w:tcW w:w="722" w:type="dxa"/>
          </w:tcPr>
          <w:p>
            <w:pPr>
              <w:pStyle w:val="22"/>
              <w:widowControl w:val="0"/>
              <w:rPr>
                <w:rFonts w:hint="eastAsia" w:ascii="仿宋" w:hAnsi="仿宋" w:eastAsia="仿宋" w:cs="仿宋"/>
              </w:rPr>
            </w:pPr>
          </w:p>
        </w:tc>
        <w:tc>
          <w:tcPr>
            <w:tcW w:w="1992" w:type="dxa"/>
          </w:tcPr>
          <w:p>
            <w:pPr>
              <w:pStyle w:val="22"/>
              <w:widowControl w:val="0"/>
              <w:rPr>
                <w:rFonts w:hint="eastAsia" w:ascii="仿宋" w:hAnsi="仿宋" w:eastAsia="仿宋" w:cs="仿宋"/>
              </w:rPr>
            </w:pPr>
          </w:p>
        </w:tc>
        <w:tc>
          <w:tcPr>
            <w:tcW w:w="3273" w:type="dxa"/>
            <w:vAlign w:val="center"/>
          </w:tcPr>
          <w:p>
            <w:pPr>
              <w:pStyle w:val="22"/>
              <w:widowControl w:val="0"/>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7186" w:type="dxa"/>
            <w:gridSpan w:val="3"/>
          </w:tcPr>
          <w:p>
            <w:pPr>
              <w:pStyle w:val="22"/>
              <w:widowControl w:val="0"/>
              <w:bidi w:val="0"/>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常州市生态环境监控中心</w:t>
            </w:r>
          </w:p>
        </w:tc>
        <w:tc>
          <w:tcPr>
            <w:tcW w:w="3273" w:type="dxa"/>
            <w:vAlign w:val="center"/>
          </w:tcPr>
          <w:p>
            <w:pPr>
              <w:pStyle w:val="22"/>
              <w:widowControl w:val="0"/>
              <w:jc w:val="right"/>
              <w:rPr>
                <w:rFonts w:hint="eastAsia" w:ascii="仿宋" w:hAnsi="仿宋" w:eastAsia="仿宋" w:cs="仿宋"/>
              </w:rPr>
            </w:pPr>
            <w:r>
              <w:rPr>
                <w:rFonts w:hint="eastAsia" w:ascii="仿宋" w:hAnsi="仿宋" w:eastAsia="仿宋" w:cs="仿宋"/>
              </w:rPr>
              <w:t>单位：万元</w:t>
            </w:r>
          </w:p>
        </w:tc>
      </w:tr>
      <w:tr>
        <w:tblPrEx>
          <w:tblCellMar>
            <w:top w:w="55" w:type="dxa"/>
            <w:left w:w="55" w:type="dxa"/>
            <w:bottom w:w="55" w:type="dxa"/>
            <w:right w:w="55" w:type="dxa"/>
          </w:tblCellMar>
        </w:tblPrEx>
        <w:trPr>
          <w:trHeight w:val="244" w:hRule="atLeast"/>
        </w:trPr>
        <w:tc>
          <w:tcPr>
            <w:tcW w:w="4472" w:type="dxa"/>
            <w:tcBorders>
              <w:top w:val="single" w:color="000000" w:sz="4" w:space="0"/>
              <w:left w:val="single" w:color="000000" w:sz="4" w:space="0"/>
              <w:bottom w:val="single" w:color="000000" w:sz="4" w:space="0"/>
            </w:tcBorders>
            <w:vAlign w:val="center"/>
          </w:tcPr>
          <w:p>
            <w:pPr>
              <w:pStyle w:val="22"/>
              <w:widowControl w:val="0"/>
              <w:bidi w:val="0"/>
              <w:jc w:val="center"/>
              <w:rPr>
                <w:rFonts w:hint="eastAsia" w:ascii="仿宋" w:hAnsi="仿宋" w:eastAsia="仿宋" w:cs="仿宋"/>
                <w:lang w:val="en-US" w:eastAsia="zh-CN"/>
              </w:rPr>
            </w:pPr>
            <w:r>
              <w:rPr>
                <w:rFonts w:hint="eastAsia" w:ascii="仿宋" w:hAnsi="仿宋" w:eastAsia="仿宋" w:cs="仿宋"/>
                <w:lang w:val="en-US" w:eastAsia="zh-CN"/>
              </w:rPr>
              <w:t/>
            </w:r>
            <w:r>
              <w:rPr>
                <w:rFonts w:ascii="仿宋" w:hAnsi="仿宋" w:cs="仿宋" w:eastAsia="仿宋"/>
              </w:rPr>
              <w:t>项目</w:t>
            </w:r>
          </w:p>
        </w:tc>
        <w:tc>
          <w:tcPr>
            <w:tcW w:w="598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金</w:t>
            </w:r>
            <w:r>
              <w:rPr>
                <w:rFonts w:hint="eastAsia" w:ascii="仿宋" w:hAnsi="仿宋" w:eastAsia="仿宋" w:cs="仿宋"/>
              </w:rPr>
              <w:tab/>
            </w:r>
            <w:r>
              <w:rPr>
                <w:rFonts w:hint="eastAsia" w:ascii="仿宋" w:hAnsi="仿宋" w:eastAsia="仿宋" w:cs="仿宋"/>
              </w:rPr>
              <w:t>额</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一、政府采购支出合计</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4,578.12</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（一）政府采购货物支出</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4,578.12</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（二）政府采购工程支出</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（三）政府采购服务支出</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二、政府采购授予中小企业合同金额</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其中：授予小微企业合同金额</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bidi w:val="0"/>
        <w:jc w:val="both"/>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rPr>
        <w:t>注：</w:t>
      </w:r>
      <w:r>
        <w:rPr>
          <w:rFonts w:hint="eastAsia" w:ascii="仿宋" w:hAnsi="仿宋" w:eastAsia="仿宋" w:cs="仿宋"/>
          <w:b w:val="0"/>
          <w:bCs w:val="0"/>
          <w:sz w:val="22"/>
          <w:szCs w:val="22"/>
          <w:lang w:val="en-US" w:eastAsia="zh-CN"/>
        </w:rPr>
        <w:t>政府采购支出信息为单位纳入部门预算范围的各项政府采购支出情况。</w:t>
      </w:r>
      <w:r>
        <w:rPr>
          <w:rFonts w:ascii="仿宋" w:hAnsi="仿宋" w:cs="仿宋" w:eastAsia="仿宋"/>
          <w:sz w:val="22"/>
        </w:rPr>
        <w:t/>
      </w:r>
      <w:r>
        <w:rPr>
          <w:rFonts w:hint="eastAsia" w:ascii="仿宋" w:hAnsi="仿宋" w:eastAsia="仿宋" w:cs="仿宋"/>
          <w:b w:val="0"/>
          <w:bCs w:val="0"/>
          <w:sz w:val="22"/>
          <w:szCs w:val="22"/>
          <w:lang w:val="en-US" w:eastAsia="zh-CN"/>
        </w:rPr>
        <w:t>本表金额单位转换时可能存在尾数误差</w:t>
      </w:r>
      <w:r>
        <w:rPr>
          <w:rFonts w:hint="eastAsia" w:ascii="仿宋" w:hAnsi="仿宋" w:eastAsia="仿宋" w:cs="仿宋"/>
          <w:b w:val="0"/>
          <w:bCs w:val="0"/>
          <w:sz w:val="22"/>
          <w:szCs w:val="22"/>
        </w:rPr>
        <w:t>。</w:t>
      </w:r>
      <w:r>
        <w:rPr>
          <w:rFonts w:hint="eastAsia" w:ascii="仿宋" w:hAnsi="仿宋" w:eastAsia="仿宋" w:cs="仿宋"/>
          <w:b w:val="0"/>
          <w:bCs w:val="0"/>
          <w:sz w:val="22"/>
          <w:szCs w:val="22"/>
          <w:lang w:val="en-US" w:eastAsia="zh-CN"/>
        </w:rPr>
        <w:t/>
      </w:r>
    </w:p>
    <w:p>
      <w:pPr>
        <w:numPr>
          <w:ilvl w:val="0"/>
          <w:numId w:val="0"/>
        </w:numPr>
        <w:bidi w:val="0"/>
        <w:ind w:left="440" w:leftChars="200" w:firstLine="0" w:firstLineChars="0"/>
        <w:jc w:val="both"/>
        <w:rPr>
          <w:rFonts w:hint="eastAsia" w:ascii="仿宋" w:hAnsi="仿宋" w:eastAsia="仿宋" w:cs="仿宋"/>
          <w:b w:val="0"/>
          <w:bCs w:val="0"/>
          <w:sz w:val="22"/>
          <w:szCs w:val="22"/>
        </w:rPr>
        <w:sectPr>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5"/>
        <w:tabs>
          <w:tab w:val="left" w:pos="3077"/>
        </w:tabs>
        <w:spacing w:line="616" w:lineRule="exact"/>
        <w:jc w:val="center"/>
        <w:outlineLvl w:val="0"/>
        <w:rPr>
          <w:rFonts w:hint="eastAsia" w:ascii="宋体" w:hAnsi="宋体" w:eastAsia="宋体" w:cs="宋体"/>
          <w:b/>
          <w:bCs/>
          <w:color w:val="000000"/>
          <w:kern w:val="0"/>
          <w:sz w:val="36"/>
          <w:szCs w:val="36"/>
          <w:lang w:val="zh-CN" w:eastAsia="ar-SA" w:bidi="zh-CN"/>
        </w:rPr>
      </w:pPr>
      <w:r>
        <w:rPr>
          <w:rFonts w:hint="eastAsia" w:ascii="宋体" w:hAnsi="宋体" w:eastAsia="宋体" w:cs="宋体"/>
          <w:b/>
          <w:bCs/>
          <w:color w:val="000000"/>
          <w:kern w:val="0"/>
          <w:sz w:val="36"/>
          <w:szCs w:val="36"/>
          <w:lang w:val="zh-CN" w:eastAsia="ar-SA" w:bidi="zh-CN"/>
        </w:rPr>
        <w:t>第三部分</w:t>
      </w:r>
      <w:r>
        <w:rPr>
          <w:rFonts w:hint="eastAsia" w:ascii="宋体" w:hAnsi="宋体" w:eastAsia="宋体" w:cs="宋体"/>
          <w:b/>
          <w:bCs/>
          <w:color w:val="000000"/>
          <w:kern w:val="0"/>
          <w:sz w:val="36"/>
          <w:szCs w:val="36"/>
          <w:lang w:val="en-US" w:eastAsia="zh-CN" w:bidi="zh-CN"/>
        </w:rPr>
        <w:t xml:space="preserve"> </w:t>
      </w:r>
      <w:r>
        <w:rPr>
          <w:rFonts w:hint="eastAsia" w:ascii="宋体" w:hAnsi="宋体" w:eastAsia="宋体" w:cs="宋体"/>
          <w:b/>
          <w:bCs/>
          <w:color w:val="000000"/>
          <w:kern w:val="0"/>
          <w:sz w:val="36"/>
          <w:szCs w:val="36"/>
          <w:lang w:val="zh-CN" w:eastAsia="zh-CN" w:bidi="zh-CN"/>
        </w:rPr>
        <w:t>2021</w:t>
      </w:r>
      <w:r>
        <w:rPr>
          <w:rFonts w:hint="eastAsia" w:ascii="宋体" w:hAnsi="宋体" w:eastAsia="宋体" w:cs="宋体"/>
          <w:b/>
          <w:bCs/>
          <w:color w:val="000000"/>
          <w:kern w:val="0"/>
          <w:sz w:val="36"/>
          <w:szCs w:val="36"/>
          <w:lang w:val="zh-CN" w:eastAsia="ar-SA" w:bidi="zh-CN"/>
        </w:rPr>
        <w:t>年度</w:t>
      </w:r>
      <w:r>
        <w:rPr>
          <w:rFonts w:ascii="宋体" w:hAnsi="宋体" w:cs="宋体" w:eastAsia="宋体"/>
          <w:b w:val="true"/>
          <w:color w:val="000000"/>
          <w:sz w:val="36"/>
        </w:rPr>
        <w:t>单位</w:t>
      </w:r>
      <w:r>
        <w:rPr>
          <w:rFonts w:ascii="宋体" w:hAnsi="宋体" w:cs="宋体" w:eastAsia="宋体"/>
          <w:b w:val="true"/>
          <w:color w:val="000000"/>
          <w:sz w:val="36"/>
        </w:rPr>
        <w:t>决算情况说明</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一、收入支出决算总体情况说明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2021年度收入、支出决算总计6,358.83万元。与上年相比，收、支总计各增加2,280.06万元，增长55.9%。其中：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（一）收入决算总计6,358.83万元。包括：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收入决算合计6,358.83万元。与上年相比，增加2,280.06万元，增长55.9%，变动原因：2021年监控中心处于筹建期，需建设实验室和购置专用设备，且新增了工作人员。污染防治水体项（省专项）较去年增加832.16万，一般行政管理事务较去年增加507.6万，工资福利和商品福服务支出（定额）较去年增加109.36万，另外增加的830万为其他环保管理事务。</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2.使用非财政拨款结余0万元。与上年决算数相同。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3.年初结转和结余0万元。与上年决算数相同。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（二）支出决算总计6,358.83万元。包括：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支出决算合计6,358.83万元。与上年相比，增加4,008.35万元，增长170.53%，变动原因：2021年监控中心处于筹建期，需建设实验室和购置专用设备，且新增了工作人员。污染防治水体项（省专项）较去年增加832.16万，一般行政管理事务较去年增加507.6万，工资福利和商品福服务支出（定额）较去年增加109.36万，另外增加的830万为其他环保管理事务。</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2.结余分配0万元。与上年决算数相同。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3.年末结转和结余0万元。与上年相比，减少1,728.29万元，减少100%，变动原因：17282900.39元为原信息中心上缴财政的金额，已开具非税收入票据，已做账务调整。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二、收入决算情况说明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本年收入决算合计6,358.83万元，其中：财政拨款收入5,806.71万元，占91.32%；上级补助收入0万元，占0%；财政专户管理教育收费0万元，占0%；事业收入（不含专户管理教育收费）552.12万元，占8.68%；经营收入0万元，占0%；附属单位上缴收入0万元，占0%；其他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1" name="Drawing 1" descr="Generated"/>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true"/>
                    </pic:cNvPicPr>
                  </pic:nvPicPr>
                  <pic:blipFill>
                    <a:blip r:embed="rId22"/>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2021年度本年支出决算合计6,358.83万元，其中：基本支出310.28万元，占4.88%；项目支出6,048.55万元，占95.12%；上缴上级支出0万元，占0%；经营支出0万元，占0%；对附属单位补助支出0万元，占0%。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2" name="Drawing 2" descr="Generated"/>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true"/>
                    </pic:cNvPicPr>
                  </pic:nvPicPr>
                  <pic:blipFill>
                    <a:blip r:embed="rId23"/>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四、财政拨款收入支出决算总体情况说明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财政拨款收入、支出决算总计5,806.71万元。与上年相比，收、支总计各增加4,696.39万元，增长422.98%，变动原因：2021年监控中心处于筹建期，专用设备购置费3125.2万；员工人数增加，基本支出增加121.93万；其余为项目支出增加数。</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五、财政拨款支出决算情况说明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财政拨款支出决算反映的是一般公共预算、政府性基金预算和国有资本经营预算财政拨款支出的总体情况，既包括使用本年从本级财政取得的财政拨款发生的支出，也包括使用上年度财政拨款结转资金发生的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2021年度财政拨款支出决算5,806.71万元，占本年支出合计的91.32%。与2021年度财政拨款支出年初预算3,969.15万元相比，完成年初预算的146.3%。其中：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（一）卫生健康支出（类）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1.行政事业单位医疗（款）事业单位医疗（项）。年初预算4.49万元，支出决算6.57万元，完成年初预算的146.33%。决算数与年初预算数的差异原因：人员增加。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2.行政事业单位医疗（款）公务员医疗补助（项）。年初预算2.49万元，支出决算3.65万元，完成年初预算的146.59%。决算数与年初预算数的差异原因：人员增加。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（二）节能环保支出（类）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1.环境保护管理事务（款）一般行政管理事务（项）。年初预算507.6万元，支出决算507.6万元，完成年初预算的100%。决算数与年初预算数相同。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环境保护管理事务（款）其他环境保护管理事务支出（项）。年初预算3,420.41万元，支出决算3,529.77万元，完成年初预算的103.2%。决算数与年初预算数的差异原因：此项中工资福利支出年初数为115.9万，全年支出决算数为219.83万，增加数为103.93万；商品和服务支出（定额）年初预算数为11.72万，全年支出决算数为17.15万，增加数为5.43万。此2项支出决算数较年初预算数增加109.36万，均为新增员工的基本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污染防治（款）水体（项）。年初预算0万元，支出决算1,166.08万元，（年初预算数为0万元，无法计算完成比率）。决算数与年初预算数的差异原因：污染防治水体项为省专项生态监控中心监测能力建设和支行保障项目，由国务院环境质量明显改善表彰奖励资金列支，共1500万，2020年支出333.92万，本年支出1166.08万。</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4.自然生态保护（款）生态保护（项）。年初预算0万元，支出决算530.35万元，（年初预算数为0万元，无法计算完成比率）。决算数与年初预算数的差异原因：此项为2021年环保专项资金项目年中追加。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（三）住房保障支出（类）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1.住房改革支出（款）住房公积金（项）。年初预算10.79万元，支出决算21.79万元，完成年初预算的201.95%。决算数与年初预算数的差异原因：人员增加。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2.住房改革支出（款）提租补贴（项）。年初预算4.32万元，支出决算4.62万元，完成年初预算的106.94%。决算数与年初预算数的差异原因：人员增加。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3.住房改革支出（款）购房补贴（项）。年初预算19.05万元，支出决算36.28万元，完成年初预算的190.45%。决算数与年初预算数的差异原因：人员增加。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六、财政拨款基本支出决算情况说明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2021年度财政拨款基本支出决算310.28万元，其中：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hint="eastAsia" w:ascii="楷体" w:hAnsi="楷体" w:eastAsia="楷体" w:cs="楷体"/>
          <w:b w:val="0"/>
          <w:bCs w:val="0"/>
          <w:lang w:val="en-US"/>
        </w:rPr>
        <w:t/>
      </w:r>
      <w:r>
        <w:rPr>
          <w:rFonts w:ascii="楷体" w:hAnsi="楷体" w:cs="楷体" w:eastAsia="楷体"/>
        </w:rPr>
        <w:t>（一）人员经费293.13万元。</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
      </w:r>
      <w:r>
        <w:rPr>
          <w:rFonts w:hint="eastAsia" w:ascii="楷体" w:hAnsi="楷体" w:eastAsia="楷体" w:cs="楷体"/>
          <w:b w:val="0"/>
          <w:bCs w:val="0"/>
          <w:lang w:val="en-US"/>
        </w:rPr>
        <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主要包括：基本工资、津贴补贴、奖金、绩效工资、机关事业单位基本养老保险缴费、职业年金缴费、职工基本医疗保险缴费、公务员医疗补助缴费、其他社会保障缴费、住房公积金、医疗费补助、其他对个人和家庭的补助。</w:t>
      </w:r>
      <w:r>
        <w:rPr>
          <w:rFonts w:ascii="仿宋" w:hAnsi="仿宋" w:cs="仿宋" w:eastAsia="仿宋"/>
        </w:rPr>
        <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hint="eastAsia" w:ascii="楷体" w:hAnsi="楷体" w:eastAsia="楷体" w:cs="楷体"/>
          <w:b w:val="0"/>
          <w:bCs w:val="0"/>
          <w:lang w:val="en-US"/>
        </w:rPr>
        <w:t/>
      </w:r>
      <w:r>
        <w:rPr>
          <w:rFonts w:ascii="楷体" w:hAnsi="楷体" w:cs="楷体" w:eastAsia="楷体"/>
        </w:rPr>
        <w:t>（二）公用经费17.15万元。</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
      </w:r>
      <w:r>
        <w:rPr>
          <w:rFonts w:hint="eastAsia" w:ascii="楷体" w:hAnsi="楷体" w:eastAsia="楷体" w:cs="楷体"/>
          <w:b w:val="0"/>
          <w:bCs w:val="0"/>
          <w:lang w:val="en-US"/>
        </w:rPr>
        <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主要包括：办公费、印刷费、邮电费、物业管理费、差旅费、维修（护）费、会议费、培训费、劳务费、工会经费、福利费、其他交通费用、其他商品和服务支出。</w:t>
      </w:r>
      <w:r>
        <w:rPr>
          <w:rFonts w:ascii="仿宋" w:hAnsi="仿宋" w:cs="仿宋" w:eastAsia="仿宋"/>
        </w:rPr>
        <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七、一般公共预算支出决算情况说明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2021年度一般公共预算财政拨款支出决算5,806.71万元。与上年相比，增加4,696.39万元，增长422.98%，变动原因：2021年监控中心处于筹建期，专用设备购置费、员工基本支出、项目支出增加。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八、一般公共预算基本支出决算情况说明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2021年度一般公共预算财政拨款基本支出决算310.28万元，其中：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hint="eastAsia" w:ascii="楷体" w:hAnsi="楷体" w:eastAsia="楷体" w:cs="楷体"/>
          <w:b w:val="0"/>
          <w:bCs w:val="0"/>
          <w:lang w:val="en-US"/>
        </w:rPr>
        <w:t/>
      </w:r>
      <w:r>
        <w:rPr>
          <w:rFonts w:ascii="楷体" w:hAnsi="楷体" w:cs="楷体" w:eastAsia="楷体"/>
        </w:rPr>
        <w:t>（一）人员经费293.13万元。</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
      </w:r>
      <w:r>
        <w:rPr>
          <w:rFonts w:hint="eastAsia" w:ascii="楷体" w:hAnsi="楷体" w:eastAsia="楷体" w:cs="楷体"/>
          <w:b w:val="0"/>
          <w:bCs w:val="0"/>
          <w:lang w:val="en-US"/>
        </w:rPr>
        <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主要包括：基本工资、津贴补贴、奖金、绩效工资、机关事业单位基本养老保险缴费、职业年金缴费、职工基本医疗保险缴费、公务员医疗补助缴费、其他社会保障缴费、住房公积金、医疗费补助、其他对个人和家庭的补助。</w:t>
      </w:r>
      <w:r>
        <w:rPr>
          <w:rFonts w:ascii="仿宋" w:hAnsi="仿宋" w:cs="仿宋" w:eastAsia="仿宋"/>
        </w:rPr>
        <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hint="eastAsia" w:ascii="楷体" w:hAnsi="楷体" w:eastAsia="楷体" w:cs="楷体"/>
          <w:b w:val="0"/>
          <w:bCs w:val="0"/>
          <w:lang w:val="en-US"/>
        </w:rPr>
        <w:t/>
      </w:r>
      <w:r>
        <w:rPr>
          <w:rFonts w:ascii="楷体" w:hAnsi="楷体" w:cs="楷体" w:eastAsia="楷体"/>
        </w:rPr>
        <w:t>（二）公用经费17.15万元。</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
      </w:r>
      <w:r>
        <w:rPr>
          <w:rFonts w:hint="eastAsia" w:ascii="楷体" w:hAnsi="楷体" w:eastAsia="楷体" w:cs="楷体"/>
          <w:b w:val="0"/>
          <w:bCs w:val="0"/>
          <w:lang w:val="en-US"/>
        </w:rPr>
        <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主要包括：办公费、印刷费、邮电费、物业管理费、差旅费、维修（护）费、会议费、培训费、劳务费、工会经费、福利费、其他交通费用、其他商品和服务支出。</w:t>
      </w:r>
      <w:r>
        <w:rPr>
          <w:rFonts w:ascii="仿宋" w:hAnsi="仿宋" w:cs="仿宋" w:eastAsia="仿宋"/>
        </w:rPr>
        <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九、一般公共预算“三公”经费、会议费、培训费支出情况说明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（一）一般公共预算“三公”经费支出总体情况说明。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2021年度一般公共预算“三公”经费支出决算0万元。与上年相比，减少1.44万元，变动原因：2021年监控中心处于筹建期，暂无“三公”经费支出。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（二）一般公共预算“三公”经费支出具体情况说明。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1．因公出国（境）费支出预算0万元，支出决算0万元，完成预算的100%，决算数与预算数相同。全年使用一般公共预算财政拨款涉及的出国（境）团组0个，累计0人次。</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2．公务用车购置及运行维护费支出预算0万元，支出决算0万元，完成预算的100%，决算数与预算数相同。其中：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（1）公务用车购置支出决算0万元。本年度使用一般公共预算财政拨款购置公务用车0辆。</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运行维护费支出决算0万元。公务用车运行维护费主要用于按规定保留的公务用车的燃料费、维修费、过桥过路费、保险费、安全奖励费用等支出。截至2021年12月31日，使用一般公共预算财政拨款开支的公务用车保有量为0辆。</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3．公务接待费支出预算0万元，支出决算0万元，完成预算的100%，决算数与预算数相同。其中：国内公务接待支出0万元，接待0批次，0人次；国（境）外公务接待支出0万元，接待0批次0人次。</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（三）一般公共预算会议费支出决算情况说明。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一般公共预算财政拨款会议费支出预算2.2万元，支出决算2.2万元，完成预算的100%，决算数与预算数相同。2021年度全年召开会议1个，参加会议32人次，开支内容：会议期间按规定支出的场地租金、伙食费、交通费等。</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（四）一般公共预算培训费支出决算情况说明。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一般公共预算财政拨款培训费支出预算1.28万元，支出决算1.28万元，完成预算的100%，决算数与预算数相同。2021年度全年组织培训1个，组织培训6人次，开支内容：培训期间发生的师资费、伙食费、培训资料费等。</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十、政府性基金预算财政拨款支出决算情况说明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2021年度政府性基金预算财政拨款支出决算0万元。与上年决算数相同。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十一、国有资本经营预算财政拨款支出决算情况说明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2021年度国有资本经营预算财政拨款支出决算0万元。与上年决算数相同。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十二、一般公共预算机关运行经费支出决算情况说明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2021年度机关运行经费支出决算0万元。与上年决算数相同。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十三、政府采购支出决算情况说明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政府采购支出总额4,578.12万元，其中：政府采购货物支出4,578.12万元、政府采购工程支出0万元、政府采购服务支出0万元。政府采购授予中小企业合同金额0万元，占政府采购支出总额的0%，其中：授予小微企业合同金额0万元，占政府采购支出总额的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十四、国有资产占用情况说明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截至2021年12月31日，本单位共有车辆3辆，其中：副部(省)级及以上领导用车0辆、主要领导干部用车0辆、机要通信用车0辆、应急保障用车0辆、执法执勤用车0辆、特种专业技术用车0辆、离退休干部用车0辆、其他用车3辆；单价50万元（含）以上的通用设备0台（套），单价100万元（含）以上的专用设备0台（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十五、预算绩效评价工作开展情况</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2021年度，本单位共0个项目开展了财政重点绩效评价，涉及财政性资金合计0万元；本单位未开展单位整体支出财政重点绩效评价，涉及财政性资金0万元。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本单位共对上年度已实施完成的0个项目开展了绩效自评价，涉及财政性资金合计0万元；本单位共开展0项单位整体支出绩效自评价，涉及财政性资金合计0万元。</w:t>
      </w:r>
      <w:r>
        <w:rPr>
          <w:rFonts w:ascii="仿宋" w:hAnsi="仿宋" w:cs="仿宋" w:eastAsia="仿宋"/>
        </w:rPr>
        <w:t/>
      </w:r>
    </w:p>
    <w:p>
      <w:pPr>
        <w:pStyle w:val="5"/>
        <w:tabs>
          <w:tab w:val="left" w:pos="3077"/>
        </w:tabs>
        <w:spacing w:line="616" w:lineRule="exact"/>
        <w:jc w:val="center"/>
        <w:outlineLvl w:val="0"/>
        <w:rPr>
          <w:rFonts w:hint="eastAsia" w:ascii="宋体" w:hAnsi="宋体" w:eastAsia="宋体" w:cs="宋体"/>
          <w:b/>
          <w:bCs/>
          <w:sz w:val="36"/>
          <w:szCs w:val="36"/>
        </w:rPr>
      </w:pPr>
      <w:r>
        <w:rPr>
          <w:rFonts w:hint="eastAsia" w:ascii="宋体" w:hAnsi="宋体" w:eastAsia="宋体" w:cs="宋体"/>
          <w:b/>
          <w:bCs/>
          <w:sz w:val="36"/>
          <w:szCs w:val="36"/>
        </w:rPr>
        <w:t>第四部分 名词</w:t>
      </w:r>
      <w:r>
        <w:rPr>
          <w:rFonts w:hint="eastAsia" w:ascii="宋体" w:hAnsi="宋体" w:eastAsia="宋体" w:cs="宋体"/>
          <w:b/>
          <w:bCs/>
          <w:color w:val="000000"/>
          <w:kern w:val="0"/>
          <w:sz w:val="36"/>
          <w:szCs w:val="36"/>
          <w:lang w:val="zh-CN" w:eastAsia="ar-SA" w:bidi="zh-CN"/>
        </w:rPr>
        <w:t>解释</w:t>
      </w:r>
    </w:p>
    <w:p>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一、财政拨款收入</w:t>
      </w:r>
      <w:r>
        <w:rPr>
          <w:rFonts w:ascii="仿宋" w:hAnsi="仿宋" w:cs="仿宋" w:eastAsia="仿宋"/>
          <w:b w:val="true"/>
        </w:rPr>
        <w:t>：</w:t>
      </w:r>
      <w:r>
        <w:rPr>
          <w:rFonts w:hint="eastAsia" w:ascii="仿宋" w:hAnsi="仿宋" w:eastAsia="仿宋" w:cs="仿宋"/>
        </w:rPr>
        <w:t>指单位从同级财政部门取得的各类财政拨款，包括一般公共预算财政拨款、政府性基金预算财政拨款、国有资本经营预算财政拨款。</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二、上级补助收入</w:t>
      </w:r>
      <w:r>
        <w:rPr>
          <w:rFonts w:ascii="仿宋" w:hAnsi="仿宋" w:cs="仿宋" w:eastAsia="仿宋"/>
          <w:b w:val="true"/>
        </w:rPr>
        <w:t>：</w:t>
      </w:r>
      <w:r>
        <w:rPr>
          <w:rFonts w:hint="eastAsia" w:ascii="仿宋" w:hAnsi="仿宋" w:eastAsia="仿宋" w:cs="仿宋"/>
        </w:rPr>
        <w:t>指事业单位从主管部门和上级单位取得的非财政补助收入。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三、财政专户管理教育收费</w:t>
      </w:r>
      <w:r>
        <w:rPr>
          <w:rFonts w:ascii="仿宋" w:hAnsi="仿宋" w:cs="仿宋" w:eastAsia="仿宋"/>
          <w:b w:val="true"/>
        </w:rPr>
        <w:t>：</w:t>
      </w:r>
      <w:r>
        <w:rPr>
          <w:rFonts w:hint="eastAsia" w:ascii="仿宋" w:hAnsi="仿宋" w:eastAsia="仿宋" w:cs="仿宋"/>
        </w:rPr>
        <w:t>指缴入财政专户、实行专项管理的高中以上学费、住宿费、高校委托培养费、函大、电大、夜大及短训班培训费等教育收费。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四、事业收入</w:t>
      </w:r>
      <w:r>
        <w:rPr>
          <w:rFonts w:ascii="仿宋" w:hAnsi="仿宋" w:cs="仿宋" w:eastAsia="仿宋"/>
          <w:b w:val="true"/>
        </w:rPr>
        <w:t>：</w:t>
      </w:r>
      <w:r>
        <w:rPr>
          <w:rFonts w:hint="eastAsia" w:ascii="仿宋" w:hAnsi="仿宋" w:eastAsia="仿宋" w:cs="仿宋"/>
        </w:rPr>
        <w:t>指事业单位开展专业业务活动及其辅助活动取得的收入。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五、经营收入</w:t>
      </w:r>
      <w:r>
        <w:rPr>
          <w:rFonts w:ascii="仿宋" w:hAnsi="仿宋" w:cs="仿宋" w:eastAsia="仿宋"/>
          <w:b w:val="true"/>
        </w:rPr>
        <w:t>：</w:t>
      </w:r>
      <w:r>
        <w:rPr>
          <w:rFonts w:hint="eastAsia" w:ascii="仿宋" w:hAnsi="仿宋" w:eastAsia="仿宋" w:cs="仿宋"/>
        </w:rPr>
        <w:t>指事业单位在专业业务活动及其辅助活动之外开展非独立核算经营活动取得的收入。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六、附属单位上缴收入</w:t>
      </w:r>
      <w:r>
        <w:rPr>
          <w:rFonts w:ascii="仿宋" w:hAnsi="仿宋" w:cs="仿宋" w:eastAsia="仿宋"/>
          <w:b w:val="true"/>
        </w:rPr>
        <w:t>：</w:t>
      </w:r>
      <w:r>
        <w:rPr>
          <w:rFonts w:hint="eastAsia" w:ascii="仿宋" w:hAnsi="仿宋" w:eastAsia="仿宋" w:cs="仿宋"/>
        </w:rPr>
        <w:t>指事业单位附属独立核算单位按照有关规定上缴的收入。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七、其他收入</w:t>
      </w:r>
      <w:r>
        <w:rPr>
          <w:rFonts w:ascii="仿宋" w:hAnsi="仿宋" w:cs="仿宋" w:eastAsia="仿宋"/>
          <w:b w:val="true"/>
        </w:rPr>
        <w:t>：</w:t>
      </w:r>
      <w:r>
        <w:rPr>
          <w:rFonts w:hint="eastAsia" w:ascii="仿宋" w:hAnsi="仿宋" w:eastAsia="仿宋" w:cs="仿宋"/>
        </w:rPr>
        <w:t>指单位取得的除上述“财政拨款收入”、 “上级补助收入”、“事业收入”、“经营收入”、“附属单位上缴收入”等以外的各项收入。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八、使用非财政拨款结余</w:t>
      </w:r>
      <w:r>
        <w:rPr>
          <w:rFonts w:ascii="仿宋" w:hAnsi="仿宋" w:cs="仿宋" w:eastAsia="仿宋"/>
          <w:b w:val="true"/>
        </w:rPr>
        <w:t>：</w:t>
      </w:r>
      <w:r>
        <w:rPr>
          <w:rFonts w:hint="eastAsia" w:ascii="仿宋" w:hAnsi="仿宋" w:eastAsia="仿宋" w:cs="仿宋"/>
        </w:rPr>
        <w:t>指事业单位按照预算管理要求使用非财政拨款结余（原事业基金）弥补当年收支差额的数额。</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九、年初结转和结余</w:t>
      </w:r>
      <w:r>
        <w:rPr>
          <w:rFonts w:ascii="仿宋" w:hAnsi="仿宋" w:cs="仿宋" w:eastAsia="仿宋"/>
          <w:b w:val="true"/>
        </w:rPr>
        <w:t>：</w:t>
      </w:r>
      <w:r>
        <w:rPr>
          <w:rFonts w:hint="eastAsia" w:ascii="仿宋" w:hAnsi="仿宋" w:eastAsia="仿宋" w:cs="仿宋"/>
        </w:rPr>
        <w:t>指单位上年结转本年使用的基本支出结转、项目支出结转和结余、经营结余。</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十、结余分配</w:t>
      </w:r>
      <w:r>
        <w:rPr>
          <w:rFonts w:ascii="仿宋" w:hAnsi="仿宋" w:cs="仿宋" w:eastAsia="仿宋"/>
          <w:b w:val="true"/>
        </w:rPr>
        <w:t>：</w:t>
      </w:r>
      <w:r>
        <w:rPr>
          <w:rFonts w:hint="eastAsia" w:ascii="仿宋" w:hAnsi="仿宋" w:eastAsia="仿宋" w:cs="仿宋"/>
        </w:rPr>
        <w:t>指事业单位按规定缴纳的所得税以及从非财政拨款结余中提取各类结余的情况。</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十一、年末结转和结余资金</w:t>
      </w:r>
      <w:r>
        <w:rPr>
          <w:rFonts w:ascii="仿宋" w:hAnsi="仿宋" w:cs="仿宋" w:eastAsia="仿宋"/>
          <w:b w:val="true"/>
        </w:rPr>
        <w:t>：</w:t>
      </w:r>
      <w:r>
        <w:rPr>
          <w:rFonts w:hint="eastAsia" w:ascii="仿宋" w:hAnsi="仿宋" w:eastAsia="仿宋" w:cs="仿宋"/>
        </w:rPr>
        <w:t>指单位结转下年的基本支出结转、项目支出结转和结余、经营结余。</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十二、基本支出</w:t>
      </w:r>
      <w:r>
        <w:rPr>
          <w:rFonts w:ascii="仿宋" w:hAnsi="仿宋" w:cs="仿宋" w:eastAsia="仿宋"/>
          <w:b w:val="true"/>
        </w:rPr>
        <w:t>：</w:t>
      </w:r>
      <w:r>
        <w:rPr>
          <w:rFonts w:hint="eastAsia" w:ascii="仿宋" w:hAnsi="仿宋" w:eastAsia="仿宋" w:cs="仿宋"/>
        </w:rPr>
        <w:t>指为保障机构正常运转、完成日常工作任务所发生的支出，包括人员经费和公用经费。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十三、项目支出</w:t>
      </w:r>
      <w:r>
        <w:rPr>
          <w:rFonts w:ascii="仿宋" w:hAnsi="仿宋" w:cs="仿宋" w:eastAsia="仿宋"/>
          <w:b w:val="true"/>
        </w:rPr>
        <w:t>：</w:t>
      </w:r>
      <w:r>
        <w:rPr>
          <w:rFonts w:hint="eastAsia" w:ascii="仿宋" w:hAnsi="仿宋" w:eastAsia="仿宋" w:cs="仿宋"/>
        </w:rPr>
        <w:t>指在为完成特定的工作任务和事业发展目标所发生的支出。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十四、上缴上级支出</w:t>
      </w:r>
      <w:r>
        <w:rPr>
          <w:rFonts w:ascii="仿宋" w:hAnsi="仿宋" w:cs="仿宋" w:eastAsia="仿宋"/>
          <w:b w:val="true"/>
        </w:rPr>
        <w:t>：</w:t>
      </w:r>
      <w:r>
        <w:rPr>
          <w:rFonts w:hint="eastAsia" w:ascii="仿宋" w:hAnsi="仿宋" w:eastAsia="仿宋" w:cs="仿宋"/>
        </w:rPr>
        <w:t>指事业单位按照财政部门和主管部门的规定上缴上级单位的支出。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十五、经营支出</w:t>
      </w:r>
      <w:r>
        <w:rPr>
          <w:rFonts w:ascii="仿宋" w:hAnsi="仿宋" w:cs="仿宋" w:eastAsia="仿宋"/>
          <w:b w:val="true"/>
        </w:rPr>
        <w:t>：</w:t>
      </w:r>
      <w:r>
        <w:rPr>
          <w:rFonts w:hint="eastAsia" w:ascii="仿宋" w:hAnsi="仿宋" w:eastAsia="仿宋" w:cs="仿宋"/>
        </w:rPr>
        <w:t>指事业单位在专业业务活动及其辅助活动之外开展非独立核算经营活动发生的支出。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十六、对附属单位补助支出</w:t>
      </w:r>
      <w:r>
        <w:rPr>
          <w:rFonts w:ascii="仿宋" w:hAnsi="仿宋" w:cs="仿宋" w:eastAsia="仿宋"/>
          <w:b w:val="true"/>
        </w:rPr>
        <w:t>：</w:t>
      </w:r>
      <w:r>
        <w:rPr>
          <w:rFonts w:hint="eastAsia" w:ascii="仿宋" w:hAnsi="仿宋" w:eastAsia="仿宋" w:cs="仿宋"/>
        </w:rPr>
        <w:t>指事业单位用财政拨款收入之外的收入对附属单位补助发生的支出。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十七、“三公”经费</w:t>
      </w:r>
      <w:r>
        <w:rPr>
          <w:rFonts w:ascii="仿宋" w:hAnsi="仿宋" w:cs="仿宋" w:eastAsia="仿宋"/>
          <w:b w:val="true"/>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以及按规定保留的公务用车燃料费、维修费、过路过桥费、保险费、安全奖励费用等支出；公务接待费反映单位按规定开支的各类公务接待（含外宾接待）费用。</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十八、机关运行经费</w:t>
      </w:r>
      <w:r>
        <w:rPr>
          <w:rFonts w:ascii="仿宋" w:hAnsi="仿宋" w:cs="仿宋" w:eastAsia="仿宋"/>
          <w:b w:val="true"/>
        </w:rPr>
        <w:t>：</w:t>
      </w:r>
      <w:r>
        <w:rPr>
          <w:rFonts w:hint="eastAsia" w:ascii="仿宋" w:hAnsi="仿宋" w:eastAsia="仿宋" w:cs="仿宋"/>
        </w:rPr>
        <w:t>指行政单位（含参照公务员法管理的事业单位）使用一般公共预算安排的基本支出中的公用经费支出，包括办公及印刷费、邮电费、差旅费、会议费、福利费、日常维修费、专用材料及一般设备购置费、办公用房水电费、办公用房取暖费、办公用房物业管理费、公务用车运行维护费及其他费用。</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十九、卫生健康支出(类)行政事业单位医疗(款)事业单位医疗(项)</w:t>
      </w:r>
      <w:r>
        <w:rPr>
          <w:rFonts w:ascii="仿宋" w:hAnsi="仿宋" w:cs="仿宋" w:eastAsia="仿宋"/>
          <w:b w:val="true"/>
        </w:rPr>
        <w:t>：</w:t>
      </w:r>
      <w:r>
        <w:rPr>
          <w:rFonts w:hint="eastAsia" w:ascii="仿宋" w:hAnsi="仿宋" w:eastAsia="仿宋" w:cs="仿宋"/>
        </w:rPr>
        <w:t>反映财政部门安排的事业单位基本医疗保险缴费经费，未参加医疗保险的事业单位的公费医疗经费，按国家规定享受离休人员待遇的医疗经费。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二十、卫生健康支出(类)行政事业单位医疗(款)公务员医疗补助(项)</w:t>
      </w:r>
      <w:r>
        <w:rPr>
          <w:rFonts w:ascii="仿宋" w:hAnsi="仿宋" w:cs="仿宋" w:eastAsia="仿宋"/>
          <w:b w:val="true"/>
        </w:rPr>
        <w:t>：</w:t>
      </w:r>
      <w:r>
        <w:rPr>
          <w:rFonts w:hint="eastAsia" w:ascii="仿宋" w:hAnsi="仿宋" w:eastAsia="仿宋" w:cs="仿宋"/>
        </w:rPr>
        <w:t>反映财政部门安排的公务员医疗补助经费。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二十一、节能环保支出(类)环境保护管理事务(款)一般行政管理事务(项)</w:t>
      </w:r>
      <w:r>
        <w:rPr>
          <w:rFonts w:ascii="仿宋" w:hAnsi="仿宋" w:cs="仿宋" w:eastAsia="仿宋"/>
          <w:b w:val="true"/>
        </w:rPr>
        <w:t>：</w:t>
      </w:r>
      <w:r>
        <w:rPr>
          <w:rFonts w:hint="eastAsia" w:ascii="仿宋" w:hAnsi="仿宋" w:eastAsia="仿宋" w:cs="仿宋"/>
        </w:rPr>
        <w:t>反映行政单位（包括实行公务员管理的事业单位）未单独设置项级科目的其他项目支出。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二十二、节能环保支出(类)环境保护管理事务(款)其他环境保护管理事务支出(项)</w:t>
      </w:r>
      <w:r>
        <w:rPr>
          <w:rFonts w:ascii="仿宋" w:hAnsi="仿宋" w:cs="仿宋" w:eastAsia="仿宋"/>
          <w:b w:val="true"/>
        </w:rPr>
        <w:t>：</w:t>
      </w:r>
      <w:r>
        <w:rPr>
          <w:rFonts w:hint="eastAsia" w:ascii="仿宋" w:hAnsi="仿宋" w:eastAsia="仿宋" w:cs="仿宋"/>
        </w:rPr>
        <w:t>反映除上述项目以外其他用于环境保护管理事务方面的支出。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二十三、节能环保支出(类)污染防治(款)水体(项)</w:t>
      </w:r>
      <w:r>
        <w:rPr>
          <w:rFonts w:ascii="仿宋" w:hAnsi="仿宋" w:cs="仿宋" w:eastAsia="仿宋"/>
          <w:b w:val="true"/>
        </w:rPr>
        <w:t>：</w:t>
      </w:r>
      <w:r>
        <w:rPr>
          <w:rFonts w:hint="eastAsia" w:ascii="仿宋" w:hAnsi="仿宋" w:eastAsia="仿宋" w:cs="仿宋"/>
        </w:rPr>
        <w:t>反映政府在排水、污水处理、水污染防治、湖库生态环境保护、水源地保护、国土江河综合整治、河流治理与保护、地下水修复与保护等方面的支出。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二十四、节能环保支出(类)自然生态保护(款)生态保护(项)</w:t>
      </w:r>
      <w:r>
        <w:rPr>
          <w:rFonts w:ascii="仿宋" w:hAnsi="仿宋" w:cs="仿宋" w:eastAsia="仿宋"/>
          <w:b w:val="true"/>
        </w:rPr>
        <w:t>：</w:t>
      </w:r>
      <w:r>
        <w:rPr>
          <w:rFonts w:hint="eastAsia" w:ascii="仿宋" w:hAnsi="仿宋" w:eastAsia="仿宋" w:cs="仿宋"/>
        </w:rPr>
        <w:t>反映用于生态功能保护区、生态示范区、生态省（市、县）管理及能力建设、日常管护、宣教、试点示范等支出，生态修复支出，资源开发生态监管等支出。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二十五、住房保障支出(类)住房改革支出(款)住房公积金(项)</w:t>
      </w:r>
      <w:r>
        <w:rPr>
          <w:rFonts w:ascii="仿宋" w:hAnsi="仿宋" w:cs="仿宋" w:eastAsia="仿宋"/>
          <w:b w:val="true"/>
        </w:rPr>
        <w:t>：</w:t>
      </w:r>
      <w:r>
        <w:rPr>
          <w:rFonts w:hint="eastAsia" w:ascii="仿宋" w:hAnsi="仿宋" w:eastAsia="仿宋" w:cs="仿宋"/>
        </w:rPr>
        <w:t>反映行政事业单位按人力资源和社会保障部、财政部规定的基本工资和津贴补贴以及规定比例为职工缴纳的住房公积金。</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二十六、住房保障支出(类)住房改革支出(款)提租补贴(项)</w:t>
      </w:r>
      <w:r>
        <w:rPr>
          <w:rFonts w:ascii="仿宋" w:hAnsi="仿宋" w:cs="仿宋" w:eastAsia="仿宋"/>
          <w:b w:val="true"/>
        </w:rPr>
        <w:t>：</w:t>
      </w:r>
      <w:r>
        <w:rPr>
          <w:rFonts w:hint="eastAsia" w:ascii="仿宋" w:hAnsi="仿宋" w:eastAsia="仿宋" w:cs="仿宋"/>
        </w:rPr>
        <w:t>反映按房改政策规定的标准，行政事业单位向职工（含离退休人员）发放的租金补贴。</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二十七、住房保障支出(类)住房改革支出(款)购房补贴(项)</w:t>
      </w:r>
      <w:r>
        <w:rPr>
          <w:rFonts w:ascii="仿宋" w:hAnsi="仿宋" w:cs="仿宋" w:eastAsia="仿宋"/>
          <w:b w:val="true"/>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440" w:right="1080" w:bottom="1440" w:left="1080"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panose1 w:val="020B0604020202020204"/>
    <w:charset w:val="86"/>
    <w:family w:val="roman"/>
    <w:pitch w:val="default"/>
    <w:sig w:usb0="E0000AFF" w:usb1="500078FF" w:usb2="00000021" w:usb3="00000000" w:csb0="600001BF" w:csb1="DFF70000"/>
  </w:font>
  <w:font w:name="Liberation Mono">
    <w:panose1 w:val="02070409020205020404"/>
    <w:charset w:val="86"/>
    <w:family w:val="roman"/>
    <w:pitch w:val="default"/>
    <w:sig w:usb0="E0000AFF" w:usb1="400078FF" w:usb2="00000001" w:usb3="00000000" w:csb0="600001BF" w:csb1="DFF70000"/>
  </w:font>
  <w:font w:name="新宋体">
    <w:panose1 w:val="02010609030101010101"/>
    <w:charset w:val="86"/>
    <w:family w:val="auto"/>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roman"/>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113" o:spid="_x0000_s411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1" o:spid="_x0000_s411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2" o:spid="_x0000_s411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2" o:spid="_x0000_s410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3" o:spid="_x0000_s410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4" o:spid="_x0000_s4104"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5" o:spid="_x0000_s4105"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6" o:spid="_x0000_s4106"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0" o:spid="_x0000_s4110"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000000" w:sz="4" w:space="1"/>
      </w:pBdr>
      <w:jc w:val="both"/>
      <w:rPr>
        <w:rFonts w:hint="default" w:eastAsia="Arial Unicode MS"/>
        <w:lang w:val="en-US" w:eastAsia="zh-CN"/>
      </w:rPr>
    </w:pPr>
    <w:r>
      <w:rPr>
        <w:rFonts w:hint="eastAsia"/>
        <w:lang w:val="en-US" w:eastAsia="zh-CN"/>
      </w:rPr>
      <w:t>常州市生态环境监控中心</w:t>
    </w:r>
    <w:r>
      <w:t>2021年度</w:t>
    </w:r>
    <w:r>
      <w:t>单位</w:t>
    </w:r>
    <w:r>
      <w:t>决算公开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MGUwNWYwNGFmYzNiMTMwMzI4MzFhMzI2ZWRjOTFjMmMifQ=="/>
  </w:docVars>
  <w:rsids>
    <w:rsidRoot w:val="00000000"/>
    <w:rsid w:val="00064984"/>
    <w:rsid w:val="00071789"/>
    <w:rsid w:val="000F12AB"/>
    <w:rsid w:val="001C31F9"/>
    <w:rsid w:val="002E63B1"/>
    <w:rsid w:val="00407CA7"/>
    <w:rsid w:val="00413AD8"/>
    <w:rsid w:val="004C0647"/>
    <w:rsid w:val="00671ED7"/>
    <w:rsid w:val="00672164"/>
    <w:rsid w:val="006732F1"/>
    <w:rsid w:val="008322BB"/>
    <w:rsid w:val="00867423"/>
    <w:rsid w:val="008B5B05"/>
    <w:rsid w:val="009965EA"/>
    <w:rsid w:val="00A6752E"/>
    <w:rsid w:val="00B92181"/>
    <w:rsid w:val="00BD7F33"/>
    <w:rsid w:val="00C15920"/>
    <w:rsid w:val="00C82582"/>
    <w:rsid w:val="00FA3233"/>
    <w:rsid w:val="010F1E77"/>
    <w:rsid w:val="01536131"/>
    <w:rsid w:val="01657C13"/>
    <w:rsid w:val="017240DE"/>
    <w:rsid w:val="01875334"/>
    <w:rsid w:val="018E7014"/>
    <w:rsid w:val="019803DB"/>
    <w:rsid w:val="01C22655"/>
    <w:rsid w:val="01C61170"/>
    <w:rsid w:val="01D4677F"/>
    <w:rsid w:val="01F17DF5"/>
    <w:rsid w:val="01FA65AD"/>
    <w:rsid w:val="01FF1E15"/>
    <w:rsid w:val="02005B8D"/>
    <w:rsid w:val="021F4E94"/>
    <w:rsid w:val="023277C7"/>
    <w:rsid w:val="02377801"/>
    <w:rsid w:val="02420B21"/>
    <w:rsid w:val="02443CCC"/>
    <w:rsid w:val="0247556A"/>
    <w:rsid w:val="02624152"/>
    <w:rsid w:val="026604FF"/>
    <w:rsid w:val="027F398B"/>
    <w:rsid w:val="0284231A"/>
    <w:rsid w:val="02987B74"/>
    <w:rsid w:val="02A822D0"/>
    <w:rsid w:val="02AF69EA"/>
    <w:rsid w:val="02B14230"/>
    <w:rsid w:val="02C378BB"/>
    <w:rsid w:val="02D43672"/>
    <w:rsid w:val="02DD471D"/>
    <w:rsid w:val="02E5431C"/>
    <w:rsid w:val="02E8449D"/>
    <w:rsid w:val="02F0175E"/>
    <w:rsid w:val="02F513AC"/>
    <w:rsid w:val="02FE6DAE"/>
    <w:rsid w:val="03005360"/>
    <w:rsid w:val="03060F81"/>
    <w:rsid w:val="03121471"/>
    <w:rsid w:val="033F3F8A"/>
    <w:rsid w:val="034C108A"/>
    <w:rsid w:val="03673847"/>
    <w:rsid w:val="03690F36"/>
    <w:rsid w:val="03793778"/>
    <w:rsid w:val="037E4FBC"/>
    <w:rsid w:val="03802AE2"/>
    <w:rsid w:val="039F7320"/>
    <w:rsid w:val="03F86EFB"/>
    <w:rsid w:val="04137DFA"/>
    <w:rsid w:val="04156348"/>
    <w:rsid w:val="04461F7D"/>
    <w:rsid w:val="044E689B"/>
    <w:rsid w:val="0458580D"/>
    <w:rsid w:val="045E5FB7"/>
    <w:rsid w:val="049256F0"/>
    <w:rsid w:val="0495610D"/>
    <w:rsid w:val="04C730A4"/>
    <w:rsid w:val="04DA4474"/>
    <w:rsid w:val="04DF580C"/>
    <w:rsid w:val="04E946A2"/>
    <w:rsid w:val="04EA46EB"/>
    <w:rsid w:val="05185546"/>
    <w:rsid w:val="052126A9"/>
    <w:rsid w:val="05247FC3"/>
    <w:rsid w:val="05346113"/>
    <w:rsid w:val="05423E9C"/>
    <w:rsid w:val="05600A24"/>
    <w:rsid w:val="056A1C9B"/>
    <w:rsid w:val="057525F6"/>
    <w:rsid w:val="05843580"/>
    <w:rsid w:val="05856AD5"/>
    <w:rsid w:val="058C526F"/>
    <w:rsid w:val="05AB4AE4"/>
    <w:rsid w:val="05AB7BBE"/>
    <w:rsid w:val="05BD2716"/>
    <w:rsid w:val="05BE6B06"/>
    <w:rsid w:val="05C432C0"/>
    <w:rsid w:val="05C73A91"/>
    <w:rsid w:val="05DB04A3"/>
    <w:rsid w:val="05DB339C"/>
    <w:rsid w:val="05E80F9E"/>
    <w:rsid w:val="05F04613"/>
    <w:rsid w:val="05FE3016"/>
    <w:rsid w:val="06006806"/>
    <w:rsid w:val="060D1C4C"/>
    <w:rsid w:val="061C50DF"/>
    <w:rsid w:val="062B491C"/>
    <w:rsid w:val="06417385"/>
    <w:rsid w:val="064A6451"/>
    <w:rsid w:val="064C13A1"/>
    <w:rsid w:val="06542957"/>
    <w:rsid w:val="0681129C"/>
    <w:rsid w:val="06824DC3"/>
    <w:rsid w:val="0695552F"/>
    <w:rsid w:val="069B5E85"/>
    <w:rsid w:val="06C87B62"/>
    <w:rsid w:val="06EB2968"/>
    <w:rsid w:val="06F23CF7"/>
    <w:rsid w:val="07293490"/>
    <w:rsid w:val="072A453E"/>
    <w:rsid w:val="073A470E"/>
    <w:rsid w:val="07520D7A"/>
    <w:rsid w:val="075575FE"/>
    <w:rsid w:val="07580A5A"/>
    <w:rsid w:val="07656047"/>
    <w:rsid w:val="077C711D"/>
    <w:rsid w:val="078F7797"/>
    <w:rsid w:val="079361A1"/>
    <w:rsid w:val="07AE39F0"/>
    <w:rsid w:val="07BE007D"/>
    <w:rsid w:val="07C509DD"/>
    <w:rsid w:val="080041F1"/>
    <w:rsid w:val="08031AA7"/>
    <w:rsid w:val="0806186F"/>
    <w:rsid w:val="080C528C"/>
    <w:rsid w:val="080F6B2A"/>
    <w:rsid w:val="08214CF0"/>
    <w:rsid w:val="083B723A"/>
    <w:rsid w:val="084A5DB4"/>
    <w:rsid w:val="08582C83"/>
    <w:rsid w:val="085D1644"/>
    <w:rsid w:val="0860441B"/>
    <w:rsid w:val="08694955"/>
    <w:rsid w:val="08913758"/>
    <w:rsid w:val="08A333FC"/>
    <w:rsid w:val="08D342E7"/>
    <w:rsid w:val="08E003AE"/>
    <w:rsid w:val="08E93645"/>
    <w:rsid w:val="08FC0605"/>
    <w:rsid w:val="09165D85"/>
    <w:rsid w:val="091D32CD"/>
    <w:rsid w:val="0947142F"/>
    <w:rsid w:val="095F763D"/>
    <w:rsid w:val="096204B4"/>
    <w:rsid w:val="096B0C35"/>
    <w:rsid w:val="09891979"/>
    <w:rsid w:val="098926B4"/>
    <w:rsid w:val="09896468"/>
    <w:rsid w:val="09931095"/>
    <w:rsid w:val="09984875"/>
    <w:rsid w:val="09B3067A"/>
    <w:rsid w:val="09E82283"/>
    <w:rsid w:val="09EB3C7D"/>
    <w:rsid w:val="09F00295"/>
    <w:rsid w:val="09F032D5"/>
    <w:rsid w:val="09F45579"/>
    <w:rsid w:val="09F6640F"/>
    <w:rsid w:val="09FE0C6E"/>
    <w:rsid w:val="0A112BB9"/>
    <w:rsid w:val="0A1D215F"/>
    <w:rsid w:val="0A2639C8"/>
    <w:rsid w:val="0A2D2344"/>
    <w:rsid w:val="0A3F45FE"/>
    <w:rsid w:val="0A434869"/>
    <w:rsid w:val="0A516F86"/>
    <w:rsid w:val="0A6273E5"/>
    <w:rsid w:val="0A636CB9"/>
    <w:rsid w:val="0A7F08D2"/>
    <w:rsid w:val="0A964BFD"/>
    <w:rsid w:val="0A9D666F"/>
    <w:rsid w:val="0ADA70C2"/>
    <w:rsid w:val="0AFD463B"/>
    <w:rsid w:val="0B05614C"/>
    <w:rsid w:val="0B134992"/>
    <w:rsid w:val="0B160131"/>
    <w:rsid w:val="0B2B4189"/>
    <w:rsid w:val="0B392278"/>
    <w:rsid w:val="0B675A67"/>
    <w:rsid w:val="0B752A0F"/>
    <w:rsid w:val="0B813D25"/>
    <w:rsid w:val="0B89728A"/>
    <w:rsid w:val="0B9E71AD"/>
    <w:rsid w:val="0BAC43D1"/>
    <w:rsid w:val="0BB91287"/>
    <w:rsid w:val="0BBA4FFF"/>
    <w:rsid w:val="0BCD6A8D"/>
    <w:rsid w:val="0BCF6DAD"/>
    <w:rsid w:val="0BD87EAC"/>
    <w:rsid w:val="0BE46B89"/>
    <w:rsid w:val="0BF41C52"/>
    <w:rsid w:val="0C047996"/>
    <w:rsid w:val="0C0E112C"/>
    <w:rsid w:val="0C1337D7"/>
    <w:rsid w:val="0C2215AA"/>
    <w:rsid w:val="0C64719F"/>
    <w:rsid w:val="0C6536DB"/>
    <w:rsid w:val="0C797590"/>
    <w:rsid w:val="0C9B273A"/>
    <w:rsid w:val="0CA00951"/>
    <w:rsid w:val="0CBD0903"/>
    <w:rsid w:val="0CC51EAD"/>
    <w:rsid w:val="0CD230A9"/>
    <w:rsid w:val="0CD65166"/>
    <w:rsid w:val="0CDB2BBC"/>
    <w:rsid w:val="0CE84C0B"/>
    <w:rsid w:val="0CEF2113"/>
    <w:rsid w:val="0CEF2581"/>
    <w:rsid w:val="0D05225F"/>
    <w:rsid w:val="0D1424ED"/>
    <w:rsid w:val="0D261419"/>
    <w:rsid w:val="0D42705A"/>
    <w:rsid w:val="0D545049"/>
    <w:rsid w:val="0D617032"/>
    <w:rsid w:val="0D673696"/>
    <w:rsid w:val="0D6C5D61"/>
    <w:rsid w:val="0D760FDB"/>
    <w:rsid w:val="0D7F345D"/>
    <w:rsid w:val="0D991370"/>
    <w:rsid w:val="0DAC0D2B"/>
    <w:rsid w:val="0DAD6BC9"/>
    <w:rsid w:val="0DBA3094"/>
    <w:rsid w:val="0DD06A00"/>
    <w:rsid w:val="0DDF0D4D"/>
    <w:rsid w:val="0DFC3CDF"/>
    <w:rsid w:val="0DFD772C"/>
    <w:rsid w:val="0DFF5826"/>
    <w:rsid w:val="0E0A51F9"/>
    <w:rsid w:val="0E1F1C4F"/>
    <w:rsid w:val="0E27451D"/>
    <w:rsid w:val="0E4806AD"/>
    <w:rsid w:val="0E5E7568"/>
    <w:rsid w:val="0E662847"/>
    <w:rsid w:val="0E854C8B"/>
    <w:rsid w:val="0E94230E"/>
    <w:rsid w:val="0E946F22"/>
    <w:rsid w:val="0EA37FCC"/>
    <w:rsid w:val="0EE7610B"/>
    <w:rsid w:val="0EF65551"/>
    <w:rsid w:val="0EFE25F0"/>
    <w:rsid w:val="0F135152"/>
    <w:rsid w:val="0F711E78"/>
    <w:rsid w:val="0F807B33"/>
    <w:rsid w:val="0F8C6CB2"/>
    <w:rsid w:val="0F8F17E6"/>
    <w:rsid w:val="0FB029A1"/>
    <w:rsid w:val="0FB02B15"/>
    <w:rsid w:val="0FB21F29"/>
    <w:rsid w:val="0FB47D1E"/>
    <w:rsid w:val="0FCE598D"/>
    <w:rsid w:val="0FD77F2D"/>
    <w:rsid w:val="0FD849C7"/>
    <w:rsid w:val="0FE03B0E"/>
    <w:rsid w:val="0FE663C2"/>
    <w:rsid w:val="0FEF37CA"/>
    <w:rsid w:val="100928FC"/>
    <w:rsid w:val="10093E5F"/>
    <w:rsid w:val="101A62D4"/>
    <w:rsid w:val="10260EB5"/>
    <w:rsid w:val="1027035F"/>
    <w:rsid w:val="102A2753"/>
    <w:rsid w:val="102A69EF"/>
    <w:rsid w:val="102C3484"/>
    <w:rsid w:val="103D6600"/>
    <w:rsid w:val="10463305"/>
    <w:rsid w:val="106204CB"/>
    <w:rsid w:val="1068327B"/>
    <w:rsid w:val="1069097D"/>
    <w:rsid w:val="10703EDE"/>
    <w:rsid w:val="108C6F6A"/>
    <w:rsid w:val="10A90FB7"/>
    <w:rsid w:val="10B95885"/>
    <w:rsid w:val="10F845FF"/>
    <w:rsid w:val="11092167"/>
    <w:rsid w:val="110C3973"/>
    <w:rsid w:val="110D47B0"/>
    <w:rsid w:val="11110225"/>
    <w:rsid w:val="111930E1"/>
    <w:rsid w:val="111E1B8C"/>
    <w:rsid w:val="11252430"/>
    <w:rsid w:val="112E0021"/>
    <w:rsid w:val="1143676B"/>
    <w:rsid w:val="11471791"/>
    <w:rsid w:val="117C1012"/>
    <w:rsid w:val="11872569"/>
    <w:rsid w:val="11AB09B5"/>
    <w:rsid w:val="11B7025F"/>
    <w:rsid w:val="11C36B1F"/>
    <w:rsid w:val="11C52DC5"/>
    <w:rsid w:val="11E46932"/>
    <w:rsid w:val="11F221C7"/>
    <w:rsid w:val="11F2605E"/>
    <w:rsid w:val="11F724E3"/>
    <w:rsid w:val="122227BF"/>
    <w:rsid w:val="12313173"/>
    <w:rsid w:val="12313682"/>
    <w:rsid w:val="12437AFC"/>
    <w:rsid w:val="127A1044"/>
    <w:rsid w:val="128157F4"/>
    <w:rsid w:val="12AA36D7"/>
    <w:rsid w:val="12B566A2"/>
    <w:rsid w:val="12C448B1"/>
    <w:rsid w:val="12D32267"/>
    <w:rsid w:val="12E60488"/>
    <w:rsid w:val="12F05187"/>
    <w:rsid w:val="13142710"/>
    <w:rsid w:val="1335650B"/>
    <w:rsid w:val="133E1FA2"/>
    <w:rsid w:val="13871C6A"/>
    <w:rsid w:val="139377AA"/>
    <w:rsid w:val="13A44407"/>
    <w:rsid w:val="13A46379"/>
    <w:rsid w:val="13BD743A"/>
    <w:rsid w:val="13E2730D"/>
    <w:rsid w:val="13F85ED3"/>
    <w:rsid w:val="140626B0"/>
    <w:rsid w:val="140C350F"/>
    <w:rsid w:val="14207DA2"/>
    <w:rsid w:val="142101C9"/>
    <w:rsid w:val="143164E8"/>
    <w:rsid w:val="14341A45"/>
    <w:rsid w:val="146856DB"/>
    <w:rsid w:val="146B3433"/>
    <w:rsid w:val="14795A57"/>
    <w:rsid w:val="14933F94"/>
    <w:rsid w:val="14A34882"/>
    <w:rsid w:val="14A95C11"/>
    <w:rsid w:val="14AA0D30"/>
    <w:rsid w:val="14BA3B44"/>
    <w:rsid w:val="14CD6BF6"/>
    <w:rsid w:val="14EE3158"/>
    <w:rsid w:val="1504334D"/>
    <w:rsid w:val="15085477"/>
    <w:rsid w:val="152578C2"/>
    <w:rsid w:val="154755A3"/>
    <w:rsid w:val="15664CCA"/>
    <w:rsid w:val="156C1118"/>
    <w:rsid w:val="159E0364"/>
    <w:rsid w:val="15A959CF"/>
    <w:rsid w:val="15B93CF7"/>
    <w:rsid w:val="15D36B14"/>
    <w:rsid w:val="16053674"/>
    <w:rsid w:val="16146EAD"/>
    <w:rsid w:val="161A451C"/>
    <w:rsid w:val="161E395E"/>
    <w:rsid w:val="1621543B"/>
    <w:rsid w:val="163E1726"/>
    <w:rsid w:val="16565924"/>
    <w:rsid w:val="167F1A6B"/>
    <w:rsid w:val="16971C37"/>
    <w:rsid w:val="16A448E1"/>
    <w:rsid w:val="16BE14E7"/>
    <w:rsid w:val="16BE34FA"/>
    <w:rsid w:val="16DA6212"/>
    <w:rsid w:val="16ED632E"/>
    <w:rsid w:val="1705386D"/>
    <w:rsid w:val="170A0BE8"/>
    <w:rsid w:val="170D692B"/>
    <w:rsid w:val="1717031D"/>
    <w:rsid w:val="17451C21"/>
    <w:rsid w:val="175D47C3"/>
    <w:rsid w:val="176B2704"/>
    <w:rsid w:val="178C5AA1"/>
    <w:rsid w:val="178D35C8"/>
    <w:rsid w:val="17BC2D29"/>
    <w:rsid w:val="17EC4792"/>
    <w:rsid w:val="18025D64"/>
    <w:rsid w:val="1808589E"/>
    <w:rsid w:val="181B6E25"/>
    <w:rsid w:val="18272F04"/>
    <w:rsid w:val="183F0D66"/>
    <w:rsid w:val="1847137D"/>
    <w:rsid w:val="18473583"/>
    <w:rsid w:val="18585984"/>
    <w:rsid w:val="188B47DF"/>
    <w:rsid w:val="18916DBC"/>
    <w:rsid w:val="18AA3C15"/>
    <w:rsid w:val="18BA5D81"/>
    <w:rsid w:val="18C07826"/>
    <w:rsid w:val="18C77023"/>
    <w:rsid w:val="18E45469"/>
    <w:rsid w:val="18EE62E8"/>
    <w:rsid w:val="18FD3C01"/>
    <w:rsid w:val="190E24E6"/>
    <w:rsid w:val="19195D82"/>
    <w:rsid w:val="193033EC"/>
    <w:rsid w:val="19322678"/>
    <w:rsid w:val="194A216C"/>
    <w:rsid w:val="19517451"/>
    <w:rsid w:val="19562DE7"/>
    <w:rsid w:val="19603977"/>
    <w:rsid w:val="196D1879"/>
    <w:rsid w:val="19810F0A"/>
    <w:rsid w:val="199D3E22"/>
    <w:rsid w:val="19A676CD"/>
    <w:rsid w:val="19B34CEE"/>
    <w:rsid w:val="19C57B31"/>
    <w:rsid w:val="19CE54E8"/>
    <w:rsid w:val="19DA0E66"/>
    <w:rsid w:val="1A0868DE"/>
    <w:rsid w:val="1A386BB6"/>
    <w:rsid w:val="1A3E0B9C"/>
    <w:rsid w:val="1A5A0D30"/>
    <w:rsid w:val="1A641248"/>
    <w:rsid w:val="1A6B178B"/>
    <w:rsid w:val="1A6E7911"/>
    <w:rsid w:val="1AA11864"/>
    <w:rsid w:val="1ABF618E"/>
    <w:rsid w:val="1AD90120"/>
    <w:rsid w:val="1AEB035A"/>
    <w:rsid w:val="1AF0114F"/>
    <w:rsid w:val="1AF61156"/>
    <w:rsid w:val="1B114FF8"/>
    <w:rsid w:val="1B136BC2"/>
    <w:rsid w:val="1B1C5890"/>
    <w:rsid w:val="1B2C6156"/>
    <w:rsid w:val="1B363B76"/>
    <w:rsid w:val="1B394ECA"/>
    <w:rsid w:val="1B4D379A"/>
    <w:rsid w:val="1B612DA1"/>
    <w:rsid w:val="1B6F2A95"/>
    <w:rsid w:val="1B7011A6"/>
    <w:rsid w:val="1B894395"/>
    <w:rsid w:val="1BC84BF9"/>
    <w:rsid w:val="1BDD4B1E"/>
    <w:rsid w:val="1BE008E5"/>
    <w:rsid w:val="1BE426E0"/>
    <w:rsid w:val="1BEF5EDC"/>
    <w:rsid w:val="1BF3045F"/>
    <w:rsid w:val="1C171374"/>
    <w:rsid w:val="1C324768"/>
    <w:rsid w:val="1C383244"/>
    <w:rsid w:val="1C4928ED"/>
    <w:rsid w:val="1C706707"/>
    <w:rsid w:val="1C881C55"/>
    <w:rsid w:val="1C8C6E3B"/>
    <w:rsid w:val="1C8F4549"/>
    <w:rsid w:val="1C9B1094"/>
    <w:rsid w:val="1C9D7829"/>
    <w:rsid w:val="1CA25487"/>
    <w:rsid w:val="1CC01D49"/>
    <w:rsid w:val="1CCB706C"/>
    <w:rsid w:val="1CD36541"/>
    <w:rsid w:val="1CD53375"/>
    <w:rsid w:val="1CD770E1"/>
    <w:rsid w:val="1CDF3C35"/>
    <w:rsid w:val="1CDF48C5"/>
    <w:rsid w:val="1CED64E7"/>
    <w:rsid w:val="1CF10155"/>
    <w:rsid w:val="1CF655C7"/>
    <w:rsid w:val="1CF70CE3"/>
    <w:rsid w:val="1D083787"/>
    <w:rsid w:val="1D0E4D1B"/>
    <w:rsid w:val="1D1B1576"/>
    <w:rsid w:val="1D201166"/>
    <w:rsid w:val="1D235D75"/>
    <w:rsid w:val="1D5A4782"/>
    <w:rsid w:val="1D623037"/>
    <w:rsid w:val="1D660B43"/>
    <w:rsid w:val="1D672CB3"/>
    <w:rsid w:val="1D7C0925"/>
    <w:rsid w:val="1D817975"/>
    <w:rsid w:val="1D951979"/>
    <w:rsid w:val="1DAF110E"/>
    <w:rsid w:val="1DB61054"/>
    <w:rsid w:val="1DC835AB"/>
    <w:rsid w:val="1DC94431"/>
    <w:rsid w:val="1DD41F50"/>
    <w:rsid w:val="1DF7725D"/>
    <w:rsid w:val="1DFC3255"/>
    <w:rsid w:val="1DFD14A7"/>
    <w:rsid w:val="1E107489"/>
    <w:rsid w:val="1E120047"/>
    <w:rsid w:val="1E2456FC"/>
    <w:rsid w:val="1E387717"/>
    <w:rsid w:val="1E426EBA"/>
    <w:rsid w:val="1E5227F5"/>
    <w:rsid w:val="1E5B1486"/>
    <w:rsid w:val="1E6037E4"/>
    <w:rsid w:val="1E6C2CB1"/>
    <w:rsid w:val="1E86604F"/>
    <w:rsid w:val="1E8B2478"/>
    <w:rsid w:val="1EA55F87"/>
    <w:rsid w:val="1EB06519"/>
    <w:rsid w:val="1EBB4C20"/>
    <w:rsid w:val="1EC57AB3"/>
    <w:rsid w:val="1ECE40F1"/>
    <w:rsid w:val="1EEE7042"/>
    <w:rsid w:val="1EEF2C2E"/>
    <w:rsid w:val="1EF87EC0"/>
    <w:rsid w:val="1EF93282"/>
    <w:rsid w:val="1EFC05DA"/>
    <w:rsid w:val="1F242409"/>
    <w:rsid w:val="1F260691"/>
    <w:rsid w:val="1F274302"/>
    <w:rsid w:val="1F2F1476"/>
    <w:rsid w:val="1F342CDC"/>
    <w:rsid w:val="1F364345"/>
    <w:rsid w:val="1F3C055E"/>
    <w:rsid w:val="1F3F5AEF"/>
    <w:rsid w:val="1F5350F7"/>
    <w:rsid w:val="1F5838AB"/>
    <w:rsid w:val="1F65551D"/>
    <w:rsid w:val="1F721347"/>
    <w:rsid w:val="1F724421"/>
    <w:rsid w:val="1F8B39C7"/>
    <w:rsid w:val="1F925C1F"/>
    <w:rsid w:val="1FA17CC2"/>
    <w:rsid w:val="1FAE057F"/>
    <w:rsid w:val="1FB77434"/>
    <w:rsid w:val="1FCB1131"/>
    <w:rsid w:val="1FD866E0"/>
    <w:rsid w:val="1FEA282E"/>
    <w:rsid w:val="1FF73CD4"/>
    <w:rsid w:val="1FF92872"/>
    <w:rsid w:val="1FFE4976"/>
    <w:rsid w:val="20054643"/>
    <w:rsid w:val="200945DD"/>
    <w:rsid w:val="200B03E4"/>
    <w:rsid w:val="200E293D"/>
    <w:rsid w:val="201802D4"/>
    <w:rsid w:val="20362A4E"/>
    <w:rsid w:val="2043516B"/>
    <w:rsid w:val="204A1446"/>
    <w:rsid w:val="20571955"/>
    <w:rsid w:val="20594713"/>
    <w:rsid w:val="20632091"/>
    <w:rsid w:val="20834EBA"/>
    <w:rsid w:val="20900DEF"/>
    <w:rsid w:val="209B6228"/>
    <w:rsid w:val="20B61DE1"/>
    <w:rsid w:val="20CA13E8"/>
    <w:rsid w:val="20CA3D8E"/>
    <w:rsid w:val="20D245C5"/>
    <w:rsid w:val="20E47858"/>
    <w:rsid w:val="20EE2134"/>
    <w:rsid w:val="20F375E8"/>
    <w:rsid w:val="20F544F1"/>
    <w:rsid w:val="211508B6"/>
    <w:rsid w:val="21182154"/>
    <w:rsid w:val="21206CAA"/>
    <w:rsid w:val="213F3B84"/>
    <w:rsid w:val="2148186B"/>
    <w:rsid w:val="21776D10"/>
    <w:rsid w:val="218F0CEB"/>
    <w:rsid w:val="21A47E8B"/>
    <w:rsid w:val="21B52099"/>
    <w:rsid w:val="21EA64FE"/>
    <w:rsid w:val="223236E9"/>
    <w:rsid w:val="223F0861"/>
    <w:rsid w:val="224A27E1"/>
    <w:rsid w:val="224D407F"/>
    <w:rsid w:val="22543660"/>
    <w:rsid w:val="225F78FB"/>
    <w:rsid w:val="227347E3"/>
    <w:rsid w:val="227D4749"/>
    <w:rsid w:val="22B66C67"/>
    <w:rsid w:val="22B96619"/>
    <w:rsid w:val="22C34214"/>
    <w:rsid w:val="22C9349D"/>
    <w:rsid w:val="22CF4CB9"/>
    <w:rsid w:val="22E5714F"/>
    <w:rsid w:val="23073234"/>
    <w:rsid w:val="23153D35"/>
    <w:rsid w:val="231859C4"/>
    <w:rsid w:val="233651B2"/>
    <w:rsid w:val="233C5C01"/>
    <w:rsid w:val="23655593"/>
    <w:rsid w:val="23873CA0"/>
    <w:rsid w:val="23A668C2"/>
    <w:rsid w:val="23B5012E"/>
    <w:rsid w:val="23C6058D"/>
    <w:rsid w:val="23CC2CE3"/>
    <w:rsid w:val="23E97DD8"/>
    <w:rsid w:val="23F81D1C"/>
    <w:rsid w:val="24004EF0"/>
    <w:rsid w:val="242552B4"/>
    <w:rsid w:val="242D23BA"/>
    <w:rsid w:val="24361C71"/>
    <w:rsid w:val="245222E6"/>
    <w:rsid w:val="2455798C"/>
    <w:rsid w:val="246851A0"/>
    <w:rsid w:val="246E4FE1"/>
    <w:rsid w:val="247771B1"/>
    <w:rsid w:val="24797436"/>
    <w:rsid w:val="24893698"/>
    <w:rsid w:val="248A0DA1"/>
    <w:rsid w:val="248B0DC9"/>
    <w:rsid w:val="24AC7248"/>
    <w:rsid w:val="24B228BF"/>
    <w:rsid w:val="24DE364C"/>
    <w:rsid w:val="24EF440E"/>
    <w:rsid w:val="25007ACF"/>
    <w:rsid w:val="25076767"/>
    <w:rsid w:val="25191A92"/>
    <w:rsid w:val="25290357"/>
    <w:rsid w:val="253C3B25"/>
    <w:rsid w:val="25513E86"/>
    <w:rsid w:val="255F5B0A"/>
    <w:rsid w:val="25664EB1"/>
    <w:rsid w:val="257302A1"/>
    <w:rsid w:val="2573629D"/>
    <w:rsid w:val="257B7E43"/>
    <w:rsid w:val="25A7022D"/>
    <w:rsid w:val="25C32FD6"/>
    <w:rsid w:val="25C603D0"/>
    <w:rsid w:val="25E1520A"/>
    <w:rsid w:val="25E2513A"/>
    <w:rsid w:val="25F45922"/>
    <w:rsid w:val="25FD2F48"/>
    <w:rsid w:val="261E645E"/>
    <w:rsid w:val="262E21CA"/>
    <w:rsid w:val="26713F63"/>
    <w:rsid w:val="26753166"/>
    <w:rsid w:val="267B561B"/>
    <w:rsid w:val="267C5A99"/>
    <w:rsid w:val="2682148D"/>
    <w:rsid w:val="268D22B5"/>
    <w:rsid w:val="269240CC"/>
    <w:rsid w:val="269A47B4"/>
    <w:rsid w:val="269E759F"/>
    <w:rsid w:val="26A526DC"/>
    <w:rsid w:val="26A5448A"/>
    <w:rsid w:val="26BF5BA2"/>
    <w:rsid w:val="26CB1A16"/>
    <w:rsid w:val="26EC7F5B"/>
    <w:rsid w:val="27016CF5"/>
    <w:rsid w:val="27175BDC"/>
    <w:rsid w:val="271B299E"/>
    <w:rsid w:val="271E071C"/>
    <w:rsid w:val="272B00CD"/>
    <w:rsid w:val="27381EB7"/>
    <w:rsid w:val="275E5E47"/>
    <w:rsid w:val="276C4FA7"/>
    <w:rsid w:val="27924AA1"/>
    <w:rsid w:val="27942BC4"/>
    <w:rsid w:val="27962E21"/>
    <w:rsid w:val="279768B3"/>
    <w:rsid w:val="279A19EA"/>
    <w:rsid w:val="27B169B4"/>
    <w:rsid w:val="27B21745"/>
    <w:rsid w:val="27B32BD6"/>
    <w:rsid w:val="27B911ED"/>
    <w:rsid w:val="27D27F60"/>
    <w:rsid w:val="27E744FA"/>
    <w:rsid w:val="27F83B89"/>
    <w:rsid w:val="27FE146D"/>
    <w:rsid w:val="28037CCB"/>
    <w:rsid w:val="28321D4D"/>
    <w:rsid w:val="283E36E3"/>
    <w:rsid w:val="283F446A"/>
    <w:rsid w:val="284675E2"/>
    <w:rsid w:val="284E0B22"/>
    <w:rsid w:val="28543497"/>
    <w:rsid w:val="28630B61"/>
    <w:rsid w:val="286C012F"/>
    <w:rsid w:val="286E4D4F"/>
    <w:rsid w:val="289B5942"/>
    <w:rsid w:val="28B77612"/>
    <w:rsid w:val="28BB465F"/>
    <w:rsid w:val="28D728F5"/>
    <w:rsid w:val="28E55011"/>
    <w:rsid w:val="28F25980"/>
    <w:rsid w:val="29012269"/>
    <w:rsid w:val="291451AB"/>
    <w:rsid w:val="29157417"/>
    <w:rsid w:val="29285E0F"/>
    <w:rsid w:val="294477FD"/>
    <w:rsid w:val="2947617E"/>
    <w:rsid w:val="29505C1F"/>
    <w:rsid w:val="296323DA"/>
    <w:rsid w:val="297158AB"/>
    <w:rsid w:val="29807966"/>
    <w:rsid w:val="299D065B"/>
    <w:rsid w:val="29B50FF4"/>
    <w:rsid w:val="29C02FCD"/>
    <w:rsid w:val="29C63807"/>
    <w:rsid w:val="29EB45D3"/>
    <w:rsid w:val="2A0312F6"/>
    <w:rsid w:val="2A07685B"/>
    <w:rsid w:val="2A0A72B2"/>
    <w:rsid w:val="2A102562"/>
    <w:rsid w:val="2A125E2D"/>
    <w:rsid w:val="2A2569D8"/>
    <w:rsid w:val="2A2F7528"/>
    <w:rsid w:val="2A3E46F3"/>
    <w:rsid w:val="2A5F36CE"/>
    <w:rsid w:val="2A613F70"/>
    <w:rsid w:val="2A7975D0"/>
    <w:rsid w:val="2A7B46D0"/>
    <w:rsid w:val="2A7E694A"/>
    <w:rsid w:val="2A88405F"/>
    <w:rsid w:val="2AB54EB7"/>
    <w:rsid w:val="2AC03F74"/>
    <w:rsid w:val="2AC86999"/>
    <w:rsid w:val="2ACD4D90"/>
    <w:rsid w:val="2ADC43C4"/>
    <w:rsid w:val="2AE07B98"/>
    <w:rsid w:val="2AE337D3"/>
    <w:rsid w:val="2B1B36C2"/>
    <w:rsid w:val="2B3C1AAA"/>
    <w:rsid w:val="2B77216D"/>
    <w:rsid w:val="2B7A42C1"/>
    <w:rsid w:val="2B82668D"/>
    <w:rsid w:val="2B8C19B3"/>
    <w:rsid w:val="2B9A7EB4"/>
    <w:rsid w:val="2BB8407D"/>
    <w:rsid w:val="2BBE24DE"/>
    <w:rsid w:val="2BBF0C02"/>
    <w:rsid w:val="2BDD28EB"/>
    <w:rsid w:val="2BE5357A"/>
    <w:rsid w:val="2BEC66B7"/>
    <w:rsid w:val="2BF43094"/>
    <w:rsid w:val="2BF909AA"/>
    <w:rsid w:val="2BFC0D12"/>
    <w:rsid w:val="2C016606"/>
    <w:rsid w:val="2C0757B7"/>
    <w:rsid w:val="2C153E60"/>
    <w:rsid w:val="2C1E422F"/>
    <w:rsid w:val="2C3818FC"/>
    <w:rsid w:val="2C5950A4"/>
    <w:rsid w:val="2C660130"/>
    <w:rsid w:val="2C73502A"/>
    <w:rsid w:val="2CB9711D"/>
    <w:rsid w:val="2CEA52EC"/>
    <w:rsid w:val="2CF3363A"/>
    <w:rsid w:val="2D000C25"/>
    <w:rsid w:val="2D0F4DB4"/>
    <w:rsid w:val="2D2D36A5"/>
    <w:rsid w:val="2D365B16"/>
    <w:rsid w:val="2D4B38B1"/>
    <w:rsid w:val="2D5646DC"/>
    <w:rsid w:val="2D584691"/>
    <w:rsid w:val="2D6D2070"/>
    <w:rsid w:val="2D9D0838"/>
    <w:rsid w:val="2D9E1C33"/>
    <w:rsid w:val="2DB652A4"/>
    <w:rsid w:val="2DB943B8"/>
    <w:rsid w:val="2DBB2419"/>
    <w:rsid w:val="2DBF7001"/>
    <w:rsid w:val="2DC26166"/>
    <w:rsid w:val="2DD13DB6"/>
    <w:rsid w:val="2DD903A8"/>
    <w:rsid w:val="2DEA2F76"/>
    <w:rsid w:val="2DF041FF"/>
    <w:rsid w:val="2DF76E1B"/>
    <w:rsid w:val="2DFD2DFD"/>
    <w:rsid w:val="2E10357E"/>
    <w:rsid w:val="2E177A17"/>
    <w:rsid w:val="2E1B30B3"/>
    <w:rsid w:val="2E310CF9"/>
    <w:rsid w:val="2E3E487D"/>
    <w:rsid w:val="2E41360C"/>
    <w:rsid w:val="2E450300"/>
    <w:rsid w:val="2E607FBE"/>
    <w:rsid w:val="2E615CAF"/>
    <w:rsid w:val="2E64456A"/>
    <w:rsid w:val="2E7264C5"/>
    <w:rsid w:val="2E7653DE"/>
    <w:rsid w:val="2E842882"/>
    <w:rsid w:val="2E8C6A3D"/>
    <w:rsid w:val="2EB508B8"/>
    <w:rsid w:val="2ED71BB4"/>
    <w:rsid w:val="2EF47A31"/>
    <w:rsid w:val="2F04472C"/>
    <w:rsid w:val="2F066396"/>
    <w:rsid w:val="2F2220C8"/>
    <w:rsid w:val="2F2655A5"/>
    <w:rsid w:val="2F30138F"/>
    <w:rsid w:val="2F5628C1"/>
    <w:rsid w:val="2F666780"/>
    <w:rsid w:val="2F6C2646"/>
    <w:rsid w:val="2F715851"/>
    <w:rsid w:val="2F81781A"/>
    <w:rsid w:val="2F8310E0"/>
    <w:rsid w:val="2FBA6AB0"/>
    <w:rsid w:val="2FDA5233"/>
    <w:rsid w:val="30186987"/>
    <w:rsid w:val="30383160"/>
    <w:rsid w:val="30396B3B"/>
    <w:rsid w:val="303D3D8D"/>
    <w:rsid w:val="30410449"/>
    <w:rsid w:val="304B34C7"/>
    <w:rsid w:val="304C3BC8"/>
    <w:rsid w:val="306F3884"/>
    <w:rsid w:val="30817D16"/>
    <w:rsid w:val="308C6F5A"/>
    <w:rsid w:val="3095731D"/>
    <w:rsid w:val="30977539"/>
    <w:rsid w:val="30AE1C64"/>
    <w:rsid w:val="30B73737"/>
    <w:rsid w:val="30C65728"/>
    <w:rsid w:val="30D06AF0"/>
    <w:rsid w:val="30DC1248"/>
    <w:rsid w:val="30E16401"/>
    <w:rsid w:val="30F229C1"/>
    <w:rsid w:val="30F93D50"/>
    <w:rsid w:val="310149B3"/>
    <w:rsid w:val="31175F84"/>
    <w:rsid w:val="313C3C3D"/>
    <w:rsid w:val="31405015"/>
    <w:rsid w:val="31537EEC"/>
    <w:rsid w:val="31591892"/>
    <w:rsid w:val="316F0F32"/>
    <w:rsid w:val="31736100"/>
    <w:rsid w:val="31750446"/>
    <w:rsid w:val="31773981"/>
    <w:rsid w:val="318F234F"/>
    <w:rsid w:val="319C6FC9"/>
    <w:rsid w:val="3205097C"/>
    <w:rsid w:val="3219245E"/>
    <w:rsid w:val="323677EC"/>
    <w:rsid w:val="323827BE"/>
    <w:rsid w:val="32495754"/>
    <w:rsid w:val="32541D1E"/>
    <w:rsid w:val="32601BAD"/>
    <w:rsid w:val="32605AA8"/>
    <w:rsid w:val="32615E04"/>
    <w:rsid w:val="326849A2"/>
    <w:rsid w:val="326B0F6E"/>
    <w:rsid w:val="327B69E7"/>
    <w:rsid w:val="328126D8"/>
    <w:rsid w:val="3284589B"/>
    <w:rsid w:val="32847649"/>
    <w:rsid w:val="32A04DB4"/>
    <w:rsid w:val="32BB4137"/>
    <w:rsid w:val="32C57C62"/>
    <w:rsid w:val="32D07FAA"/>
    <w:rsid w:val="32DE0BF1"/>
    <w:rsid w:val="32E158F1"/>
    <w:rsid w:val="33031007"/>
    <w:rsid w:val="330A1B9B"/>
    <w:rsid w:val="331C3D26"/>
    <w:rsid w:val="33341058"/>
    <w:rsid w:val="333472C1"/>
    <w:rsid w:val="33501C21"/>
    <w:rsid w:val="3361588C"/>
    <w:rsid w:val="33797999"/>
    <w:rsid w:val="338032CF"/>
    <w:rsid w:val="339F17B8"/>
    <w:rsid w:val="339F3BDD"/>
    <w:rsid w:val="33A9773C"/>
    <w:rsid w:val="33BE302F"/>
    <w:rsid w:val="33CE4708"/>
    <w:rsid w:val="33D00CCC"/>
    <w:rsid w:val="33E93AE7"/>
    <w:rsid w:val="33FB47B2"/>
    <w:rsid w:val="33FE062C"/>
    <w:rsid w:val="34000F51"/>
    <w:rsid w:val="34056B2D"/>
    <w:rsid w:val="340D123D"/>
    <w:rsid w:val="340D402A"/>
    <w:rsid w:val="34117F4A"/>
    <w:rsid w:val="34157A69"/>
    <w:rsid w:val="342F04EE"/>
    <w:rsid w:val="343278F3"/>
    <w:rsid w:val="343773FE"/>
    <w:rsid w:val="344352BB"/>
    <w:rsid w:val="34565015"/>
    <w:rsid w:val="345F13D2"/>
    <w:rsid w:val="346614E2"/>
    <w:rsid w:val="346F44E7"/>
    <w:rsid w:val="3477121B"/>
    <w:rsid w:val="34833930"/>
    <w:rsid w:val="348576A9"/>
    <w:rsid w:val="34880F47"/>
    <w:rsid w:val="34C33940"/>
    <w:rsid w:val="34CE5612"/>
    <w:rsid w:val="34CF786E"/>
    <w:rsid w:val="34D67F04"/>
    <w:rsid w:val="34DA288E"/>
    <w:rsid w:val="34E07C21"/>
    <w:rsid w:val="34E11C57"/>
    <w:rsid w:val="34E43EEA"/>
    <w:rsid w:val="34F47C15"/>
    <w:rsid w:val="34F540BD"/>
    <w:rsid w:val="34FF3C2C"/>
    <w:rsid w:val="35063B46"/>
    <w:rsid w:val="35095EB0"/>
    <w:rsid w:val="351C3CD0"/>
    <w:rsid w:val="352F1E92"/>
    <w:rsid w:val="353763F9"/>
    <w:rsid w:val="353C79F3"/>
    <w:rsid w:val="353F5F9A"/>
    <w:rsid w:val="35600779"/>
    <w:rsid w:val="35657FED"/>
    <w:rsid w:val="35976ED7"/>
    <w:rsid w:val="35977693"/>
    <w:rsid w:val="35980087"/>
    <w:rsid w:val="35B84DAB"/>
    <w:rsid w:val="35C52894"/>
    <w:rsid w:val="35D07049"/>
    <w:rsid w:val="35F036ED"/>
    <w:rsid w:val="35FB5BA7"/>
    <w:rsid w:val="36021E5F"/>
    <w:rsid w:val="36327AC4"/>
    <w:rsid w:val="3634601F"/>
    <w:rsid w:val="36496AF6"/>
    <w:rsid w:val="36547421"/>
    <w:rsid w:val="365E6403"/>
    <w:rsid w:val="367251E5"/>
    <w:rsid w:val="36826596"/>
    <w:rsid w:val="36903B9D"/>
    <w:rsid w:val="369736C3"/>
    <w:rsid w:val="36C301B0"/>
    <w:rsid w:val="36C40C39"/>
    <w:rsid w:val="36C95739"/>
    <w:rsid w:val="36D6243D"/>
    <w:rsid w:val="36DE6128"/>
    <w:rsid w:val="36DE6652"/>
    <w:rsid w:val="36F01751"/>
    <w:rsid w:val="36FD0B04"/>
    <w:rsid w:val="370275A1"/>
    <w:rsid w:val="3709636F"/>
    <w:rsid w:val="370C2D55"/>
    <w:rsid w:val="370E7E29"/>
    <w:rsid w:val="37215DAE"/>
    <w:rsid w:val="372633C5"/>
    <w:rsid w:val="372F7F54"/>
    <w:rsid w:val="37425D25"/>
    <w:rsid w:val="374754B1"/>
    <w:rsid w:val="374E45F3"/>
    <w:rsid w:val="37624933"/>
    <w:rsid w:val="37710FF7"/>
    <w:rsid w:val="377870D5"/>
    <w:rsid w:val="378C7B63"/>
    <w:rsid w:val="37C01AB5"/>
    <w:rsid w:val="37C357B7"/>
    <w:rsid w:val="37C8480D"/>
    <w:rsid w:val="38107733"/>
    <w:rsid w:val="38156F95"/>
    <w:rsid w:val="38246750"/>
    <w:rsid w:val="382A0C93"/>
    <w:rsid w:val="382E7411"/>
    <w:rsid w:val="38552071"/>
    <w:rsid w:val="385F25BB"/>
    <w:rsid w:val="386609E8"/>
    <w:rsid w:val="387B2A25"/>
    <w:rsid w:val="38A0575D"/>
    <w:rsid w:val="38A14437"/>
    <w:rsid w:val="38AC16A8"/>
    <w:rsid w:val="38B577A9"/>
    <w:rsid w:val="38B74C05"/>
    <w:rsid w:val="38CC421D"/>
    <w:rsid w:val="38D16635"/>
    <w:rsid w:val="38D373E7"/>
    <w:rsid w:val="38FA57F0"/>
    <w:rsid w:val="3936186D"/>
    <w:rsid w:val="395104A1"/>
    <w:rsid w:val="39514E0B"/>
    <w:rsid w:val="39566F53"/>
    <w:rsid w:val="395941C6"/>
    <w:rsid w:val="39693A3D"/>
    <w:rsid w:val="397905D6"/>
    <w:rsid w:val="39864DE3"/>
    <w:rsid w:val="39976270"/>
    <w:rsid w:val="399C32F4"/>
    <w:rsid w:val="399D5638"/>
    <w:rsid w:val="39B41C18"/>
    <w:rsid w:val="39B653E7"/>
    <w:rsid w:val="39C538F9"/>
    <w:rsid w:val="39CF5727"/>
    <w:rsid w:val="39D210D0"/>
    <w:rsid w:val="39D31839"/>
    <w:rsid w:val="39D7425E"/>
    <w:rsid w:val="39F2758E"/>
    <w:rsid w:val="39F82FB1"/>
    <w:rsid w:val="3A086DB2"/>
    <w:rsid w:val="3A1C273B"/>
    <w:rsid w:val="3A255D6F"/>
    <w:rsid w:val="3A291776"/>
    <w:rsid w:val="3A2B2AA0"/>
    <w:rsid w:val="3A30455A"/>
    <w:rsid w:val="3A43382A"/>
    <w:rsid w:val="3A51108A"/>
    <w:rsid w:val="3A5C534F"/>
    <w:rsid w:val="3A604CCB"/>
    <w:rsid w:val="3A667F7C"/>
    <w:rsid w:val="3A6711EA"/>
    <w:rsid w:val="3A6B021B"/>
    <w:rsid w:val="3A6C27C7"/>
    <w:rsid w:val="3A7D77A0"/>
    <w:rsid w:val="3A7E7CFE"/>
    <w:rsid w:val="3A95616C"/>
    <w:rsid w:val="3AB03D58"/>
    <w:rsid w:val="3AC0143A"/>
    <w:rsid w:val="3AE72E6B"/>
    <w:rsid w:val="3AF31112"/>
    <w:rsid w:val="3AF71C4F"/>
    <w:rsid w:val="3B0C28E2"/>
    <w:rsid w:val="3B325752"/>
    <w:rsid w:val="3B4113F9"/>
    <w:rsid w:val="3B4503AF"/>
    <w:rsid w:val="3B4B164C"/>
    <w:rsid w:val="3B4C0F20"/>
    <w:rsid w:val="3B4F0A10"/>
    <w:rsid w:val="3B5E513D"/>
    <w:rsid w:val="3B6E2308"/>
    <w:rsid w:val="3B700B9E"/>
    <w:rsid w:val="3B7A70C3"/>
    <w:rsid w:val="3B8C568A"/>
    <w:rsid w:val="3B8C6B52"/>
    <w:rsid w:val="3B9265F7"/>
    <w:rsid w:val="3BB36501"/>
    <w:rsid w:val="3BC10F8A"/>
    <w:rsid w:val="3BCA0430"/>
    <w:rsid w:val="3BD66A3C"/>
    <w:rsid w:val="3BDC3F68"/>
    <w:rsid w:val="3BDD601C"/>
    <w:rsid w:val="3BE21884"/>
    <w:rsid w:val="3C0D7BA2"/>
    <w:rsid w:val="3C1464E6"/>
    <w:rsid w:val="3C1F3B0A"/>
    <w:rsid w:val="3C2F5079"/>
    <w:rsid w:val="3C3814A4"/>
    <w:rsid w:val="3C3D7460"/>
    <w:rsid w:val="3C616C4D"/>
    <w:rsid w:val="3C6248AD"/>
    <w:rsid w:val="3C820BF8"/>
    <w:rsid w:val="3C9A772E"/>
    <w:rsid w:val="3CB974FB"/>
    <w:rsid w:val="3CD16A6C"/>
    <w:rsid w:val="3CFF2A56"/>
    <w:rsid w:val="3D083C3D"/>
    <w:rsid w:val="3D0F0BF5"/>
    <w:rsid w:val="3D254DA7"/>
    <w:rsid w:val="3D31435C"/>
    <w:rsid w:val="3D367754"/>
    <w:rsid w:val="3D4D01FD"/>
    <w:rsid w:val="3D8116F1"/>
    <w:rsid w:val="3D842DB5"/>
    <w:rsid w:val="3D927E3F"/>
    <w:rsid w:val="3DB41B96"/>
    <w:rsid w:val="3DD76D85"/>
    <w:rsid w:val="3DD83ABF"/>
    <w:rsid w:val="3DD86A9B"/>
    <w:rsid w:val="3DDA437C"/>
    <w:rsid w:val="3DEE4511"/>
    <w:rsid w:val="3DF461A3"/>
    <w:rsid w:val="3E03072B"/>
    <w:rsid w:val="3E0B6234"/>
    <w:rsid w:val="3E0C4997"/>
    <w:rsid w:val="3E1516BF"/>
    <w:rsid w:val="3E201151"/>
    <w:rsid w:val="3E54572C"/>
    <w:rsid w:val="3E600BB4"/>
    <w:rsid w:val="3E704F26"/>
    <w:rsid w:val="3E726EF0"/>
    <w:rsid w:val="3E8A2129"/>
    <w:rsid w:val="3E8C3990"/>
    <w:rsid w:val="3EA90437"/>
    <w:rsid w:val="3EC534C3"/>
    <w:rsid w:val="3EDA4D3F"/>
    <w:rsid w:val="3F0B745A"/>
    <w:rsid w:val="3F1708AB"/>
    <w:rsid w:val="3F8A0269"/>
    <w:rsid w:val="3F8A3D39"/>
    <w:rsid w:val="3F8D0174"/>
    <w:rsid w:val="3F95226A"/>
    <w:rsid w:val="3F987717"/>
    <w:rsid w:val="3FD23300"/>
    <w:rsid w:val="3FF47042"/>
    <w:rsid w:val="3FF54785"/>
    <w:rsid w:val="3FFC0AB7"/>
    <w:rsid w:val="3FFF0B26"/>
    <w:rsid w:val="4001677D"/>
    <w:rsid w:val="400445D6"/>
    <w:rsid w:val="4015659C"/>
    <w:rsid w:val="401D268F"/>
    <w:rsid w:val="40271F5C"/>
    <w:rsid w:val="403D5DB4"/>
    <w:rsid w:val="40444047"/>
    <w:rsid w:val="40452250"/>
    <w:rsid w:val="40501155"/>
    <w:rsid w:val="405229A9"/>
    <w:rsid w:val="40534AFF"/>
    <w:rsid w:val="406D3E12"/>
    <w:rsid w:val="408175F7"/>
    <w:rsid w:val="40955117"/>
    <w:rsid w:val="409E45E2"/>
    <w:rsid w:val="40A52125"/>
    <w:rsid w:val="40AE436A"/>
    <w:rsid w:val="40B61FF8"/>
    <w:rsid w:val="40C7171A"/>
    <w:rsid w:val="40D724A1"/>
    <w:rsid w:val="40E72D37"/>
    <w:rsid w:val="40E8793D"/>
    <w:rsid w:val="40EF4827"/>
    <w:rsid w:val="4114603C"/>
    <w:rsid w:val="413E57AF"/>
    <w:rsid w:val="415A1391"/>
    <w:rsid w:val="415E5B0A"/>
    <w:rsid w:val="41801923"/>
    <w:rsid w:val="41965A41"/>
    <w:rsid w:val="41970D49"/>
    <w:rsid w:val="41A25D3E"/>
    <w:rsid w:val="41B92A4F"/>
    <w:rsid w:val="41C964B4"/>
    <w:rsid w:val="41D13F2D"/>
    <w:rsid w:val="41D517BE"/>
    <w:rsid w:val="41D5429B"/>
    <w:rsid w:val="41F92ABD"/>
    <w:rsid w:val="41FC1B6A"/>
    <w:rsid w:val="42332E3A"/>
    <w:rsid w:val="423C4D26"/>
    <w:rsid w:val="42416CF7"/>
    <w:rsid w:val="424D1C7F"/>
    <w:rsid w:val="425846A6"/>
    <w:rsid w:val="426137A1"/>
    <w:rsid w:val="42624E34"/>
    <w:rsid w:val="427F218F"/>
    <w:rsid w:val="42840AD6"/>
    <w:rsid w:val="42870A90"/>
    <w:rsid w:val="428B63CF"/>
    <w:rsid w:val="42AF67D0"/>
    <w:rsid w:val="42BC0E70"/>
    <w:rsid w:val="42C245CE"/>
    <w:rsid w:val="42C35F6C"/>
    <w:rsid w:val="42CE53D3"/>
    <w:rsid w:val="42CF6F4F"/>
    <w:rsid w:val="42DD0E52"/>
    <w:rsid w:val="42F25C9A"/>
    <w:rsid w:val="43055AE1"/>
    <w:rsid w:val="430976F7"/>
    <w:rsid w:val="431A0C24"/>
    <w:rsid w:val="43284021"/>
    <w:rsid w:val="432D1637"/>
    <w:rsid w:val="434E1C20"/>
    <w:rsid w:val="43620283"/>
    <w:rsid w:val="4363286E"/>
    <w:rsid w:val="437101AA"/>
    <w:rsid w:val="43741014"/>
    <w:rsid w:val="43A73BE3"/>
    <w:rsid w:val="43AE7A7E"/>
    <w:rsid w:val="43B01826"/>
    <w:rsid w:val="43C7383A"/>
    <w:rsid w:val="43CA157C"/>
    <w:rsid w:val="43CF502D"/>
    <w:rsid w:val="43E8521C"/>
    <w:rsid w:val="43FD36FF"/>
    <w:rsid w:val="440B02B4"/>
    <w:rsid w:val="441C5080"/>
    <w:rsid w:val="44233849"/>
    <w:rsid w:val="44496945"/>
    <w:rsid w:val="446B500C"/>
    <w:rsid w:val="448508DF"/>
    <w:rsid w:val="44BF18A2"/>
    <w:rsid w:val="44CF71AB"/>
    <w:rsid w:val="44E23735"/>
    <w:rsid w:val="44E67CEF"/>
    <w:rsid w:val="44EA77F7"/>
    <w:rsid w:val="4517434D"/>
    <w:rsid w:val="45357785"/>
    <w:rsid w:val="45387766"/>
    <w:rsid w:val="453A760F"/>
    <w:rsid w:val="45491A3E"/>
    <w:rsid w:val="45503B28"/>
    <w:rsid w:val="45853082"/>
    <w:rsid w:val="45857508"/>
    <w:rsid w:val="45891F3C"/>
    <w:rsid w:val="4590274A"/>
    <w:rsid w:val="45905EAD"/>
    <w:rsid w:val="45A32084"/>
    <w:rsid w:val="45A8769B"/>
    <w:rsid w:val="45C344D5"/>
    <w:rsid w:val="45C864B7"/>
    <w:rsid w:val="45ED50AE"/>
    <w:rsid w:val="45FD0891"/>
    <w:rsid w:val="46185D52"/>
    <w:rsid w:val="46192347"/>
    <w:rsid w:val="46252A99"/>
    <w:rsid w:val="462C285E"/>
    <w:rsid w:val="4639249F"/>
    <w:rsid w:val="463A0304"/>
    <w:rsid w:val="464A4975"/>
    <w:rsid w:val="465670F7"/>
    <w:rsid w:val="4665558C"/>
    <w:rsid w:val="467C2D95"/>
    <w:rsid w:val="468477C0"/>
    <w:rsid w:val="4689127A"/>
    <w:rsid w:val="4695468D"/>
    <w:rsid w:val="469A6A31"/>
    <w:rsid w:val="46C73B51"/>
    <w:rsid w:val="46CA3A9F"/>
    <w:rsid w:val="46D83FB0"/>
    <w:rsid w:val="46F25071"/>
    <w:rsid w:val="471553B4"/>
    <w:rsid w:val="471E6457"/>
    <w:rsid w:val="471F398D"/>
    <w:rsid w:val="47232D85"/>
    <w:rsid w:val="475F6267"/>
    <w:rsid w:val="4760207C"/>
    <w:rsid w:val="4766336A"/>
    <w:rsid w:val="47743C9D"/>
    <w:rsid w:val="478657BA"/>
    <w:rsid w:val="478B55A3"/>
    <w:rsid w:val="47906F17"/>
    <w:rsid w:val="479A7A31"/>
    <w:rsid w:val="479B1699"/>
    <w:rsid w:val="47A10846"/>
    <w:rsid w:val="47AF51BF"/>
    <w:rsid w:val="47B81E12"/>
    <w:rsid w:val="47C12FC5"/>
    <w:rsid w:val="47D03B18"/>
    <w:rsid w:val="47DB1D58"/>
    <w:rsid w:val="47ED29D3"/>
    <w:rsid w:val="47EF74A3"/>
    <w:rsid w:val="47F50C9B"/>
    <w:rsid w:val="480C5CBF"/>
    <w:rsid w:val="480F1D14"/>
    <w:rsid w:val="4834394A"/>
    <w:rsid w:val="48390A7E"/>
    <w:rsid w:val="48515DC8"/>
    <w:rsid w:val="48531B40"/>
    <w:rsid w:val="485A65F3"/>
    <w:rsid w:val="48987720"/>
    <w:rsid w:val="489B34E7"/>
    <w:rsid w:val="489D4A92"/>
    <w:rsid w:val="48AA0D47"/>
    <w:rsid w:val="48AB437A"/>
    <w:rsid w:val="48B63E7D"/>
    <w:rsid w:val="48BB5E99"/>
    <w:rsid w:val="48C7608A"/>
    <w:rsid w:val="48E704DA"/>
    <w:rsid w:val="48E709AB"/>
    <w:rsid w:val="48FD1AAC"/>
    <w:rsid w:val="49074129"/>
    <w:rsid w:val="491C4628"/>
    <w:rsid w:val="491E413A"/>
    <w:rsid w:val="492B5D1A"/>
    <w:rsid w:val="49356195"/>
    <w:rsid w:val="493E72F4"/>
    <w:rsid w:val="49477CA3"/>
    <w:rsid w:val="495105E0"/>
    <w:rsid w:val="495530D2"/>
    <w:rsid w:val="495D4FB7"/>
    <w:rsid w:val="495F0F47"/>
    <w:rsid w:val="497F0713"/>
    <w:rsid w:val="49850611"/>
    <w:rsid w:val="49902920"/>
    <w:rsid w:val="499C3073"/>
    <w:rsid w:val="49B4660E"/>
    <w:rsid w:val="49E47F0A"/>
    <w:rsid w:val="4A221E06"/>
    <w:rsid w:val="4A2C05A1"/>
    <w:rsid w:val="4A487A49"/>
    <w:rsid w:val="4A563B69"/>
    <w:rsid w:val="4A661827"/>
    <w:rsid w:val="4A77137D"/>
    <w:rsid w:val="4A995804"/>
    <w:rsid w:val="4A9D3546"/>
    <w:rsid w:val="4AAA5C63"/>
    <w:rsid w:val="4AAC19DB"/>
    <w:rsid w:val="4ABE4002"/>
    <w:rsid w:val="4AD3789D"/>
    <w:rsid w:val="4AE61558"/>
    <w:rsid w:val="4AE629A4"/>
    <w:rsid w:val="4AF93679"/>
    <w:rsid w:val="4B1E0386"/>
    <w:rsid w:val="4B2B6DA4"/>
    <w:rsid w:val="4B327DA5"/>
    <w:rsid w:val="4B483ECE"/>
    <w:rsid w:val="4B4D5DE5"/>
    <w:rsid w:val="4B53713F"/>
    <w:rsid w:val="4B5918B4"/>
    <w:rsid w:val="4B5E178B"/>
    <w:rsid w:val="4B7A3887"/>
    <w:rsid w:val="4B7D53C9"/>
    <w:rsid w:val="4B85293F"/>
    <w:rsid w:val="4B902502"/>
    <w:rsid w:val="4B9B344B"/>
    <w:rsid w:val="4BA44460"/>
    <w:rsid w:val="4BDB55FA"/>
    <w:rsid w:val="4BF70A34"/>
    <w:rsid w:val="4C017B05"/>
    <w:rsid w:val="4C0849EF"/>
    <w:rsid w:val="4C125927"/>
    <w:rsid w:val="4C3A3FC8"/>
    <w:rsid w:val="4C3D55C6"/>
    <w:rsid w:val="4C520360"/>
    <w:rsid w:val="4C583BC9"/>
    <w:rsid w:val="4C667A5B"/>
    <w:rsid w:val="4C823BCA"/>
    <w:rsid w:val="4C8C73CE"/>
    <w:rsid w:val="4C9F1330"/>
    <w:rsid w:val="4CA23096"/>
    <w:rsid w:val="4CAB3457"/>
    <w:rsid w:val="4CAF57B3"/>
    <w:rsid w:val="4CD82614"/>
    <w:rsid w:val="4CEA67EB"/>
    <w:rsid w:val="4CF124C7"/>
    <w:rsid w:val="4CF70170"/>
    <w:rsid w:val="4CF907DC"/>
    <w:rsid w:val="4CFA619E"/>
    <w:rsid w:val="4CFD777A"/>
    <w:rsid w:val="4D043409"/>
    <w:rsid w:val="4D201110"/>
    <w:rsid w:val="4D3431C7"/>
    <w:rsid w:val="4D526F59"/>
    <w:rsid w:val="4D650150"/>
    <w:rsid w:val="4D7F0CE1"/>
    <w:rsid w:val="4D981DA3"/>
    <w:rsid w:val="4D9A5B1B"/>
    <w:rsid w:val="4D9C7AE5"/>
    <w:rsid w:val="4DA229B3"/>
    <w:rsid w:val="4DB35F12"/>
    <w:rsid w:val="4DE03AC2"/>
    <w:rsid w:val="4DEF02BD"/>
    <w:rsid w:val="4DFB0EC4"/>
    <w:rsid w:val="4E0336C0"/>
    <w:rsid w:val="4E0D72D8"/>
    <w:rsid w:val="4E125FF9"/>
    <w:rsid w:val="4E214868"/>
    <w:rsid w:val="4E274307"/>
    <w:rsid w:val="4E383ED6"/>
    <w:rsid w:val="4E3B5C73"/>
    <w:rsid w:val="4E560D60"/>
    <w:rsid w:val="4E564593"/>
    <w:rsid w:val="4E703F51"/>
    <w:rsid w:val="4E802F63"/>
    <w:rsid w:val="4E8A5B90"/>
    <w:rsid w:val="4E942C0A"/>
    <w:rsid w:val="4E98220D"/>
    <w:rsid w:val="4EB7399D"/>
    <w:rsid w:val="4EB96475"/>
    <w:rsid w:val="4EC372F3"/>
    <w:rsid w:val="4ECD2716"/>
    <w:rsid w:val="4ED35788"/>
    <w:rsid w:val="4EE73AF5"/>
    <w:rsid w:val="4EE84EA5"/>
    <w:rsid w:val="4EEE4AF5"/>
    <w:rsid w:val="4F0B544D"/>
    <w:rsid w:val="4F0C0C9A"/>
    <w:rsid w:val="4F165675"/>
    <w:rsid w:val="4F301FB1"/>
    <w:rsid w:val="4F473A81"/>
    <w:rsid w:val="4F4F7329"/>
    <w:rsid w:val="4F5260B5"/>
    <w:rsid w:val="4F5543EF"/>
    <w:rsid w:val="4F56624C"/>
    <w:rsid w:val="4F58224C"/>
    <w:rsid w:val="4F5A7FFE"/>
    <w:rsid w:val="4F5B752C"/>
    <w:rsid w:val="4F5F701C"/>
    <w:rsid w:val="4F8B2726"/>
    <w:rsid w:val="4F8B4457"/>
    <w:rsid w:val="4FA41146"/>
    <w:rsid w:val="4FA90297"/>
    <w:rsid w:val="4FD80B7D"/>
    <w:rsid w:val="4FDA01F8"/>
    <w:rsid w:val="4FE561E5"/>
    <w:rsid w:val="4FF221C3"/>
    <w:rsid w:val="4FF5172F"/>
    <w:rsid w:val="4FFA0634"/>
    <w:rsid w:val="500032A2"/>
    <w:rsid w:val="504E08AD"/>
    <w:rsid w:val="50575F45"/>
    <w:rsid w:val="505C4D01"/>
    <w:rsid w:val="506F4A92"/>
    <w:rsid w:val="507419FE"/>
    <w:rsid w:val="507C1E50"/>
    <w:rsid w:val="508B1CA1"/>
    <w:rsid w:val="50901457"/>
    <w:rsid w:val="509E5922"/>
    <w:rsid w:val="50A54F03"/>
    <w:rsid w:val="50AA168D"/>
    <w:rsid w:val="50AF4B30"/>
    <w:rsid w:val="50BC5CDC"/>
    <w:rsid w:val="50CA2BBB"/>
    <w:rsid w:val="50E74C38"/>
    <w:rsid w:val="50FC089B"/>
    <w:rsid w:val="50FD0D89"/>
    <w:rsid w:val="51024103"/>
    <w:rsid w:val="51025571"/>
    <w:rsid w:val="51071719"/>
    <w:rsid w:val="510819A0"/>
    <w:rsid w:val="51200E5F"/>
    <w:rsid w:val="5123009E"/>
    <w:rsid w:val="512C2CA7"/>
    <w:rsid w:val="512D289E"/>
    <w:rsid w:val="514152FB"/>
    <w:rsid w:val="51434ED1"/>
    <w:rsid w:val="514D0397"/>
    <w:rsid w:val="51595CED"/>
    <w:rsid w:val="516445A0"/>
    <w:rsid w:val="518956A9"/>
    <w:rsid w:val="521D4F6D"/>
    <w:rsid w:val="523A416D"/>
    <w:rsid w:val="52490C2A"/>
    <w:rsid w:val="5253273C"/>
    <w:rsid w:val="525505B5"/>
    <w:rsid w:val="5261544F"/>
    <w:rsid w:val="529414C0"/>
    <w:rsid w:val="52A01E26"/>
    <w:rsid w:val="52A52223"/>
    <w:rsid w:val="52B97CAE"/>
    <w:rsid w:val="52C504FB"/>
    <w:rsid w:val="52DC6BD6"/>
    <w:rsid w:val="52E13756"/>
    <w:rsid w:val="52E65840"/>
    <w:rsid w:val="52EF5C2D"/>
    <w:rsid w:val="52EF6909"/>
    <w:rsid w:val="52F47582"/>
    <w:rsid w:val="5311687F"/>
    <w:rsid w:val="531E71EE"/>
    <w:rsid w:val="5322283B"/>
    <w:rsid w:val="53230361"/>
    <w:rsid w:val="536270DB"/>
    <w:rsid w:val="5371534A"/>
    <w:rsid w:val="53720C63"/>
    <w:rsid w:val="53764934"/>
    <w:rsid w:val="537700D3"/>
    <w:rsid w:val="537A4622"/>
    <w:rsid w:val="53811681"/>
    <w:rsid w:val="538A520F"/>
    <w:rsid w:val="53933E3F"/>
    <w:rsid w:val="53AC4A7F"/>
    <w:rsid w:val="53B418CC"/>
    <w:rsid w:val="53F32910"/>
    <w:rsid w:val="53F4098D"/>
    <w:rsid w:val="53FC3AD9"/>
    <w:rsid w:val="53FE04C8"/>
    <w:rsid w:val="54206BE2"/>
    <w:rsid w:val="54297BB6"/>
    <w:rsid w:val="542B571F"/>
    <w:rsid w:val="54336DD4"/>
    <w:rsid w:val="543660C2"/>
    <w:rsid w:val="54375971"/>
    <w:rsid w:val="54453F00"/>
    <w:rsid w:val="544D196D"/>
    <w:rsid w:val="54723C7D"/>
    <w:rsid w:val="5478326E"/>
    <w:rsid w:val="547F6951"/>
    <w:rsid w:val="54854CE2"/>
    <w:rsid w:val="548965FC"/>
    <w:rsid w:val="548E5CAE"/>
    <w:rsid w:val="54905064"/>
    <w:rsid w:val="54931516"/>
    <w:rsid w:val="549F015A"/>
    <w:rsid w:val="54AF503F"/>
    <w:rsid w:val="54B25E40"/>
    <w:rsid w:val="54D730B0"/>
    <w:rsid w:val="54E812EA"/>
    <w:rsid w:val="54F76B5C"/>
    <w:rsid w:val="55020A87"/>
    <w:rsid w:val="550341FE"/>
    <w:rsid w:val="55042014"/>
    <w:rsid w:val="55210479"/>
    <w:rsid w:val="552A209A"/>
    <w:rsid w:val="55393BB8"/>
    <w:rsid w:val="55517407"/>
    <w:rsid w:val="55614C5E"/>
    <w:rsid w:val="556C5FEF"/>
    <w:rsid w:val="5572737D"/>
    <w:rsid w:val="55823A64"/>
    <w:rsid w:val="558C2621"/>
    <w:rsid w:val="55AD3652"/>
    <w:rsid w:val="55B9606B"/>
    <w:rsid w:val="55DE0E54"/>
    <w:rsid w:val="55EE4C56"/>
    <w:rsid w:val="55FF52A6"/>
    <w:rsid w:val="5633198E"/>
    <w:rsid w:val="563E5469"/>
    <w:rsid w:val="565A053D"/>
    <w:rsid w:val="566919C6"/>
    <w:rsid w:val="566C5546"/>
    <w:rsid w:val="56745BC9"/>
    <w:rsid w:val="568832FC"/>
    <w:rsid w:val="56907775"/>
    <w:rsid w:val="56C1236A"/>
    <w:rsid w:val="56CD56FA"/>
    <w:rsid w:val="56CF2CF8"/>
    <w:rsid w:val="56E34EAC"/>
    <w:rsid w:val="57016C0B"/>
    <w:rsid w:val="570203D1"/>
    <w:rsid w:val="571159E3"/>
    <w:rsid w:val="571D3ABE"/>
    <w:rsid w:val="571F6B78"/>
    <w:rsid w:val="57340D8E"/>
    <w:rsid w:val="57452F9B"/>
    <w:rsid w:val="57645BA3"/>
    <w:rsid w:val="576A1B6C"/>
    <w:rsid w:val="57805D82"/>
    <w:rsid w:val="579001D7"/>
    <w:rsid w:val="57936854"/>
    <w:rsid w:val="579848F6"/>
    <w:rsid w:val="57A22474"/>
    <w:rsid w:val="57AF0A2B"/>
    <w:rsid w:val="57C43A36"/>
    <w:rsid w:val="57F62116"/>
    <w:rsid w:val="580746F5"/>
    <w:rsid w:val="58101705"/>
    <w:rsid w:val="58335AD6"/>
    <w:rsid w:val="58346B6C"/>
    <w:rsid w:val="584265A5"/>
    <w:rsid w:val="58564D34"/>
    <w:rsid w:val="58707FAE"/>
    <w:rsid w:val="58733B38"/>
    <w:rsid w:val="58801DB1"/>
    <w:rsid w:val="58895B35"/>
    <w:rsid w:val="58906498"/>
    <w:rsid w:val="58C83D7C"/>
    <w:rsid w:val="58E7744A"/>
    <w:rsid w:val="59012EF2"/>
    <w:rsid w:val="5909370D"/>
    <w:rsid w:val="590D48EB"/>
    <w:rsid w:val="59495353"/>
    <w:rsid w:val="594B0611"/>
    <w:rsid w:val="594D4389"/>
    <w:rsid w:val="595D2922"/>
    <w:rsid w:val="59634E7E"/>
    <w:rsid w:val="597265E6"/>
    <w:rsid w:val="59943D66"/>
    <w:rsid w:val="5996188C"/>
    <w:rsid w:val="59A85569"/>
    <w:rsid w:val="59A90DF6"/>
    <w:rsid w:val="59B8686F"/>
    <w:rsid w:val="59B86AAB"/>
    <w:rsid w:val="59BF5B8E"/>
    <w:rsid w:val="59D027D3"/>
    <w:rsid w:val="59DE0C7A"/>
    <w:rsid w:val="59F04D56"/>
    <w:rsid w:val="59FD5DAF"/>
    <w:rsid w:val="5A125C89"/>
    <w:rsid w:val="5A417D7A"/>
    <w:rsid w:val="5A4C2893"/>
    <w:rsid w:val="5A4F7A61"/>
    <w:rsid w:val="5A6279C1"/>
    <w:rsid w:val="5A690D4F"/>
    <w:rsid w:val="5A852ECF"/>
    <w:rsid w:val="5A9C1659"/>
    <w:rsid w:val="5AA026B8"/>
    <w:rsid w:val="5AA116D7"/>
    <w:rsid w:val="5AAC7C87"/>
    <w:rsid w:val="5ADA1FF9"/>
    <w:rsid w:val="5AE821DA"/>
    <w:rsid w:val="5AED557F"/>
    <w:rsid w:val="5AF20641"/>
    <w:rsid w:val="5AFD1904"/>
    <w:rsid w:val="5B1552F3"/>
    <w:rsid w:val="5B2B4256"/>
    <w:rsid w:val="5B2C0607"/>
    <w:rsid w:val="5B3034F1"/>
    <w:rsid w:val="5B424CC5"/>
    <w:rsid w:val="5B4672E2"/>
    <w:rsid w:val="5B57504B"/>
    <w:rsid w:val="5B63362E"/>
    <w:rsid w:val="5B755268"/>
    <w:rsid w:val="5B7B51DE"/>
    <w:rsid w:val="5B88241C"/>
    <w:rsid w:val="5B90055D"/>
    <w:rsid w:val="5B9C2FC5"/>
    <w:rsid w:val="5BA54987"/>
    <w:rsid w:val="5BA65FD3"/>
    <w:rsid w:val="5BC86521"/>
    <w:rsid w:val="5BDC51D2"/>
    <w:rsid w:val="5BDE39BF"/>
    <w:rsid w:val="5C082709"/>
    <w:rsid w:val="5C11169E"/>
    <w:rsid w:val="5C14060C"/>
    <w:rsid w:val="5C180F45"/>
    <w:rsid w:val="5C182A2D"/>
    <w:rsid w:val="5C2E582C"/>
    <w:rsid w:val="5C4C1E77"/>
    <w:rsid w:val="5C7639BC"/>
    <w:rsid w:val="5C981DBF"/>
    <w:rsid w:val="5CA13925"/>
    <w:rsid w:val="5CBC5AAE"/>
    <w:rsid w:val="5CD12F06"/>
    <w:rsid w:val="5CD85C43"/>
    <w:rsid w:val="5CF7084F"/>
    <w:rsid w:val="5D02548B"/>
    <w:rsid w:val="5D0273FA"/>
    <w:rsid w:val="5D147937"/>
    <w:rsid w:val="5D1634FA"/>
    <w:rsid w:val="5D2733FE"/>
    <w:rsid w:val="5D2A0341"/>
    <w:rsid w:val="5D521F6E"/>
    <w:rsid w:val="5D614E5A"/>
    <w:rsid w:val="5D7A4EBD"/>
    <w:rsid w:val="5D7B2AFB"/>
    <w:rsid w:val="5D9D4948"/>
    <w:rsid w:val="5DA07441"/>
    <w:rsid w:val="5DAB5B22"/>
    <w:rsid w:val="5DC34C1A"/>
    <w:rsid w:val="5DC664B8"/>
    <w:rsid w:val="5DCD5EDE"/>
    <w:rsid w:val="5DDB01B6"/>
    <w:rsid w:val="5DDD01B0"/>
    <w:rsid w:val="5DE227D8"/>
    <w:rsid w:val="5DEE4FE1"/>
    <w:rsid w:val="5E040F9B"/>
    <w:rsid w:val="5E163DAD"/>
    <w:rsid w:val="5E18199F"/>
    <w:rsid w:val="5E276BBA"/>
    <w:rsid w:val="5E4A34BA"/>
    <w:rsid w:val="5E5166CA"/>
    <w:rsid w:val="5E572B7B"/>
    <w:rsid w:val="5E622685"/>
    <w:rsid w:val="5E6230CD"/>
    <w:rsid w:val="5E837070"/>
    <w:rsid w:val="5E916EEA"/>
    <w:rsid w:val="5EB629D1"/>
    <w:rsid w:val="5ED929BD"/>
    <w:rsid w:val="5EE004CC"/>
    <w:rsid w:val="5EEF44C3"/>
    <w:rsid w:val="5EF64B87"/>
    <w:rsid w:val="5EFE24CD"/>
    <w:rsid w:val="5F1E02ED"/>
    <w:rsid w:val="5F5335CE"/>
    <w:rsid w:val="5F5F0972"/>
    <w:rsid w:val="5F6123D2"/>
    <w:rsid w:val="5F6E604F"/>
    <w:rsid w:val="5F781A34"/>
    <w:rsid w:val="5F7C6175"/>
    <w:rsid w:val="5F8C113D"/>
    <w:rsid w:val="5F9E149B"/>
    <w:rsid w:val="5F9E76ED"/>
    <w:rsid w:val="5FA55B60"/>
    <w:rsid w:val="5FB55859"/>
    <w:rsid w:val="5FEE6A48"/>
    <w:rsid w:val="6028198E"/>
    <w:rsid w:val="602C2F4B"/>
    <w:rsid w:val="60457B68"/>
    <w:rsid w:val="605C4EB2"/>
    <w:rsid w:val="6060214E"/>
    <w:rsid w:val="6071387E"/>
    <w:rsid w:val="608C5797"/>
    <w:rsid w:val="60932B78"/>
    <w:rsid w:val="60B1182C"/>
    <w:rsid w:val="60B54E5F"/>
    <w:rsid w:val="60B60A66"/>
    <w:rsid w:val="60D67EB5"/>
    <w:rsid w:val="60E72435"/>
    <w:rsid w:val="60F12408"/>
    <w:rsid w:val="60F915AE"/>
    <w:rsid w:val="61085853"/>
    <w:rsid w:val="611834CF"/>
    <w:rsid w:val="61186844"/>
    <w:rsid w:val="61196AEE"/>
    <w:rsid w:val="611D2893"/>
    <w:rsid w:val="612015DC"/>
    <w:rsid w:val="6138147B"/>
    <w:rsid w:val="613D3456"/>
    <w:rsid w:val="61482832"/>
    <w:rsid w:val="615C785F"/>
    <w:rsid w:val="6161246C"/>
    <w:rsid w:val="617901B4"/>
    <w:rsid w:val="617A09D3"/>
    <w:rsid w:val="617A6407"/>
    <w:rsid w:val="617E2BD9"/>
    <w:rsid w:val="619C7C5C"/>
    <w:rsid w:val="61A66D2D"/>
    <w:rsid w:val="61A92379"/>
    <w:rsid w:val="61AB7F4F"/>
    <w:rsid w:val="61BA27D8"/>
    <w:rsid w:val="61BC7327"/>
    <w:rsid w:val="61D513C0"/>
    <w:rsid w:val="61F12BA4"/>
    <w:rsid w:val="61FC795F"/>
    <w:rsid w:val="62035F2D"/>
    <w:rsid w:val="62265778"/>
    <w:rsid w:val="622A0453"/>
    <w:rsid w:val="62347E94"/>
    <w:rsid w:val="62554D7B"/>
    <w:rsid w:val="62782477"/>
    <w:rsid w:val="62870321"/>
    <w:rsid w:val="6287090C"/>
    <w:rsid w:val="62892F39"/>
    <w:rsid w:val="62A52639"/>
    <w:rsid w:val="62C313EC"/>
    <w:rsid w:val="62C751AC"/>
    <w:rsid w:val="62D2532D"/>
    <w:rsid w:val="62D32926"/>
    <w:rsid w:val="62E775FD"/>
    <w:rsid w:val="62EB1C80"/>
    <w:rsid w:val="62F11E84"/>
    <w:rsid w:val="6306529F"/>
    <w:rsid w:val="631D7704"/>
    <w:rsid w:val="63224191"/>
    <w:rsid w:val="632B7CB6"/>
    <w:rsid w:val="632C5010"/>
    <w:rsid w:val="632D6A8C"/>
    <w:rsid w:val="63326075"/>
    <w:rsid w:val="63577595"/>
    <w:rsid w:val="636D1281"/>
    <w:rsid w:val="63921C8F"/>
    <w:rsid w:val="63974B7F"/>
    <w:rsid w:val="639F7B81"/>
    <w:rsid w:val="63A252D2"/>
    <w:rsid w:val="63BE7F46"/>
    <w:rsid w:val="63C546CA"/>
    <w:rsid w:val="63D43500"/>
    <w:rsid w:val="63E36016"/>
    <w:rsid w:val="64177A6E"/>
    <w:rsid w:val="64191A38"/>
    <w:rsid w:val="64463885"/>
    <w:rsid w:val="6468651B"/>
    <w:rsid w:val="646C6942"/>
    <w:rsid w:val="64754C21"/>
    <w:rsid w:val="648101EB"/>
    <w:rsid w:val="648F5856"/>
    <w:rsid w:val="64966BE4"/>
    <w:rsid w:val="64C649E5"/>
    <w:rsid w:val="64C971FC"/>
    <w:rsid w:val="64D17A33"/>
    <w:rsid w:val="64E536C8"/>
    <w:rsid w:val="6507446B"/>
    <w:rsid w:val="651F176C"/>
    <w:rsid w:val="651F307E"/>
    <w:rsid w:val="65243799"/>
    <w:rsid w:val="653730AD"/>
    <w:rsid w:val="65473BE4"/>
    <w:rsid w:val="654823B1"/>
    <w:rsid w:val="65670581"/>
    <w:rsid w:val="656E5DB3"/>
    <w:rsid w:val="658B7760"/>
    <w:rsid w:val="659514FA"/>
    <w:rsid w:val="65A71B0C"/>
    <w:rsid w:val="65AC2438"/>
    <w:rsid w:val="65B4203E"/>
    <w:rsid w:val="65BE6761"/>
    <w:rsid w:val="65C562C1"/>
    <w:rsid w:val="65DA30E2"/>
    <w:rsid w:val="65DC0944"/>
    <w:rsid w:val="65EB1B83"/>
    <w:rsid w:val="65EE7177"/>
    <w:rsid w:val="65FC3D56"/>
    <w:rsid w:val="660A61FF"/>
    <w:rsid w:val="6635457B"/>
    <w:rsid w:val="663B78CC"/>
    <w:rsid w:val="665E1984"/>
    <w:rsid w:val="66645598"/>
    <w:rsid w:val="66713242"/>
    <w:rsid w:val="66A57E71"/>
    <w:rsid w:val="66B75538"/>
    <w:rsid w:val="66BD4460"/>
    <w:rsid w:val="66C7577B"/>
    <w:rsid w:val="66D47A94"/>
    <w:rsid w:val="66E4759D"/>
    <w:rsid w:val="674B4F4A"/>
    <w:rsid w:val="674E19F8"/>
    <w:rsid w:val="67656D42"/>
    <w:rsid w:val="676A3DA6"/>
    <w:rsid w:val="676C1E7F"/>
    <w:rsid w:val="67773A51"/>
    <w:rsid w:val="679805D8"/>
    <w:rsid w:val="67BC3FEE"/>
    <w:rsid w:val="67CA7544"/>
    <w:rsid w:val="67D35A63"/>
    <w:rsid w:val="67D477F8"/>
    <w:rsid w:val="67F24A7A"/>
    <w:rsid w:val="67F325A0"/>
    <w:rsid w:val="67FF7C3A"/>
    <w:rsid w:val="68016A6B"/>
    <w:rsid w:val="6829477F"/>
    <w:rsid w:val="682F4FA9"/>
    <w:rsid w:val="68310698"/>
    <w:rsid w:val="68323C50"/>
    <w:rsid w:val="685A617B"/>
    <w:rsid w:val="686332F5"/>
    <w:rsid w:val="68646588"/>
    <w:rsid w:val="686E1C26"/>
    <w:rsid w:val="688232C2"/>
    <w:rsid w:val="68843A78"/>
    <w:rsid w:val="68996CA3"/>
    <w:rsid w:val="689F0599"/>
    <w:rsid w:val="68B43376"/>
    <w:rsid w:val="68B7537B"/>
    <w:rsid w:val="68DC3034"/>
    <w:rsid w:val="68DC4DE2"/>
    <w:rsid w:val="68F053F6"/>
    <w:rsid w:val="68F14D31"/>
    <w:rsid w:val="68F43A1E"/>
    <w:rsid w:val="69085BD7"/>
    <w:rsid w:val="69145603"/>
    <w:rsid w:val="69423186"/>
    <w:rsid w:val="69432BE1"/>
    <w:rsid w:val="694D728A"/>
    <w:rsid w:val="69594684"/>
    <w:rsid w:val="6988057F"/>
    <w:rsid w:val="699906A2"/>
    <w:rsid w:val="69A973BA"/>
    <w:rsid w:val="69AC12C2"/>
    <w:rsid w:val="69C411D0"/>
    <w:rsid w:val="69C62FFA"/>
    <w:rsid w:val="69D16911"/>
    <w:rsid w:val="69D501AF"/>
    <w:rsid w:val="69D86C6D"/>
    <w:rsid w:val="69E4001D"/>
    <w:rsid w:val="69FA48D7"/>
    <w:rsid w:val="69FF347E"/>
    <w:rsid w:val="6A0D6DC9"/>
    <w:rsid w:val="6A2B6021"/>
    <w:rsid w:val="6A4A19BA"/>
    <w:rsid w:val="6A564EBF"/>
    <w:rsid w:val="6A645FFB"/>
    <w:rsid w:val="6A6A2D90"/>
    <w:rsid w:val="6A701056"/>
    <w:rsid w:val="6A7A24EF"/>
    <w:rsid w:val="6A7E361E"/>
    <w:rsid w:val="6A9A2282"/>
    <w:rsid w:val="6ABB292C"/>
    <w:rsid w:val="6AC46CE5"/>
    <w:rsid w:val="6ACD0D45"/>
    <w:rsid w:val="6ACF10A2"/>
    <w:rsid w:val="6AE82164"/>
    <w:rsid w:val="6AEA4CF9"/>
    <w:rsid w:val="6AEA7C8A"/>
    <w:rsid w:val="6AF1726A"/>
    <w:rsid w:val="6AFE0C80"/>
    <w:rsid w:val="6B144D07"/>
    <w:rsid w:val="6B2A0779"/>
    <w:rsid w:val="6B2B1D80"/>
    <w:rsid w:val="6B3D3548"/>
    <w:rsid w:val="6B664EB6"/>
    <w:rsid w:val="6B841E8D"/>
    <w:rsid w:val="6BA87D31"/>
    <w:rsid w:val="6BB72998"/>
    <w:rsid w:val="6BBC73BD"/>
    <w:rsid w:val="6BC066B1"/>
    <w:rsid w:val="6BC8789F"/>
    <w:rsid w:val="6BEE37AA"/>
    <w:rsid w:val="6C0B1660"/>
    <w:rsid w:val="6C164AAF"/>
    <w:rsid w:val="6C256AA0"/>
    <w:rsid w:val="6C2C7E2E"/>
    <w:rsid w:val="6C523D39"/>
    <w:rsid w:val="6C533915"/>
    <w:rsid w:val="6C5506F2"/>
    <w:rsid w:val="6C7F31BE"/>
    <w:rsid w:val="6C8859AD"/>
    <w:rsid w:val="6CD91C0E"/>
    <w:rsid w:val="6CE01353"/>
    <w:rsid w:val="6CEA7AAC"/>
    <w:rsid w:val="6CF35CFC"/>
    <w:rsid w:val="6CF546C4"/>
    <w:rsid w:val="6CFA25E1"/>
    <w:rsid w:val="6CFE5C6F"/>
    <w:rsid w:val="6D2553A0"/>
    <w:rsid w:val="6D3F29A1"/>
    <w:rsid w:val="6D651DF3"/>
    <w:rsid w:val="6D6A3304"/>
    <w:rsid w:val="6D8D0DA1"/>
    <w:rsid w:val="6D995916"/>
    <w:rsid w:val="6D9E263C"/>
    <w:rsid w:val="6DB8406F"/>
    <w:rsid w:val="6DC26C9C"/>
    <w:rsid w:val="6DD658EE"/>
    <w:rsid w:val="6DDD6E36"/>
    <w:rsid w:val="6DEC1C21"/>
    <w:rsid w:val="6E152319"/>
    <w:rsid w:val="6E3B0BAF"/>
    <w:rsid w:val="6E3E0629"/>
    <w:rsid w:val="6E45554E"/>
    <w:rsid w:val="6E501AEB"/>
    <w:rsid w:val="6E7C11B5"/>
    <w:rsid w:val="6E7C32EF"/>
    <w:rsid w:val="6E7F556F"/>
    <w:rsid w:val="6E997C25"/>
    <w:rsid w:val="6E9F07E1"/>
    <w:rsid w:val="6EA14A30"/>
    <w:rsid w:val="6EA42846"/>
    <w:rsid w:val="6EB6105A"/>
    <w:rsid w:val="6EBA00D3"/>
    <w:rsid w:val="6EBD1212"/>
    <w:rsid w:val="6EC629FF"/>
    <w:rsid w:val="6EC7282F"/>
    <w:rsid w:val="6EC922AC"/>
    <w:rsid w:val="6ED21161"/>
    <w:rsid w:val="6F1C104C"/>
    <w:rsid w:val="6F255735"/>
    <w:rsid w:val="6F26499B"/>
    <w:rsid w:val="6F2F3282"/>
    <w:rsid w:val="6F467459"/>
    <w:rsid w:val="6F587A8E"/>
    <w:rsid w:val="6F5A7044"/>
    <w:rsid w:val="6F5D5506"/>
    <w:rsid w:val="6F600C59"/>
    <w:rsid w:val="6F7E2770"/>
    <w:rsid w:val="6F7F4719"/>
    <w:rsid w:val="6F800BBD"/>
    <w:rsid w:val="6F8776A7"/>
    <w:rsid w:val="6F8B4A66"/>
    <w:rsid w:val="6F957D21"/>
    <w:rsid w:val="6FA57C2A"/>
    <w:rsid w:val="6FC8405E"/>
    <w:rsid w:val="6FD175F7"/>
    <w:rsid w:val="6FD26F3F"/>
    <w:rsid w:val="6FD95378"/>
    <w:rsid w:val="6FEA24DA"/>
    <w:rsid w:val="6FF23B80"/>
    <w:rsid w:val="6FF670D1"/>
    <w:rsid w:val="70180DF5"/>
    <w:rsid w:val="701B6B38"/>
    <w:rsid w:val="703C1CAA"/>
    <w:rsid w:val="703E1108"/>
    <w:rsid w:val="704B7EBD"/>
    <w:rsid w:val="705B0CE2"/>
    <w:rsid w:val="7073427E"/>
    <w:rsid w:val="707F7FC1"/>
    <w:rsid w:val="70830694"/>
    <w:rsid w:val="7092075C"/>
    <w:rsid w:val="70AF49AD"/>
    <w:rsid w:val="70E234A9"/>
    <w:rsid w:val="70F257E2"/>
    <w:rsid w:val="712D7A96"/>
    <w:rsid w:val="71334F8E"/>
    <w:rsid w:val="713C2BF3"/>
    <w:rsid w:val="71526589"/>
    <w:rsid w:val="715517E0"/>
    <w:rsid w:val="71682CDB"/>
    <w:rsid w:val="717C301D"/>
    <w:rsid w:val="718B55F7"/>
    <w:rsid w:val="719E17CE"/>
    <w:rsid w:val="71AC3CA8"/>
    <w:rsid w:val="71E67530"/>
    <w:rsid w:val="71F27DA7"/>
    <w:rsid w:val="71F552A8"/>
    <w:rsid w:val="71FB09CF"/>
    <w:rsid w:val="71FD3369"/>
    <w:rsid w:val="7208350E"/>
    <w:rsid w:val="72264502"/>
    <w:rsid w:val="72332BB4"/>
    <w:rsid w:val="723358B2"/>
    <w:rsid w:val="72363B93"/>
    <w:rsid w:val="72366F69"/>
    <w:rsid w:val="72534367"/>
    <w:rsid w:val="72546CCC"/>
    <w:rsid w:val="72571A57"/>
    <w:rsid w:val="72981E43"/>
    <w:rsid w:val="729D3834"/>
    <w:rsid w:val="729F57FE"/>
    <w:rsid w:val="72A66B8C"/>
    <w:rsid w:val="72AD5CE4"/>
    <w:rsid w:val="72BB344D"/>
    <w:rsid w:val="72BD396A"/>
    <w:rsid w:val="72EA334F"/>
    <w:rsid w:val="72ED47BB"/>
    <w:rsid w:val="730B241D"/>
    <w:rsid w:val="7325797A"/>
    <w:rsid w:val="734C24BD"/>
    <w:rsid w:val="734D525A"/>
    <w:rsid w:val="7357002D"/>
    <w:rsid w:val="73576104"/>
    <w:rsid w:val="7358775B"/>
    <w:rsid w:val="737A3B75"/>
    <w:rsid w:val="73815738"/>
    <w:rsid w:val="738B18DE"/>
    <w:rsid w:val="739F3A97"/>
    <w:rsid w:val="73AF1694"/>
    <w:rsid w:val="73B673EF"/>
    <w:rsid w:val="73BC5F3C"/>
    <w:rsid w:val="73F02366"/>
    <w:rsid w:val="7419338E"/>
    <w:rsid w:val="742254DD"/>
    <w:rsid w:val="7437180D"/>
    <w:rsid w:val="74391D4B"/>
    <w:rsid w:val="74483CFE"/>
    <w:rsid w:val="744B0DA7"/>
    <w:rsid w:val="744D3074"/>
    <w:rsid w:val="74624CC6"/>
    <w:rsid w:val="746A5AD3"/>
    <w:rsid w:val="74723306"/>
    <w:rsid w:val="747A2CC8"/>
    <w:rsid w:val="747F3641"/>
    <w:rsid w:val="74B579B7"/>
    <w:rsid w:val="74B9011A"/>
    <w:rsid w:val="74BB7061"/>
    <w:rsid w:val="74BD640F"/>
    <w:rsid w:val="74CE3EB2"/>
    <w:rsid w:val="74E0065A"/>
    <w:rsid w:val="74E82D21"/>
    <w:rsid w:val="74EF5E2E"/>
    <w:rsid w:val="74F82FA3"/>
    <w:rsid w:val="750E03C1"/>
    <w:rsid w:val="751C6251"/>
    <w:rsid w:val="751E470B"/>
    <w:rsid w:val="753D7B6A"/>
    <w:rsid w:val="754026A2"/>
    <w:rsid w:val="75404391"/>
    <w:rsid w:val="754226B0"/>
    <w:rsid w:val="75662603"/>
    <w:rsid w:val="75670772"/>
    <w:rsid w:val="757A60AE"/>
    <w:rsid w:val="757C44C8"/>
    <w:rsid w:val="759A09C5"/>
    <w:rsid w:val="75A6427E"/>
    <w:rsid w:val="75B243A7"/>
    <w:rsid w:val="75CA0DE4"/>
    <w:rsid w:val="75DE6DB1"/>
    <w:rsid w:val="75E1612D"/>
    <w:rsid w:val="75E572CF"/>
    <w:rsid w:val="75FB07A2"/>
    <w:rsid w:val="761375E4"/>
    <w:rsid w:val="7621477C"/>
    <w:rsid w:val="76217478"/>
    <w:rsid w:val="763C572C"/>
    <w:rsid w:val="765608C9"/>
    <w:rsid w:val="7666354F"/>
    <w:rsid w:val="766B6ECD"/>
    <w:rsid w:val="76855EB9"/>
    <w:rsid w:val="768A26FB"/>
    <w:rsid w:val="7692691E"/>
    <w:rsid w:val="76996365"/>
    <w:rsid w:val="769A10D0"/>
    <w:rsid w:val="76A07D97"/>
    <w:rsid w:val="76C2349E"/>
    <w:rsid w:val="76CB35EC"/>
    <w:rsid w:val="76CE66B2"/>
    <w:rsid w:val="76D054CE"/>
    <w:rsid w:val="77040C67"/>
    <w:rsid w:val="770B16B4"/>
    <w:rsid w:val="77112A42"/>
    <w:rsid w:val="77260AF8"/>
    <w:rsid w:val="773B587C"/>
    <w:rsid w:val="774271F2"/>
    <w:rsid w:val="77453760"/>
    <w:rsid w:val="774845AD"/>
    <w:rsid w:val="774E4E52"/>
    <w:rsid w:val="77653D55"/>
    <w:rsid w:val="776A7D9F"/>
    <w:rsid w:val="77734AD9"/>
    <w:rsid w:val="77767106"/>
    <w:rsid w:val="777C7EBC"/>
    <w:rsid w:val="778B45A3"/>
    <w:rsid w:val="77A25449"/>
    <w:rsid w:val="77AB2363"/>
    <w:rsid w:val="77F3466D"/>
    <w:rsid w:val="780127F5"/>
    <w:rsid w:val="7822274B"/>
    <w:rsid w:val="7840608D"/>
    <w:rsid w:val="78494C44"/>
    <w:rsid w:val="78594455"/>
    <w:rsid w:val="78786AB3"/>
    <w:rsid w:val="78882890"/>
    <w:rsid w:val="78911745"/>
    <w:rsid w:val="78955947"/>
    <w:rsid w:val="78AA588F"/>
    <w:rsid w:val="78B065B0"/>
    <w:rsid w:val="78B83176"/>
    <w:rsid w:val="78BB7662"/>
    <w:rsid w:val="78C33E4A"/>
    <w:rsid w:val="7901119D"/>
    <w:rsid w:val="790D3EA5"/>
    <w:rsid w:val="791B2495"/>
    <w:rsid w:val="791D2A50"/>
    <w:rsid w:val="79366F18"/>
    <w:rsid w:val="79393B8B"/>
    <w:rsid w:val="79432736"/>
    <w:rsid w:val="794C7D62"/>
    <w:rsid w:val="795B1D53"/>
    <w:rsid w:val="79660E81"/>
    <w:rsid w:val="797940FE"/>
    <w:rsid w:val="79813945"/>
    <w:rsid w:val="79AA4A14"/>
    <w:rsid w:val="79B17BC5"/>
    <w:rsid w:val="79B63FC9"/>
    <w:rsid w:val="79DE02DD"/>
    <w:rsid w:val="79E07E40"/>
    <w:rsid w:val="79EB5D1B"/>
    <w:rsid w:val="79F71A7C"/>
    <w:rsid w:val="79FC52E4"/>
    <w:rsid w:val="79FC6182"/>
    <w:rsid w:val="79FD2E0A"/>
    <w:rsid w:val="7A0A6F4F"/>
    <w:rsid w:val="7A1A1C0E"/>
    <w:rsid w:val="7A456F6D"/>
    <w:rsid w:val="7A5F16CA"/>
    <w:rsid w:val="7A710D8E"/>
    <w:rsid w:val="7AAA2F92"/>
    <w:rsid w:val="7AB1300F"/>
    <w:rsid w:val="7AB64E52"/>
    <w:rsid w:val="7ADA0EA4"/>
    <w:rsid w:val="7AE75FBC"/>
    <w:rsid w:val="7AFC56DC"/>
    <w:rsid w:val="7B073F40"/>
    <w:rsid w:val="7B0D3216"/>
    <w:rsid w:val="7B345398"/>
    <w:rsid w:val="7B355131"/>
    <w:rsid w:val="7B4F7695"/>
    <w:rsid w:val="7B590C27"/>
    <w:rsid w:val="7B615D46"/>
    <w:rsid w:val="7B6C5EAB"/>
    <w:rsid w:val="7B7814A8"/>
    <w:rsid w:val="7B861DF2"/>
    <w:rsid w:val="7BA33013"/>
    <w:rsid w:val="7BD209F2"/>
    <w:rsid w:val="7BF702E8"/>
    <w:rsid w:val="7BFA0FA5"/>
    <w:rsid w:val="7BFE2BF5"/>
    <w:rsid w:val="7C0B3F04"/>
    <w:rsid w:val="7C134B67"/>
    <w:rsid w:val="7C162A9E"/>
    <w:rsid w:val="7C177BEA"/>
    <w:rsid w:val="7C1903CF"/>
    <w:rsid w:val="7C1D1542"/>
    <w:rsid w:val="7C206AB7"/>
    <w:rsid w:val="7C8646F6"/>
    <w:rsid w:val="7C876A78"/>
    <w:rsid w:val="7C9B46D0"/>
    <w:rsid w:val="7CA3413D"/>
    <w:rsid w:val="7CA95B93"/>
    <w:rsid w:val="7CBC0850"/>
    <w:rsid w:val="7CD3681B"/>
    <w:rsid w:val="7CD9190C"/>
    <w:rsid w:val="7CD97B5E"/>
    <w:rsid w:val="7CF20DD2"/>
    <w:rsid w:val="7CFF7134"/>
    <w:rsid w:val="7D0D49BE"/>
    <w:rsid w:val="7D8603E2"/>
    <w:rsid w:val="7D9C553A"/>
    <w:rsid w:val="7DC9372F"/>
    <w:rsid w:val="7DD0508B"/>
    <w:rsid w:val="7DE4119D"/>
    <w:rsid w:val="7DEE5B58"/>
    <w:rsid w:val="7E0B1390"/>
    <w:rsid w:val="7E1470DA"/>
    <w:rsid w:val="7E2B13AE"/>
    <w:rsid w:val="7E321DB6"/>
    <w:rsid w:val="7E53749D"/>
    <w:rsid w:val="7E5C45A3"/>
    <w:rsid w:val="7E6B2A38"/>
    <w:rsid w:val="7EA224D8"/>
    <w:rsid w:val="7ED03245"/>
    <w:rsid w:val="7ED25E9B"/>
    <w:rsid w:val="7ED37D6E"/>
    <w:rsid w:val="7F2F7F0A"/>
    <w:rsid w:val="7F7D2EBD"/>
    <w:rsid w:val="7F8846F0"/>
    <w:rsid w:val="7FA73F44"/>
    <w:rsid w:val="7FAD2052"/>
    <w:rsid w:val="7FB0411E"/>
    <w:rsid w:val="7FCA5021"/>
    <w:rsid w:val="7FEA3B6F"/>
    <w:rsid w:val="7FEE5147"/>
    <w:rsid w:val="7FF32CE5"/>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5.xml" Type="http://schemas.openxmlformats.org/officeDocument/2006/relationships/footer"/><Relationship Id="rId11" Target="footer6.xml" Type="http://schemas.openxmlformats.org/officeDocument/2006/relationships/footer"/><Relationship Id="rId12" Target="footer7.xml" Type="http://schemas.openxmlformats.org/officeDocument/2006/relationships/footer"/><Relationship Id="rId13" Target="footer8.xml" Type="http://schemas.openxmlformats.org/officeDocument/2006/relationships/footer"/><Relationship Id="rId14" Target="footer9.xml" Type="http://schemas.openxmlformats.org/officeDocument/2006/relationships/footer"/><Relationship Id="rId15" Target="footer10.xml" Type="http://schemas.openxmlformats.org/officeDocument/2006/relationships/footer"/><Relationship Id="rId16" Target="footer11.xml" Type="http://schemas.openxmlformats.org/officeDocument/2006/relationships/footer"/><Relationship Id="rId17" Target="footer12.xml" Type="http://schemas.openxmlformats.org/officeDocument/2006/relationships/footer"/><Relationship Id="rId18" Target="footer13.xml" Type="http://schemas.openxmlformats.org/officeDocument/2006/relationships/footer"/><Relationship Id="rId19" Target="theme/theme1.xml" Type="http://schemas.openxmlformats.org/officeDocument/2006/relationships/theme"/><Relationship Id="rId2" Target="settings.xml" Type="http://schemas.openxmlformats.org/officeDocument/2006/relationships/settings"/><Relationship Id="rId20" Target="../customXml/item1.xml" Type="http://schemas.openxmlformats.org/officeDocument/2006/relationships/customXml"/><Relationship Id="rId21" Target="fontTable.xml" Type="http://schemas.openxmlformats.org/officeDocument/2006/relationships/fontTable"/><Relationship Id="rId22" Target="media/image1.jpeg" Type="http://schemas.openxmlformats.org/officeDocument/2006/relationships/image"/><Relationship Id="rId23" Target="media/image2.jpeg" Type="http://schemas.openxmlformats.org/officeDocument/2006/relationships/image"/><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footer1.xml" Type="http://schemas.openxmlformats.org/officeDocument/2006/relationships/footer"/><Relationship Id="rId7" Target="footer2.xml" Type="http://schemas.openxmlformats.org/officeDocument/2006/relationships/footer"/><Relationship Id="rId8" Target="footer3.xml" Type="http://schemas.openxmlformats.org/officeDocument/2006/relationships/footer"/><Relationship Id="rId9" Target="footer4.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2754</Words>
  <Characters>7511</Characters>
  <Paragraphs>501</Paragraphs>
  <TotalTime>0</TotalTime>
  <ScaleCrop>false</ScaleCrop>
  <LinksUpToDate>false</LinksUpToDate>
  <CharactersWithSpaces>7532</CharactersWithSpaces>
  <Application>WPS Office_11.1.0.11875_F1E327BC-269C-435d-A152-05C5408002CA</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Tree Know</cp:lastModifiedBy>
  <dcterms:modified xsi:type="dcterms:W3CDTF">2022-07-29T09:20:09Z</dcterms:modified>
  <cp:revision>175</cp:revision>
  <dc:title>部门决算公开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2533214665424557B16CF4115249519F</vt:lpwstr>
  </property>
  <property fmtid="{D5CDD505-2E9C-101B-9397-08002B2CF9AE}" pid="5" name="KSOProductBuildVer">
    <vt:lpwstr>2052-11.1.0.11875</vt:lpwstr>
  </property>
  <property fmtid="{D5CDD505-2E9C-101B-9397-08002B2CF9AE}" pid="6" name="LastSaved">
    <vt:filetime>2021-04-15T00:00:00Z</vt:filetime>
  </property>
</Properties>
</file>