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i w:val="0"/>
          <w:iCs w:val="0"/>
          <w:caps w:val="0"/>
          <w:color w:val="000000"/>
          <w:spacing w:val="0"/>
          <w:sz w:val="44"/>
          <w:szCs w:val="44"/>
        </w:rPr>
      </w:pPr>
      <w:r>
        <w:rPr>
          <w:rFonts w:hint="eastAsia" w:ascii="方正小标宋_GBK" w:hAnsi="方正小标宋_GBK" w:eastAsia="方正小标宋_GBK" w:cs="方正小标宋_GBK"/>
          <w:i w:val="0"/>
          <w:iCs w:val="0"/>
          <w:caps w:val="0"/>
          <w:color w:val="000000"/>
          <w:spacing w:val="0"/>
          <w:sz w:val="44"/>
          <w:szCs w:val="44"/>
        </w:rPr>
        <w:t>转发国家卫生健康委关于印发第二批国家重点</w:t>
      </w:r>
    </w:p>
    <w:p>
      <w:pPr>
        <w:jc w:val="center"/>
        <w:rPr>
          <w:rFonts w:hint="eastAsia" w:ascii="方正小标宋_GBK" w:hAnsi="方正小标宋_GBK" w:eastAsia="方正小标宋_GBK" w:cs="方正小标宋_GBK"/>
          <w:i w:val="0"/>
          <w:iCs w:val="0"/>
          <w:caps w:val="0"/>
          <w:color w:val="000000"/>
          <w:spacing w:val="0"/>
          <w:sz w:val="44"/>
          <w:szCs w:val="44"/>
        </w:rPr>
      </w:pPr>
      <w:r>
        <w:rPr>
          <w:rFonts w:hint="eastAsia" w:ascii="方正小标宋_GBK" w:hAnsi="方正小标宋_GBK" w:eastAsia="方正小标宋_GBK" w:cs="方正小标宋_GBK"/>
          <w:i w:val="0"/>
          <w:iCs w:val="0"/>
          <w:caps w:val="0"/>
          <w:color w:val="000000"/>
          <w:spacing w:val="0"/>
          <w:sz w:val="44"/>
          <w:szCs w:val="44"/>
        </w:rPr>
        <w:t>监控合理用药药品目录的通知</w:t>
      </w:r>
    </w:p>
    <w:p>
      <w:pPr>
        <w:jc w:val="center"/>
        <w:rPr>
          <w:rFonts w:hint="eastAsia" w:ascii="仿宋_GB2312" w:hAnsi="仿宋_GB2312" w:eastAsia="仿宋_GB2312" w:cs="仿宋_GB2312"/>
          <w:i w:val="0"/>
          <w:iCs w:val="0"/>
          <w:caps w:val="0"/>
          <w:color w:val="000000"/>
          <w:spacing w:val="0"/>
          <w:sz w:val="32"/>
          <w:szCs w:val="32"/>
        </w:rPr>
      </w:pPr>
    </w:p>
    <w:p>
      <w:pPr>
        <w:jc w:val="center"/>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苏卫办医政〔2023〕13号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现将《国家卫生健康委办公厅关于印发第二批国家重点监控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right="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合理用药药品目录的通知》（国卫办医函〔2023〕9号）（以下简称《通知》）转发给你们，并就进一步做好我省临床合理用药管理工作、规范临床用药行为、促进合理用药。提出以下工作要求，请一并贯彻落实。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一、明确重点监控合理用药药品目录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根据《通知》要求，我省执行《第二批国家重点监控合理用药药品目录》（见附件1，以下简称目录）。对未纳入该目录的《第一批重点监控合理用药药品目录》中的药品（见附件2），持续监控至少满1年后可不再监控。各级卫生健康行政部门要将《目录》中的药品纳入本市重点监控合理用药药品范围，结合本市合理用药监测情况，确定本市重点监控合理用药药品目录，并以政务公开形式向社会公布。各医疗机构要严格执行省、市两级重点监控合理用药药品目录，并根据本机构药品处方点评情况、合理用药监测情况，以及使用金额、数量、临床价值等综合因素，制定本单位监控目录，实行院务公开，并通过本单位官方网站公布等形式主动向社会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二、加强重点监控合理用药药品的临床应用管理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各医疗机构要落实重点监控合理用药药品监控工作的主体责任，对纳入目录药品实行全流程管理，明确具体责任部门和责任人，进一步完善落实重点监控合理用药药品遴选、采购、处方、调剂、临床应用、评价等全程管理制度。进一步规范医师处方行为，严格遵循药品临床应用指导原则、诊疗方案和药品说明书等合理使用目录药品；积极发挥临床药师的作用，开展合理用药知识培训与教育，加强重点监控合理用药临床使用指导。要将重点监控合理用药药品目录中的药品全部纳入药学部门处方审核和点评范畴，进行重点管理和监测评价，加强处方审核和处方点评结果的公示、反馈及利用，将结果作为医师定期考核、临床科室和医务人员绩效考核的依据。对处方审核中处方合理用药率低，处方点评中不适宜率高、超常处方多的品种，采取排名通报、限期整改、清退出本机构用药供应目录等措施，保证合理用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三、建立完善目录外药品的监管与预警机制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各医疗机构要建立完善目录外药品临床使用监测和超常预警机制，加强预警并查找原因，采取针对性措施控制不合理用药。做好目录外药品常规临床使用监测工作，发现使用量异常增长、无指征、超剂量使用等问题时要及时开展评估，对不适宜率高的药品应及时纳入本机构重点监控合理用药药品目录，对存在违法违规行为的人员要严肃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四、加强重点监控药品合理用药监督管理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各级卫生健康行政部门要加强对重点监控合理用药药品的监督管理，完善监测预警机制，将重点监控合理用药药品临床使用情况作为对医疗机构及其主要负责人的考核内容，纳入医疗机构校验、评审评价、绩效考核、合理用药考核及不合理用药专项整治行动中一并管理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请各医疗机构于4月20日前确定本机构重点监控合理用药药品目录，报核发《医疗机构执业许可证》的卫生健康行政部门。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我委将结合我省合理用药监测情况，视情对全省重点监控合理用药药品目录进行动态调整，并适时对各地合理用药情况进行监督检查。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left="1918" w:leftChars="304" w:right="0" w:hanging="1280" w:hangingChars="4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附件：1.国家卫生健康委办公厅关于印发第二批重点监控合理用药药品目录的通知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          2.第二批目录外需继续监控药品目录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right="0"/>
        <w:jc w:val="left"/>
        <w:textAlignment w:val="auto"/>
        <w:rPr>
          <w:rFonts w:hint="eastAsia" w:ascii="仿宋_GB2312" w:hAnsi="仿宋_GB2312" w:eastAsia="仿宋_GB2312" w:cs="仿宋_GB2312"/>
          <w:i w:val="0"/>
          <w:iCs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left="0" w:right="0" w:firstLine="5120" w:firstLineChars="16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　江苏省卫生健康委办公室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5" w:beforeAutospacing="0" w:after="0" w:afterAutospacing="0" w:line="500" w:lineRule="exact"/>
        <w:ind w:left="0" w:right="0" w:firstLine="42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                             </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   2023年3月28日</w:t>
      </w:r>
    </w:p>
    <w:p>
      <w:pPr>
        <w:rPr>
          <w:rFonts w:ascii="微软雅黑" w:hAnsi="微软雅黑" w:eastAsia="微软雅黑" w:cs="微软雅黑"/>
          <w:i w:val="0"/>
          <w:iCs w:val="0"/>
          <w:caps w:val="0"/>
          <w:color w:val="000000"/>
          <w:spacing w:val="0"/>
          <w:sz w:val="37"/>
          <w:szCs w:val="37"/>
        </w:rPr>
      </w:pPr>
    </w:p>
    <w:p>
      <w:pPr>
        <w:spacing w:before="175" w:line="223" w:lineRule="auto"/>
        <w:ind w:right="157"/>
        <w:jc w:val="center"/>
        <w:rPr>
          <w:rFonts w:ascii="仿宋" w:hAnsi="仿宋" w:eastAsia="仿宋" w:cs="仿宋"/>
          <w:sz w:val="85"/>
          <w:szCs w:val="85"/>
        </w:rPr>
      </w:pPr>
      <w:r>
        <w:rPr>
          <w:rFonts w:hint="eastAsia" w:ascii="仿宋_GB2312" w:hAnsi="仿宋_GB2312" w:eastAsia="仿宋_GB2312" w:cs="仿宋_GB2312"/>
          <w:b/>
          <w:bCs/>
          <w:spacing w:val="12"/>
          <w:sz w:val="32"/>
          <w:szCs w:val="32"/>
          <w:lang w:val="en-US" w:eastAsia="zh-CN"/>
        </w:rPr>
        <w:t xml:space="preserve">                           </w:t>
      </w:r>
      <w:r>
        <w:rPr>
          <w:rFonts w:hint="eastAsia" w:ascii="仿宋_GB2312" w:hAnsi="仿宋_GB2312" w:eastAsia="仿宋_GB2312" w:cs="仿宋_GB2312"/>
          <w:b/>
          <w:bCs/>
          <w:spacing w:val="12"/>
          <w:sz w:val="32"/>
          <w:szCs w:val="32"/>
        </w:rPr>
        <w:t>国卫办医政函〔2023〕9号</w:t>
      </w:r>
    </w:p>
    <w:p>
      <w:pPr>
        <w:keepNext w:val="0"/>
        <w:keepLines w:val="0"/>
        <w:pageBreakBefore w:val="0"/>
        <w:widowControl w:val="0"/>
        <w:kinsoku/>
        <w:wordWrap/>
        <w:overflowPunct/>
        <w:topLinePunct w:val="0"/>
        <w:autoSpaceDE/>
        <w:autoSpaceDN/>
        <w:bidi w:val="0"/>
        <w:adjustRightInd/>
        <w:snapToGrid/>
        <w:spacing w:before="393" w:line="360" w:lineRule="exact"/>
        <w:ind w:right="1866"/>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
          <w:bCs/>
          <w:spacing w:val="-26"/>
          <w:sz w:val="44"/>
          <w:szCs w:val="44"/>
          <w:lang w:val="en-US" w:eastAsia="zh-CN"/>
        </w:rPr>
        <w:t xml:space="preserve">   </w:t>
      </w:r>
      <w:r>
        <w:rPr>
          <w:rFonts w:hint="eastAsia" w:ascii="方正小标宋_GBK" w:hAnsi="方正小标宋_GBK" w:eastAsia="方正小标宋_GBK" w:cs="方正小标宋_GBK"/>
          <w:b/>
          <w:bCs/>
          <w:spacing w:val="-26"/>
          <w:sz w:val="44"/>
          <w:szCs w:val="44"/>
        </w:rPr>
        <w:t>国家卫生健康委办公厅关于印发第二批</w:t>
      </w:r>
    </w:p>
    <w:p>
      <w:pPr>
        <w:keepNext w:val="0"/>
        <w:keepLines w:val="0"/>
        <w:pageBreakBefore w:val="0"/>
        <w:widowControl w:val="0"/>
        <w:kinsoku/>
        <w:wordWrap/>
        <w:overflowPunct/>
        <w:topLinePunct w:val="0"/>
        <w:autoSpaceDE/>
        <w:autoSpaceDN/>
        <w:bidi w:val="0"/>
        <w:adjustRightInd/>
        <w:snapToGrid/>
        <w:spacing w:before="393" w:line="360" w:lineRule="exact"/>
        <w:ind w:right="1866"/>
        <w:jc w:val="center"/>
        <w:textAlignment w:val="auto"/>
        <w:rPr>
          <w:rFonts w:ascii="Arial"/>
          <w:sz w:val="21"/>
        </w:rPr>
      </w:pPr>
      <w:r>
        <w:rPr>
          <w:rFonts w:hint="eastAsia" w:ascii="方正小标宋_GBK" w:hAnsi="方正小标宋_GBK" w:eastAsia="方正小标宋_GBK" w:cs="方正小标宋_GBK"/>
          <w:b/>
          <w:bCs/>
          <w:spacing w:val="-28"/>
          <w:sz w:val="44"/>
          <w:szCs w:val="44"/>
          <w:lang w:val="en-US" w:eastAsia="zh-CN"/>
        </w:rPr>
        <w:t xml:space="preserve">   </w:t>
      </w:r>
      <w:r>
        <w:rPr>
          <w:rFonts w:hint="eastAsia" w:ascii="方正小标宋_GBK" w:hAnsi="方正小标宋_GBK" w:eastAsia="方正小标宋_GBK" w:cs="方正小标宋_GBK"/>
          <w:b/>
          <w:bCs/>
          <w:spacing w:val="-28"/>
          <w:sz w:val="44"/>
          <w:szCs w:val="44"/>
        </w:rPr>
        <w:t>国家重点监控合理用药药品目录的通知</w:t>
      </w:r>
    </w:p>
    <w:p>
      <w:pPr>
        <w:keepNext w:val="0"/>
        <w:keepLines w:val="0"/>
        <w:pageBreakBefore w:val="0"/>
        <w:widowControl w:val="0"/>
        <w:kinsoku/>
        <w:wordWrap/>
        <w:overflowPunct/>
        <w:topLinePunct w:val="0"/>
        <w:autoSpaceDE/>
        <w:autoSpaceDN/>
        <w:bidi w:val="0"/>
        <w:adjustRightInd/>
        <w:snapToGrid/>
        <w:spacing w:before="276" w:line="360" w:lineRule="exac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ascii="仿宋" w:hAnsi="仿宋" w:eastAsia="仿宋" w:cs="仿宋"/>
          <w:spacing w:val="8"/>
          <w:sz w:val="32"/>
          <w:szCs w:val="32"/>
        </w:rPr>
        <w:t>各</w:t>
      </w:r>
      <w:r>
        <w:rPr>
          <w:rFonts w:hint="eastAsia" w:ascii="仿宋_GB2312" w:hAnsi="仿宋_GB2312" w:eastAsia="仿宋_GB2312" w:cs="仿宋_GB2312"/>
          <w:i w:val="0"/>
          <w:iCs w:val="0"/>
          <w:caps w:val="0"/>
          <w:color w:val="333333"/>
          <w:spacing w:val="0"/>
          <w:kern w:val="0"/>
          <w:sz w:val="32"/>
          <w:szCs w:val="32"/>
          <w:lang w:val="en-US" w:eastAsia="zh-CN" w:bidi="ar"/>
        </w:rPr>
        <w:t>省、自治区、直辖市及新疆生产建设兵团卫生健康委：</w:t>
      </w:r>
    </w:p>
    <w:p>
      <w:pPr>
        <w:keepNext w:val="0"/>
        <w:keepLines w:val="0"/>
        <w:pageBreakBefore w:val="0"/>
        <w:widowControl w:val="0"/>
        <w:kinsoku/>
        <w:wordWrap/>
        <w:overflowPunct/>
        <w:topLinePunct w:val="0"/>
        <w:autoSpaceDE/>
        <w:autoSpaceDN/>
        <w:bidi w:val="0"/>
        <w:adjustRightInd/>
        <w:snapToGrid/>
        <w:spacing w:before="306" w:line="360" w:lineRule="exact"/>
        <w:ind w:firstLine="640" w:firstLineChars="200"/>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 xml:space="preserve">为进一步加强我国临床合理用药管理，根据《国家重点监 </w:t>
      </w:r>
    </w:p>
    <w:p>
      <w:pPr>
        <w:keepNext w:val="0"/>
        <w:keepLines w:val="0"/>
        <w:pageBreakBefore w:val="0"/>
        <w:widowControl w:val="0"/>
        <w:kinsoku/>
        <w:wordWrap/>
        <w:overflowPunct/>
        <w:topLinePunct w:val="0"/>
        <w:autoSpaceDE/>
        <w:autoSpaceDN/>
        <w:bidi w:val="0"/>
        <w:adjustRightInd/>
        <w:snapToGrid/>
        <w:spacing w:before="306" w:line="360" w:lineRule="exac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 xml:space="preserve">控合理用药药品目录调整工作规程》(国卫办医函〔2021〕474 </w:t>
      </w:r>
    </w:p>
    <w:p>
      <w:pPr>
        <w:keepNext w:val="0"/>
        <w:keepLines w:val="0"/>
        <w:pageBreakBefore w:val="0"/>
        <w:widowControl w:val="0"/>
        <w:kinsoku/>
        <w:wordWrap/>
        <w:overflowPunct/>
        <w:topLinePunct w:val="0"/>
        <w:autoSpaceDE/>
        <w:autoSpaceDN/>
        <w:bidi w:val="0"/>
        <w:adjustRightInd/>
        <w:snapToGrid/>
        <w:spacing w:before="306" w:line="360" w:lineRule="exac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 xml:space="preserve">号),我委确定了《第二批国家重点监控合理用药药品目录》(以 </w:t>
      </w:r>
    </w:p>
    <w:p>
      <w:pPr>
        <w:keepNext w:val="0"/>
        <w:keepLines w:val="0"/>
        <w:pageBreakBefore w:val="0"/>
        <w:widowControl w:val="0"/>
        <w:kinsoku/>
        <w:wordWrap/>
        <w:overflowPunct/>
        <w:topLinePunct w:val="0"/>
        <w:autoSpaceDE/>
        <w:autoSpaceDN/>
        <w:bidi w:val="0"/>
        <w:adjustRightInd/>
        <w:snapToGrid/>
        <w:spacing w:before="306" w:line="360" w:lineRule="exac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下简称《目录》)。现印发给你们，供各地在加强合理用药管理、</w:t>
      </w:r>
    </w:p>
    <w:p>
      <w:pPr>
        <w:keepNext w:val="0"/>
        <w:keepLines w:val="0"/>
        <w:pageBreakBefore w:val="0"/>
        <w:widowControl w:val="0"/>
        <w:kinsoku/>
        <w:wordWrap/>
        <w:overflowPunct/>
        <w:topLinePunct w:val="0"/>
        <w:autoSpaceDE/>
        <w:autoSpaceDN/>
        <w:bidi w:val="0"/>
        <w:adjustRightInd/>
        <w:snapToGrid/>
        <w:spacing w:before="306" w:line="360" w:lineRule="exac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开展公立医院绩效考核等工作中使用。</w:t>
      </w:r>
    </w:p>
    <w:p>
      <w:pPr>
        <w:keepNext w:val="0"/>
        <w:keepLines w:val="0"/>
        <w:pageBreakBefore w:val="0"/>
        <w:widowControl w:val="0"/>
        <w:kinsoku/>
        <w:wordWrap/>
        <w:overflowPunct/>
        <w:topLinePunct w:val="0"/>
        <w:autoSpaceDE/>
        <w:autoSpaceDN/>
        <w:bidi w:val="0"/>
        <w:adjustRightInd/>
        <w:snapToGrid/>
        <w:spacing w:before="306" w:line="360" w:lineRule="exact"/>
        <w:ind w:firstLine="640" w:firstLineChars="200"/>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 xml:space="preserve">各地要以规范临床用药行为、促进合理用药为工作目标， </w:t>
      </w:r>
    </w:p>
    <w:p>
      <w:pPr>
        <w:keepNext w:val="0"/>
        <w:keepLines w:val="0"/>
        <w:pageBreakBefore w:val="0"/>
        <w:widowControl w:val="0"/>
        <w:kinsoku/>
        <w:wordWrap/>
        <w:overflowPunct/>
        <w:topLinePunct w:val="0"/>
        <w:autoSpaceDE/>
        <w:autoSpaceDN/>
        <w:bidi w:val="0"/>
        <w:adjustRightInd/>
        <w:snapToGrid/>
        <w:spacing w:before="306" w:line="360" w:lineRule="exac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 xml:space="preserve">对纳入本目录的药品制定完善临床应用指南，明确临床应用的 </w:t>
      </w:r>
    </w:p>
    <w:p>
      <w:pPr>
        <w:keepNext w:val="0"/>
        <w:keepLines w:val="0"/>
        <w:pageBreakBefore w:val="0"/>
        <w:widowControl w:val="0"/>
        <w:kinsoku/>
        <w:wordWrap/>
        <w:overflowPunct/>
        <w:topLinePunct w:val="0"/>
        <w:autoSpaceDE/>
        <w:autoSpaceDN/>
        <w:bidi w:val="0"/>
        <w:adjustRightInd/>
        <w:snapToGrid/>
        <w:spacing w:before="306" w:line="360" w:lineRule="exac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 xml:space="preserve">条件和原则，加强合理用药监管。《第一批国家重点监控合理用 </w:t>
      </w:r>
    </w:p>
    <w:p>
      <w:pPr>
        <w:keepNext w:val="0"/>
        <w:keepLines w:val="0"/>
        <w:pageBreakBefore w:val="0"/>
        <w:widowControl w:val="0"/>
        <w:kinsoku/>
        <w:wordWrap/>
        <w:overflowPunct/>
        <w:topLinePunct w:val="0"/>
        <w:autoSpaceDE/>
        <w:autoSpaceDN/>
        <w:bidi w:val="0"/>
        <w:adjustRightInd/>
        <w:snapToGrid/>
        <w:spacing w:before="306" w:line="360" w:lineRule="exac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 xml:space="preserve">药药品目录》(国卫办医函〔2019〕558号)中的药品纳入本《目 </w:t>
      </w:r>
    </w:p>
    <w:p>
      <w:pPr>
        <w:keepNext w:val="0"/>
        <w:keepLines w:val="0"/>
        <w:pageBreakBefore w:val="0"/>
        <w:widowControl w:val="0"/>
        <w:kinsoku/>
        <w:wordWrap/>
        <w:overflowPunct/>
        <w:topLinePunct w:val="0"/>
        <w:autoSpaceDE/>
        <w:autoSpaceDN/>
        <w:bidi w:val="0"/>
        <w:adjustRightInd/>
        <w:snapToGrid/>
        <w:spacing w:before="306" w:line="360" w:lineRule="exac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 xml:space="preserve">录》的，按照要求加强重点监控；未纳入本《目录》的，应当 </w:t>
      </w:r>
    </w:p>
    <w:p>
      <w:pPr>
        <w:keepNext w:val="0"/>
        <w:keepLines w:val="0"/>
        <w:pageBreakBefore w:val="0"/>
        <w:widowControl w:val="0"/>
        <w:kinsoku/>
        <w:wordWrap/>
        <w:overflowPunct/>
        <w:topLinePunct w:val="0"/>
        <w:autoSpaceDE/>
        <w:autoSpaceDN/>
        <w:bidi w:val="0"/>
        <w:adjustRightInd/>
        <w:snapToGrid/>
        <w:spacing w:before="306" w:line="360" w:lineRule="exac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持续监控至少满1年后可不再监控，以促进临床合理用药水平</w:t>
      </w:r>
    </w:p>
    <w:p>
      <w:pPr>
        <w:keepNext w:val="0"/>
        <w:keepLines w:val="0"/>
        <w:pageBreakBefore w:val="0"/>
        <w:widowControl w:val="0"/>
        <w:kinsoku/>
        <w:wordWrap/>
        <w:overflowPunct/>
        <w:topLinePunct w:val="0"/>
        <w:autoSpaceDE/>
        <w:autoSpaceDN/>
        <w:bidi w:val="0"/>
        <w:adjustRightInd/>
        <w:snapToGrid/>
        <w:spacing w:before="306" w:line="360" w:lineRule="exac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持续提高。</w:t>
      </w:r>
    </w:p>
    <w:p>
      <w:pPr>
        <w:keepNext w:val="0"/>
        <w:keepLines w:val="0"/>
        <w:pageBreakBefore w:val="0"/>
        <w:widowControl w:val="0"/>
        <w:kinsoku/>
        <w:wordWrap/>
        <w:overflowPunct/>
        <w:topLinePunct w:val="0"/>
        <w:autoSpaceDE/>
        <w:autoSpaceDN/>
        <w:bidi w:val="0"/>
        <w:adjustRightInd/>
        <w:snapToGrid/>
        <w:spacing w:before="306" w:line="360" w:lineRule="exac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before="306" w:line="360" w:lineRule="exact"/>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before="306" w:line="360" w:lineRule="exact"/>
        <w:ind w:firstLine="3840" w:firstLineChars="1200"/>
        <w:textAlignment w:val="auto"/>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i w:val="0"/>
          <w:iCs w:val="0"/>
          <w:caps w:val="0"/>
          <w:color w:val="333333"/>
          <w:spacing w:val="0"/>
          <w:kern w:val="0"/>
          <w:sz w:val="32"/>
          <w:szCs w:val="32"/>
          <w:lang w:val="en-US" w:eastAsia="zh-CN" w:bidi="ar"/>
        </w:rPr>
        <w:t>国家卫生健康委员会办公厅</w:t>
      </w:r>
    </w:p>
    <w:p>
      <w:pPr>
        <w:keepNext w:val="0"/>
        <w:keepLines w:val="0"/>
        <w:pageBreakBefore w:val="0"/>
        <w:widowControl w:val="0"/>
        <w:kinsoku/>
        <w:wordWrap/>
        <w:overflowPunct/>
        <w:topLinePunct w:val="0"/>
        <w:autoSpaceDE/>
        <w:autoSpaceDN/>
        <w:bidi w:val="0"/>
        <w:adjustRightInd/>
        <w:snapToGrid/>
        <w:spacing w:before="306" w:line="360" w:lineRule="exact"/>
        <w:ind w:firstLine="4480" w:firstLineChars="1400"/>
        <w:textAlignment w:val="auto"/>
        <w:rPr>
          <w:rFonts w:hint="default" w:ascii="仿宋_GB2312" w:hAnsi="仿宋_GB2312" w:eastAsia="仿宋_GB2312" w:cs="仿宋_GB2312"/>
          <w:i w:val="0"/>
          <w:iCs w:val="0"/>
          <w:caps w:val="0"/>
          <w:color w:val="333333"/>
          <w:spacing w:val="0"/>
          <w:kern w:val="0"/>
          <w:sz w:val="32"/>
          <w:szCs w:val="32"/>
          <w:lang w:val="en-US" w:eastAsia="zh-CN" w:bidi="ar"/>
        </w:rPr>
        <w:sectPr>
          <w:footerReference r:id="rId3" w:type="default"/>
          <w:pgSz w:w="11906" w:h="16838"/>
          <w:pgMar w:top="3548" w:right="1400" w:bottom="4137" w:left="1398" w:header="0" w:footer="0" w:gutter="0"/>
          <w:cols w:space="720" w:num="1"/>
        </w:sectPr>
      </w:pPr>
      <w:r>
        <w:rPr>
          <w:rFonts w:hint="eastAsia" w:ascii="仿宋_GB2312" w:hAnsi="仿宋_GB2312" w:eastAsia="仿宋_GB2312" w:cs="仿宋_GB2312"/>
          <w:i w:val="0"/>
          <w:iCs w:val="0"/>
          <w:caps w:val="0"/>
          <w:color w:val="333333"/>
          <w:spacing w:val="0"/>
          <w:kern w:val="0"/>
          <w:sz w:val="32"/>
          <w:szCs w:val="32"/>
          <w:lang w:val="en-US" w:eastAsia="zh-CN" w:bidi="ar"/>
        </w:rPr>
        <w:t>2023</w:t>
      </w:r>
      <w:bookmarkStart w:id="0" w:name="_GoBack"/>
      <w:bookmarkEnd w:id="0"/>
      <w:r>
        <w:rPr>
          <w:rFonts w:hint="eastAsia" w:ascii="仿宋_GB2312" w:hAnsi="仿宋_GB2312" w:eastAsia="仿宋_GB2312" w:cs="仿宋_GB2312"/>
          <w:i w:val="0"/>
          <w:iCs w:val="0"/>
          <w:caps w:val="0"/>
          <w:color w:val="333333"/>
          <w:spacing w:val="0"/>
          <w:kern w:val="0"/>
          <w:sz w:val="32"/>
          <w:szCs w:val="32"/>
          <w:lang w:val="en-US" w:eastAsia="zh-CN" w:bidi="ar"/>
        </w:rPr>
        <w:t>年1月13日</w:t>
      </w:r>
    </w:p>
    <w:p>
      <w:pPr>
        <w:spacing w:before="260" w:line="221" w:lineRule="auto"/>
        <w:jc w:val="center"/>
        <w:rPr>
          <w:rFonts w:hint="eastAsia" w:ascii="方正小标宋_GBK" w:hAnsi="方正小标宋_GBK" w:eastAsia="方正小标宋_GBK" w:cs="方正小标宋_GBK"/>
          <w:i w:val="0"/>
          <w:iCs w:val="0"/>
          <w:caps w:val="0"/>
          <w:color w:val="333333"/>
          <w:spacing w:val="0"/>
          <w:kern w:val="0"/>
          <w:sz w:val="44"/>
          <w:szCs w:val="44"/>
          <w:lang w:val="en-US" w:eastAsia="zh-CN" w:bidi="ar"/>
        </w:rPr>
      </w:pPr>
      <w:r>
        <w:rPr>
          <w:rFonts w:hint="eastAsia" w:ascii="方正小标宋_GBK" w:hAnsi="方正小标宋_GBK" w:eastAsia="方正小标宋_GBK" w:cs="方正小标宋_GBK"/>
          <w:i w:val="0"/>
          <w:iCs w:val="0"/>
          <w:caps w:val="0"/>
          <w:color w:val="333333"/>
          <w:spacing w:val="0"/>
          <w:kern w:val="0"/>
          <w:sz w:val="44"/>
          <w:szCs w:val="44"/>
          <w:lang w:val="en-US" w:eastAsia="zh-CN" w:bidi="ar"/>
        </w:rPr>
        <w:t>第二批国家重点监控合理用药药品目录</w:t>
      </w:r>
    </w:p>
    <w:tbl>
      <w:tblPr>
        <w:tblStyle w:val="7"/>
        <w:tblpPr w:leftFromText="180" w:rightFromText="180" w:vertAnchor="text" w:horzAnchor="page" w:tblpX="2771" w:tblpY="139"/>
        <w:tblOverlap w:val="never"/>
        <w:tblW w:w="7001"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3"/>
        <w:gridCol w:w="529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703" w:type="dxa"/>
            <w:vAlign w:val="top"/>
          </w:tcPr>
          <w:p>
            <w:pPr>
              <w:spacing w:before="282" w:line="185" w:lineRule="auto"/>
              <w:ind w:left="903"/>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1</w:t>
            </w:r>
          </w:p>
        </w:tc>
        <w:tc>
          <w:tcPr>
            <w:tcW w:w="5298" w:type="dxa"/>
            <w:vAlign w:val="center"/>
          </w:tcPr>
          <w:p>
            <w:pPr>
              <w:spacing w:before="182" w:line="219"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奥美拉唑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86" w:line="184" w:lineRule="auto"/>
              <w:ind w:left="903"/>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2</w:t>
            </w:r>
          </w:p>
        </w:tc>
        <w:tc>
          <w:tcPr>
            <w:tcW w:w="5298" w:type="dxa"/>
            <w:vAlign w:val="center"/>
          </w:tcPr>
          <w:p>
            <w:pPr>
              <w:spacing w:before="190" w:line="221"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人血白蛋白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82" w:line="184" w:lineRule="auto"/>
              <w:ind w:left="903"/>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3</w:t>
            </w:r>
          </w:p>
        </w:tc>
        <w:tc>
          <w:tcPr>
            <w:tcW w:w="5298" w:type="dxa"/>
            <w:vAlign w:val="center"/>
          </w:tcPr>
          <w:p>
            <w:pPr>
              <w:spacing w:before="184" w:line="220"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头孢哌酮舒巴坦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71" w:line="184" w:lineRule="auto"/>
              <w:ind w:left="903"/>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4</w:t>
            </w:r>
          </w:p>
        </w:tc>
        <w:tc>
          <w:tcPr>
            <w:tcW w:w="5298" w:type="dxa"/>
            <w:vAlign w:val="center"/>
          </w:tcPr>
          <w:p>
            <w:pPr>
              <w:spacing w:before="171" w:line="220"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依达拉奉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79" w:line="183" w:lineRule="auto"/>
              <w:ind w:left="903"/>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5</w:t>
            </w:r>
          </w:p>
        </w:tc>
        <w:tc>
          <w:tcPr>
            <w:tcW w:w="5298" w:type="dxa"/>
            <w:vAlign w:val="center"/>
          </w:tcPr>
          <w:p>
            <w:pPr>
              <w:spacing w:before="179" w:line="220"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银杏叶提取物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73" w:line="184" w:lineRule="auto"/>
              <w:ind w:left="903"/>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6</w:t>
            </w:r>
          </w:p>
        </w:tc>
        <w:tc>
          <w:tcPr>
            <w:tcW w:w="5298" w:type="dxa"/>
            <w:vAlign w:val="center"/>
          </w:tcPr>
          <w:p>
            <w:pPr>
              <w:spacing w:before="177" w:line="222"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泮托拉唑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85" w:line="183" w:lineRule="auto"/>
              <w:ind w:left="903"/>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7</w:t>
            </w:r>
          </w:p>
        </w:tc>
        <w:tc>
          <w:tcPr>
            <w:tcW w:w="5298" w:type="dxa"/>
            <w:vAlign w:val="center"/>
          </w:tcPr>
          <w:p>
            <w:pPr>
              <w:spacing w:before="186" w:line="221"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复方氨基酸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320" w:line="183" w:lineRule="auto"/>
              <w:ind w:left="903"/>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8</w:t>
            </w:r>
          </w:p>
        </w:tc>
        <w:tc>
          <w:tcPr>
            <w:tcW w:w="5298" w:type="dxa"/>
            <w:vAlign w:val="center"/>
          </w:tcPr>
          <w:p>
            <w:pPr>
              <w:spacing w:before="171" w:line="221"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地佐辛</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83" w:line="184" w:lineRule="auto"/>
              <w:ind w:left="903"/>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9</w:t>
            </w:r>
          </w:p>
        </w:tc>
        <w:tc>
          <w:tcPr>
            <w:tcW w:w="5298" w:type="dxa"/>
            <w:vAlign w:val="center"/>
          </w:tcPr>
          <w:p>
            <w:pPr>
              <w:spacing w:before="186" w:line="221"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倍他司汀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313" w:line="185"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10</w:t>
            </w:r>
          </w:p>
        </w:tc>
        <w:tc>
          <w:tcPr>
            <w:tcW w:w="5298" w:type="dxa"/>
            <w:vAlign w:val="center"/>
          </w:tcPr>
          <w:p>
            <w:pPr>
              <w:spacing w:before="173" w:line="220"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布地奈德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76" w:line="185"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11</w:t>
            </w:r>
          </w:p>
        </w:tc>
        <w:tc>
          <w:tcPr>
            <w:tcW w:w="5298" w:type="dxa"/>
            <w:vAlign w:val="center"/>
          </w:tcPr>
          <w:p>
            <w:pPr>
              <w:spacing w:before="275" w:line="215"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烟酰胺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76" w:line="185"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12</w:t>
            </w:r>
          </w:p>
        </w:tc>
        <w:tc>
          <w:tcPr>
            <w:tcW w:w="5298" w:type="dxa"/>
            <w:vAlign w:val="center"/>
          </w:tcPr>
          <w:p>
            <w:pPr>
              <w:spacing w:before="181" w:line="220"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头孢他啶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71" w:line="185"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13</w:t>
            </w:r>
          </w:p>
        </w:tc>
        <w:tc>
          <w:tcPr>
            <w:tcW w:w="5298" w:type="dxa"/>
            <w:vAlign w:val="center"/>
          </w:tcPr>
          <w:p>
            <w:pPr>
              <w:spacing w:before="175" w:line="220"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哌拉西林他唑巴坦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340" w:line="178"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14</w:t>
            </w:r>
          </w:p>
        </w:tc>
        <w:tc>
          <w:tcPr>
            <w:tcW w:w="5298" w:type="dxa"/>
            <w:vAlign w:val="center"/>
          </w:tcPr>
          <w:p>
            <w:pPr>
              <w:spacing w:before="172" w:line="219"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艾司奥美拉唑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77" w:line="185"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15</w:t>
            </w:r>
          </w:p>
        </w:tc>
        <w:tc>
          <w:tcPr>
            <w:tcW w:w="5298" w:type="dxa"/>
            <w:vAlign w:val="center"/>
          </w:tcPr>
          <w:p>
            <w:pPr>
              <w:spacing w:before="183" w:line="222"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吡拉西坦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67" w:line="185"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16</w:t>
            </w:r>
          </w:p>
        </w:tc>
        <w:tc>
          <w:tcPr>
            <w:tcW w:w="5298" w:type="dxa"/>
            <w:vAlign w:val="center"/>
          </w:tcPr>
          <w:p>
            <w:pPr>
              <w:spacing w:before="169" w:line="220"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左氧氟沙星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82" w:line="185"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17</w:t>
            </w:r>
          </w:p>
        </w:tc>
        <w:tc>
          <w:tcPr>
            <w:tcW w:w="5298" w:type="dxa"/>
            <w:vAlign w:val="center"/>
          </w:tcPr>
          <w:p>
            <w:pPr>
              <w:spacing w:before="187" w:line="220"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法莫替丁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72" w:line="185"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18</w:t>
            </w:r>
          </w:p>
        </w:tc>
        <w:tc>
          <w:tcPr>
            <w:tcW w:w="5298" w:type="dxa"/>
            <w:vAlign w:val="center"/>
          </w:tcPr>
          <w:p>
            <w:pPr>
              <w:spacing w:before="173" w:line="219"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奥拉西坦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309" w:line="185"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19</w:t>
            </w:r>
          </w:p>
        </w:tc>
        <w:tc>
          <w:tcPr>
            <w:tcW w:w="5298" w:type="dxa"/>
            <w:vAlign w:val="center"/>
          </w:tcPr>
          <w:p>
            <w:pPr>
              <w:spacing w:before="178" w:line="221"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雷贝拉唑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80" w:line="184"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20</w:t>
            </w:r>
          </w:p>
        </w:tc>
        <w:tc>
          <w:tcPr>
            <w:tcW w:w="5298" w:type="dxa"/>
            <w:vAlign w:val="center"/>
          </w:tcPr>
          <w:p>
            <w:pPr>
              <w:spacing w:before="183" w:line="221"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前列地尔</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73" w:line="185"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21</w:t>
            </w:r>
          </w:p>
        </w:tc>
        <w:tc>
          <w:tcPr>
            <w:tcW w:w="5298" w:type="dxa"/>
            <w:vAlign w:val="center"/>
          </w:tcPr>
          <w:p>
            <w:pPr>
              <w:spacing w:before="178" w:line="220"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骨肽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323" w:line="184"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22</w:t>
            </w:r>
          </w:p>
        </w:tc>
        <w:tc>
          <w:tcPr>
            <w:tcW w:w="5298" w:type="dxa"/>
            <w:vAlign w:val="center"/>
          </w:tcPr>
          <w:p>
            <w:pPr>
              <w:spacing w:before="181" w:line="220"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罂粟碱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81" w:line="184"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23</w:t>
            </w:r>
          </w:p>
        </w:tc>
        <w:tc>
          <w:tcPr>
            <w:tcW w:w="5298" w:type="dxa"/>
            <w:vAlign w:val="center"/>
          </w:tcPr>
          <w:p>
            <w:pPr>
              <w:spacing w:before="186" w:line="222"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烟酸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81" w:line="184"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24</w:t>
            </w:r>
          </w:p>
        </w:tc>
        <w:tc>
          <w:tcPr>
            <w:tcW w:w="5298" w:type="dxa"/>
            <w:vAlign w:val="center"/>
          </w:tcPr>
          <w:p>
            <w:pPr>
              <w:spacing w:before="185" w:line="221"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乙酰谷酰胺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328" w:line="184"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25</w:t>
            </w:r>
          </w:p>
        </w:tc>
        <w:tc>
          <w:tcPr>
            <w:tcW w:w="5298" w:type="dxa"/>
            <w:vAlign w:val="center"/>
          </w:tcPr>
          <w:p>
            <w:pPr>
              <w:spacing w:before="190" w:line="221"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兰索拉唑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318" w:line="184"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26</w:t>
            </w:r>
          </w:p>
        </w:tc>
        <w:tc>
          <w:tcPr>
            <w:tcW w:w="5298" w:type="dxa"/>
            <w:vAlign w:val="center"/>
          </w:tcPr>
          <w:p>
            <w:pPr>
              <w:spacing w:before="271" w:line="214"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脑蛋白水解物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82" w:line="184"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27</w:t>
            </w:r>
          </w:p>
        </w:tc>
        <w:tc>
          <w:tcPr>
            <w:tcW w:w="5298" w:type="dxa"/>
            <w:vAlign w:val="center"/>
          </w:tcPr>
          <w:p>
            <w:pPr>
              <w:spacing w:before="185" w:line="221"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美罗培南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97" w:line="184"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28</w:t>
            </w:r>
          </w:p>
        </w:tc>
        <w:tc>
          <w:tcPr>
            <w:tcW w:w="5298" w:type="dxa"/>
            <w:vAlign w:val="center"/>
          </w:tcPr>
          <w:p>
            <w:pPr>
              <w:spacing w:before="200" w:line="220"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磷酸肌酸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292" w:line="184"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29</w:t>
            </w:r>
          </w:p>
        </w:tc>
        <w:tc>
          <w:tcPr>
            <w:tcW w:w="5298" w:type="dxa"/>
            <w:vAlign w:val="center"/>
          </w:tcPr>
          <w:p>
            <w:pPr>
              <w:spacing w:before="195" w:line="220"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单唾液酸四己糖神经节苷脂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1703" w:type="dxa"/>
            <w:vAlign w:val="top"/>
          </w:tcPr>
          <w:p>
            <w:pPr>
              <w:spacing w:before="313" w:line="184" w:lineRule="auto"/>
              <w:ind w:left="809"/>
              <w:jc w:val="both"/>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30</w:t>
            </w:r>
          </w:p>
        </w:tc>
        <w:tc>
          <w:tcPr>
            <w:tcW w:w="5298" w:type="dxa"/>
            <w:vAlign w:val="center"/>
          </w:tcPr>
          <w:p>
            <w:pPr>
              <w:spacing w:before="278" w:line="220" w:lineRule="auto"/>
              <w:jc w:val="center"/>
              <w:rPr>
                <w:rFonts w:hint="eastAsia" w:ascii="仿宋_GB2312" w:hAnsi="仿宋_GB2312" w:eastAsia="仿宋_GB2312" w:cs="仿宋_GB2312"/>
                <w:i w:val="0"/>
                <w:iCs w:val="0"/>
                <w:caps w:val="0"/>
                <w:color w:val="333333"/>
                <w:spacing w:val="0"/>
                <w:kern w:val="0"/>
                <w:sz w:val="24"/>
                <w:szCs w:val="24"/>
                <w:lang w:val="en-US" w:eastAsia="zh-CN" w:bidi="ar"/>
              </w:rPr>
            </w:pPr>
            <w:r>
              <w:rPr>
                <w:rFonts w:hint="eastAsia" w:ascii="仿宋_GB2312" w:hAnsi="仿宋_GB2312" w:eastAsia="仿宋_GB2312" w:cs="仿宋_GB2312"/>
                <w:i w:val="0"/>
                <w:iCs w:val="0"/>
                <w:caps w:val="0"/>
                <w:color w:val="333333"/>
                <w:spacing w:val="0"/>
                <w:kern w:val="0"/>
                <w:sz w:val="24"/>
                <w:szCs w:val="24"/>
                <w:lang w:val="en-US" w:eastAsia="zh-CN" w:bidi="ar"/>
              </w:rPr>
              <w:t>头孢噻肟</w:t>
            </w:r>
          </w:p>
        </w:tc>
      </w:tr>
    </w:tbl>
    <w:p>
      <w:pPr>
        <w:spacing w:line="201" w:lineRule="exact"/>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rPr>
          <w:rFonts w:hint="eastAsia" w:ascii="仿宋_GB2312" w:hAnsi="仿宋_GB2312" w:eastAsia="仿宋_GB2312" w:cs="仿宋_GB2312"/>
          <w:i w:val="0"/>
          <w:iCs w:val="0"/>
          <w:caps w:val="0"/>
          <w:color w:val="333333"/>
          <w:spacing w:val="0"/>
          <w:kern w:val="0"/>
          <w:sz w:val="24"/>
          <w:szCs w:val="24"/>
          <w:lang w:val="en-US" w:eastAsia="zh-CN" w:bidi="ar"/>
        </w:rPr>
      </w:pPr>
    </w:p>
    <w:p>
      <w:pPr>
        <w:pStyle w:val="2"/>
        <w:spacing w:beforeAutospacing="0" w:afterAutospacing="0" w:line="560" w:lineRule="exact"/>
        <w:jc w:val="both"/>
        <w:rPr>
          <w:rFonts w:ascii="方正仿宋_GBK" w:eastAsia="方正仿宋_GBK"/>
          <w:sz w:val="32"/>
          <w:szCs w:val="32"/>
        </w:rPr>
      </w:pPr>
      <w:r>
        <w:rPr>
          <w:rFonts w:hint="eastAsia" w:ascii="方正仿宋_GBK" w:eastAsia="方正仿宋_GBK"/>
          <w:sz w:val="32"/>
          <w:szCs w:val="32"/>
        </w:rPr>
        <w:t>附件</w:t>
      </w:r>
      <w:r>
        <w:rPr>
          <w:rFonts w:hint="default" w:ascii="Times New Roman" w:hAnsi="Times New Roman" w:eastAsia="方正仿宋_GBK" w:cs="Times New Roman"/>
          <w:sz w:val="32"/>
          <w:szCs w:val="32"/>
        </w:rPr>
        <w:t>2</w:t>
      </w:r>
    </w:p>
    <w:p>
      <w:pPr>
        <w:spacing w:line="600" w:lineRule="exact"/>
        <w:jc w:val="center"/>
        <w:rPr>
          <w:rFonts w:ascii="方正小标宋_GBK" w:hAnsi="方正小标宋_GBK" w:eastAsia="方正小标宋_GBK" w:cs="方正小标宋_GBK"/>
          <w:color w:val="484848"/>
          <w:sz w:val="44"/>
          <w:szCs w:val="44"/>
        </w:rPr>
      </w:pPr>
    </w:p>
    <w:p>
      <w:pPr>
        <w:spacing w:line="600" w:lineRule="exact"/>
        <w:jc w:val="center"/>
        <w:rPr>
          <w:rFonts w:hint="eastAsia" w:ascii="方正小标宋_GBK" w:hAnsi="方正小标宋_GBK" w:eastAsia="方正小标宋_GBK" w:cs="方正小标宋_GBK"/>
          <w:color w:val="484848"/>
          <w:sz w:val="44"/>
          <w:szCs w:val="44"/>
        </w:rPr>
      </w:pPr>
      <w:r>
        <w:rPr>
          <w:rFonts w:hint="eastAsia" w:ascii="方正小标宋_GBK" w:hAnsi="方正小标宋_GBK" w:eastAsia="方正小标宋_GBK" w:cs="方正小标宋_GBK"/>
          <w:color w:val="333333"/>
          <w:sz w:val="44"/>
          <w:szCs w:val="44"/>
          <w:shd w:val="clear" w:color="auto" w:fill="FFFFFF"/>
        </w:rPr>
        <w:t>第二批目录外需继续监控药品目录</w:t>
      </w:r>
    </w:p>
    <w:p>
      <w:pPr>
        <w:spacing w:line="600" w:lineRule="exact"/>
        <w:jc w:val="center"/>
        <w:rPr>
          <w:rFonts w:ascii="宋体" w:hAnsi="宋体" w:eastAsia="宋体" w:cs="宋体"/>
          <w:b/>
          <w:bCs/>
          <w:color w:val="484848"/>
          <w:sz w:val="44"/>
          <w:szCs w:val="44"/>
        </w:rPr>
      </w:pPr>
      <w:r>
        <w:rPr>
          <w:rFonts w:hint="eastAsia" w:ascii="方正楷体_GBK" w:hAnsi="仿宋" w:eastAsia="方正楷体_GBK" w:cs="宋体"/>
          <w:kern w:val="0"/>
          <w:sz w:val="32"/>
          <w:szCs w:val="32"/>
        </w:rPr>
        <w:t>（排名不分先后）</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7"/>
        <w:gridCol w:w="6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7" w:type="dxa"/>
            <w:vAlign w:val="center"/>
          </w:tcPr>
          <w:p>
            <w:pPr>
              <w:spacing w:line="600" w:lineRule="exact"/>
              <w:jc w:val="center"/>
              <w:rPr>
                <w:rFonts w:ascii="方正仿宋_GBK" w:hAnsi="方正仿宋_GBK" w:eastAsia="仿宋" w:cs="方正仿宋_GBK"/>
                <w:b/>
                <w:bCs/>
                <w:color w:val="484848"/>
                <w:sz w:val="28"/>
                <w:szCs w:val="28"/>
              </w:rPr>
            </w:pPr>
            <w:r>
              <w:rPr>
                <w:rFonts w:ascii="仿宋" w:hAnsi="仿宋" w:eastAsia="仿宋" w:cs="仿宋"/>
                <w:color w:val="484848"/>
                <w:sz w:val="28"/>
                <w:szCs w:val="28"/>
              </w:rPr>
              <w:br w:type="page"/>
            </w:r>
            <w:r>
              <w:rPr>
                <w:rFonts w:hint="default" w:ascii="Times New Roman" w:hAnsi="Times New Roman" w:eastAsia="仿宋" w:cs="Times New Roman"/>
                <w:color w:val="484848"/>
                <w:sz w:val="28"/>
                <w:szCs w:val="28"/>
              </w:rPr>
              <w:t>1</w:t>
            </w:r>
          </w:p>
        </w:tc>
        <w:tc>
          <w:tcPr>
            <w:tcW w:w="6222"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eastAsia" w:ascii="方正仿宋_GBK" w:hAnsi="方正仿宋_GBK" w:eastAsia="方正仿宋_GBK" w:cs="方正仿宋_GBK"/>
                <w:color w:val="000000"/>
                <w:kern w:val="0"/>
                <w:sz w:val="28"/>
                <w:szCs w:val="28"/>
                <w:lang w:bidi="ar"/>
              </w:rPr>
              <w:t>脑苷肌肽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7"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default" w:ascii="Times New Roman" w:hAnsi="Times New Roman" w:eastAsia="方正仿宋_GBK" w:cs="Times New Roman"/>
                <w:color w:val="484848"/>
                <w:kern w:val="0"/>
                <w:sz w:val="28"/>
                <w:szCs w:val="28"/>
                <w:lang w:bidi="ar"/>
              </w:rPr>
              <w:t>2</w:t>
            </w:r>
          </w:p>
        </w:tc>
        <w:tc>
          <w:tcPr>
            <w:tcW w:w="6222"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eastAsia" w:ascii="方正仿宋_GBK" w:hAnsi="方正仿宋_GBK" w:eastAsia="方正仿宋_GBK" w:cs="方正仿宋_GBK"/>
                <w:color w:val="000000"/>
                <w:kern w:val="0"/>
                <w:sz w:val="28"/>
                <w:szCs w:val="28"/>
                <w:lang w:bidi="ar"/>
              </w:rPr>
              <w:t>小牛血清去蛋白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7"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default" w:ascii="Times New Roman" w:hAnsi="Times New Roman" w:eastAsia="方正仿宋_GBK" w:cs="Times New Roman"/>
                <w:color w:val="484848"/>
                <w:kern w:val="0"/>
                <w:sz w:val="28"/>
                <w:szCs w:val="28"/>
                <w:lang w:bidi="ar"/>
              </w:rPr>
              <w:t>3</w:t>
            </w:r>
          </w:p>
        </w:tc>
        <w:tc>
          <w:tcPr>
            <w:tcW w:w="6222"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eastAsia" w:ascii="方正仿宋_GBK" w:hAnsi="方正仿宋_GBK" w:eastAsia="方正仿宋_GBK" w:cs="方正仿宋_GBK"/>
                <w:kern w:val="0"/>
                <w:sz w:val="28"/>
                <w:szCs w:val="28"/>
                <w:lang w:bidi="ar"/>
              </w:rPr>
              <w:t>曲克芦丁脑蛋白水解物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7"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default" w:ascii="Times New Roman" w:hAnsi="Times New Roman" w:eastAsia="方正仿宋_GBK" w:cs="Times New Roman"/>
                <w:color w:val="484848"/>
                <w:kern w:val="0"/>
                <w:sz w:val="28"/>
                <w:szCs w:val="28"/>
                <w:lang w:bidi="ar"/>
              </w:rPr>
              <w:t>4</w:t>
            </w:r>
          </w:p>
        </w:tc>
        <w:tc>
          <w:tcPr>
            <w:tcW w:w="6222"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eastAsia" w:ascii="方正仿宋_GBK" w:hAnsi="方正仿宋_GBK" w:eastAsia="方正仿宋_GBK" w:cs="方正仿宋_GBK"/>
                <w:color w:val="000000"/>
                <w:kern w:val="0"/>
                <w:sz w:val="28"/>
                <w:szCs w:val="28"/>
                <w:lang w:bidi="ar"/>
              </w:rPr>
              <w:t>复合辅酶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7"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default" w:ascii="Times New Roman" w:hAnsi="Times New Roman" w:eastAsia="方正仿宋_GBK" w:cs="Times New Roman"/>
                <w:color w:val="484848"/>
                <w:kern w:val="0"/>
                <w:sz w:val="28"/>
                <w:szCs w:val="28"/>
                <w:lang w:bidi="ar"/>
              </w:rPr>
              <w:t>5</w:t>
            </w:r>
          </w:p>
        </w:tc>
        <w:tc>
          <w:tcPr>
            <w:tcW w:w="6222"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eastAsia" w:ascii="方正仿宋_GBK" w:hAnsi="方正仿宋_GBK" w:eastAsia="方正仿宋_GBK" w:cs="方正仿宋_GBK"/>
                <w:color w:val="000000"/>
                <w:kern w:val="0"/>
                <w:sz w:val="28"/>
                <w:szCs w:val="28"/>
                <w:lang w:bidi="ar"/>
              </w:rPr>
              <w:t>丹参川芎嗪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7"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default" w:ascii="Times New Roman" w:hAnsi="Times New Roman" w:eastAsia="方正仿宋_GBK" w:cs="Times New Roman"/>
                <w:color w:val="484848"/>
                <w:kern w:val="0"/>
                <w:sz w:val="28"/>
                <w:szCs w:val="28"/>
                <w:lang w:bidi="ar"/>
              </w:rPr>
              <w:t>6</w:t>
            </w:r>
          </w:p>
        </w:tc>
        <w:tc>
          <w:tcPr>
            <w:tcW w:w="6222"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eastAsia" w:ascii="方正仿宋_GBK" w:hAnsi="方正仿宋_GBK" w:eastAsia="方正仿宋_GBK" w:cs="方正仿宋_GBK"/>
                <w:color w:val="000000"/>
                <w:kern w:val="0"/>
                <w:sz w:val="28"/>
                <w:szCs w:val="28"/>
                <w:lang w:bidi="ar"/>
              </w:rPr>
              <w:t>转化糖电解质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827"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default" w:ascii="Times New Roman" w:hAnsi="Times New Roman" w:eastAsia="方正仿宋_GBK" w:cs="Times New Roman"/>
                <w:color w:val="484848"/>
                <w:kern w:val="0"/>
                <w:sz w:val="28"/>
                <w:szCs w:val="28"/>
                <w:lang w:bidi="ar"/>
              </w:rPr>
              <w:t>7</w:t>
            </w:r>
          </w:p>
        </w:tc>
        <w:tc>
          <w:tcPr>
            <w:tcW w:w="6222"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eastAsia" w:ascii="方正仿宋_GBK" w:hAnsi="方正仿宋_GBK" w:eastAsia="方正仿宋_GBK" w:cs="方正仿宋_GBK"/>
                <w:color w:val="000000"/>
                <w:kern w:val="0"/>
                <w:sz w:val="28"/>
                <w:szCs w:val="28"/>
                <w:lang w:bidi="ar"/>
              </w:rPr>
              <w:t>鼠神经生长因子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7"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default" w:ascii="Times New Roman" w:hAnsi="Times New Roman" w:eastAsia="方正仿宋_GBK" w:cs="Times New Roman"/>
                <w:color w:val="484848"/>
                <w:kern w:val="0"/>
                <w:sz w:val="28"/>
                <w:szCs w:val="28"/>
                <w:lang w:bidi="ar"/>
              </w:rPr>
              <w:t>8</w:t>
            </w:r>
          </w:p>
        </w:tc>
        <w:tc>
          <w:tcPr>
            <w:tcW w:w="6222"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eastAsia" w:ascii="方正仿宋_GBK" w:hAnsi="方正仿宋_GBK" w:eastAsia="方正仿宋_GBK" w:cs="方正仿宋_GBK"/>
                <w:color w:val="000000"/>
                <w:kern w:val="0"/>
                <w:sz w:val="28"/>
                <w:szCs w:val="28"/>
                <w:lang w:bidi="ar"/>
              </w:rPr>
              <w:t>胸腺五肽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7"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default" w:ascii="Times New Roman" w:hAnsi="Times New Roman" w:eastAsia="方正仿宋_GBK" w:cs="Times New Roman"/>
                <w:color w:val="484848"/>
                <w:kern w:val="0"/>
                <w:sz w:val="28"/>
                <w:szCs w:val="28"/>
                <w:lang w:bidi="ar"/>
              </w:rPr>
              <w:t>9</w:t>
            </w:r>
          </w:p>
        </w:tc>
        <w:tc>
          <w:tcPr>
            <w:tcW w:w="6222"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Style w:val="8"/>
                <w:rFonts w:hint="default"/>
                <w:sz w:val="28"/>
                <w:szCs w:val="28"/>
                <w:lang w:bidi="ar"/>
              </w:rPr>
              <w:t>核糖核酸</w:t>
            </w:r>
            <w:r>
              <w:rPr>
                <w:rStyle w:val="9"/>
                <w:rFonts w:hint="default" w:ascii="方正仿宋_GBK" w:hAnsi="方正仿宋_GBK" w:eastAsia="方正仿宋_GBK" w:cs="方正仿宋_GBK"/>
                <w:sz w:val="28"/>
                <w:szCs w:val="28"/>
                <w:lang w:bidi="ar"/>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7"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default" w:ascii="Times New Roman" w:hAnsi="Times New Roman" w:eastAsia="方正仿宋_GBK" w:cs="Times New Roman"/>
                <w:color w:val="484848"/>
                <w:kern w:val="0"/>
                <w:sz w:val="28"/>
                <w:szCs w:val="28"/>
                <w:lang w:bidi="ar"/>
              </w:rPr>
              <w:t>10</w:t>
            </w:r>
          </w:p>
        </w:tc>
        <w:tc>
          <w:tcPr>
            <w:tcW w:w="6222"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Style w:val="8"/>
                <w:rFonts w:hint="default"/>
                <w:sz w:val="28"/>
                <w:szCs w:val="28"/>
                <w:lang w:bidi="ar"/>
              </w:rPr>
              <w:t>核糖核酸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7"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default" w:ascii="Times New Roman" w:hAnsi="Times New Roman" w:eastAsia="方正仿宋_GBK" w:cs="Times New Roman"/>
                <w:color w:val="484848"/>
                <w:kern w:val="0"/>
                <w:sz w:val="28"/>
                <w:szCs w:val="28"/>
                <w:lang w:bidi="ar"/>
              </w:rPr>
              <w:t>11</w:t>
            </w:r>
          </w:p>
        </w:tc>
        <w:tc>
          <w:tcPr>
            <w:tcW w:w="6222"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eastAsia" w:ascii="方正仿宋_GBK" w:hAnsi="方正仿宋_GBK" w:eastAsia="方正仿宋_GBK" w:cs="方正仿宋_GBK"/>
                <w:color w:val="000000"/>
                <w:kern w:val="0"/>
                <w:sz w:val="28"/>
                <w:szCs w:val="28"/>
                <w:lang w:bidi="ar"/>
              </w:rPr>
              <w:t>长春西汀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7"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default" w:ascii="Times New Roman" w:hAnsi="Times New Roman" w:eastAsia="方正仿宋_GBK" w:cs="Times New Roman"/>
                <w:color w:val="484848"/>
                <w:kern w:val="0"/>
                <w:sz w:val="28"/>
                <w:szCs w:val="28"/>
                <w:lang w:bidi="ar"/>
              </w:rPr>
              <w:t>12</w:t>
            </w:r>
          </w:p>
        </w:tc>
        <w:tc>
          <w:tcPr>
            <w:tcW w:w="6222"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eastAsia" w:ascii="方正仿宋_GBK" w:hAnsi="方正仿宋_GBK" w:eastAsia="方正仿宋_GBK" w:cs="方正仿宋_GBK"/>
                <w:color w:val="000000"/>
                <w:kern w:val="0"/>
                <w:sz w:val="28"/>
                <w:szCs w:val="28"/>
                <w:lang w:bidi="ar"/>
              </w:rPr>
              <w:t>小牛血去蛋白提取物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7"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default" w:ascii="Times New Roman" w:hAnsi="Times New Roman" w:eastAsia="方正仿宋_GBK" w:cs="Times New Roman"/>
                <w:color w:val="484848"/>
                <w:kern w:val="0"/>
                <w:sz w:val="28"/>
                <w:szCs w:val="28"/>
                <w:lang w:bidi="ar"/>
              </w:rPr>
              <w:t>13</w:t>
            </w:r>
          </w:p>
        </w:tc>
        <w:tc>
          <w:tcPr>
            <w:tcW w:w="6222" w:type="dxa"/>
            <w:vAlign w:val="center"/>
          </w:tcPr>
          <w:p>
            <w:pPr>
              <w:widowControl/>
              <w:spacing w:line="600" w:lineRule="exact"/>
              <w:jc w:val="center"/>
              <w:textAlignment w:val="center"/>
              <w:rPr>
                <w:rFonts w:ascii="方正仿宋_GBK" w:hAnsi="方正仿宋_GBK" w:eastAsia="方正仿宋_GBK" w:cs="方正仿宋_GBK"/>
                <w:b/>
                <w:bCs/>
                <w:color w:val="484848"/>
                <w:sz w:val="28"/>
                <w:szCs w:val="28"/>
              </w:rPr>
            </w:pPr>
            <w:r>
              <w:rPr>
                <w:rFonts w:hint="eastAsia" w:ascii="方正仿宋_GBK" w:hAnsi="方正仿宋_GBK" w:eastAsia="方正仿宋_GBK" w:cs="方正仿宋_GBK"/>
                <w:color w:val="000000"/>
                <w:kern w:val="0"/>
                <w:sz w:val="28"/>
                <w:szCs w:val="28"/>
                <w:lang w:bidi="ar"/>
              </w:rPr>
              <w:t>马来酸桂哌齐特</w:t>
            </w:r>
          </w:p>
        </w:tc>
      </w:tr>
    </w:tbl>
    <w:p/>
    <w:p>
      <w:pPr>
        <w:rPr>
          <w:rFonts w:hint="eastAsia" w:ascii="仿宋_GB2312" w:hAnsi="仿宋_GB2312" w:eastAsia="仿宋_GB2312" w:cs="仿宋_GB2312"/>
          <w:i w:val="0"/>
          <w:iCs w:val="0"/>
          <w:caps w:val="0"/>
          <w:color w:val="333333"/>
          <w:spacing w:val="0"/>
          <w:kern w:val="0"/>
          <w:sz w:val="24"/>
          <w:szCs w:val="24"/>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3OWExZjEzZGYxZjVmNzU4MDJmMTRhNTI0MmEyMmEifQ=="/>
  </w:docVars>
  <w:rsids>
    <w:rsidRoot w:val="00000000"/>
    <w:rsid w:val="18A73D4F"/>
    <w:rsid w:val="3E445D8C"/>
    <w:rsid w:val="5E6F2C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Hyperlink"/>
    <w:basedOn w:val="5"/>
    <w:qFormat/>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font31"/>
    <w:basedOn w:val="5"/>
    <w:qFormat/>
    <w:uiPriority w:val="0"/>
    <w:rPr>
      <w:rFonts w:hint="eastAsia" w:ascii="方正仿宋_GBK" w:hAnsi="方正仿宋_GBK" w:eastAsia="方正仿宋_GBK" w:cs="方正仿宋_GBK"/>
      <w:color w:val="000000"/>
      <w:sz w:val="22"/>
      <w:szCs w:val="22"/>
      <w:u w:val="none"/>
    </w:rPr>
  </w:style>
  <w:style w:type="character" w:customStyle="1" w:styleId="9">
    <w:name w:val="font01"/>
    <w:basedOn w:val="5"/>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2020</Words>
  <Characters>2078</Characters>
  <Lines>0</Lines>
  <Paragraphs>0</Paragraphs>
  <TotalTime>13</TotalTime>
  <ScaleCrop>false</ScaleCrop>
  <LinksUpToDate>false</LinksUpToDate>
  <CharactersWithSpaces>2182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2023-04-23T01:35:00Z</dcterms:created>
  <dc:creator>admin</dc:creator>
  <cp:lastModifiedBy>范燕</cp:lastModifiedBy>
  <dcterms:modified xsi:type="dcterms:W3CDTF">2023-04-23T02:38:51Z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6C1FFAE195304EBC8B3CD34C817BC558_12</vt:lpwstr>
  </property>
</Properties>
</file>