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rPr>
          <w:rFonts w:hint="default" w:ascii="Times New Roman" w:hAnsi="Times New Roman" w:eastAsia="黑体" w:cs="Times New Roman"/>
          <w:kern w:val="32"/>
          <w:sz w:val="28"/>
          <w:szCs w:val="28"/>
        </w:rPr>
      </w:pPr>
      <w:r>
        <w:rPr>
          <w:rFonts w:hint="default" w:ascii="Times New Roman" w:hAnsi="Times New Roman" w:eastAsia="黑体" w:cs="Times New Roman"/>
          <w:kern w:val="32"/>
          <w:sz w:val="28"/>
          <w:szCs w:val="28"/>
        </w:rPr>
        <w:t>附件1</w:t>
      </w:r>
    </w:p>
    <w:p>
      <w:pPr>
        <w:spacing w:line="540" w:lineRule="exact"/>
        <w:jc w:val="center"/>
        <w:rPr>
          <w:rFonts w:hint="default" w:ascii="Times New Roman" w:hAnsi="Times New Roman" w:eastAsia="方正小标宋简体" w:cs="Times New Roman"/>
          <w:kern w:val="32"/>
          <w:sz w:val="32"/>
          <w:szCs w:val="32"/>
        </w:rPr>
      </w:pPr>
      <w:r>
        <w:rPr>
          <w:rFonts w:hint="default" w:ascii="Times New Roman" w:hAnsi="Times New Roman" w:eastAsia="方正小标宋简体" w:cs="Times New Roman"/>
          <w:kern w:val="32"/>
          <w:sz w:val="32"/>
          <w:szCs w:val="32"/>
        </w:rPr>
        <w:t>江苏省科技创新发展先进单位（集体）</w:t>
      </w:r>
      <w:r>
        <w:rPr>
          <w:rFonts w:hint="default" w:ascii="Times New Roman" w:hAnsi="Times New Roman" w:eastAsia="方正小标宋简体" w:cs="Times New Roman"/>
          <w:kern w:val="32"/>
          <w:sz w:val="32"/>
          <w:szCs w:val="32"/>
          <w:lang w:eastAsia="zh-CN"/>
        </w:rPr>
        <w:t>拟</w:t>
      </w:r>
      <w:r>
        <w:rPr>
          <w:rFonts w:hint="default" w:ascii="Times New Roman" w:hAnsi="Times New Roman" w:eastAsia="方正小标宋简体" w:cs="Times New Roman"/>
          <w:kern w:val="32"/>
          <w:sz w:val="32"/>
          <w:szCs w:val="32"/>
        </w:rPr>
        <w:t>推荐对象汇总表</w:t>
      </w:r>
    </w:p>
    <w:tbl>
      <w:tblPr>
        <w:tblStyle w:val="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1"/>
        <w:gridCol w:w="1529"/>
        <w:gridCol w:w="1431"/>
        <w:gridCol w:w="1414"/>
        <w:gridCol w:w="91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290" w:type="pct"/>
            <w:vAlign w:val="center"/>
          </w:tcPr>
          <w:p>
            <w:pPr>
              <w:spacing w:line="540" w:lineRule="exact"/>
              <w:jc w:val="center"/>
              <w:rPr>
                <w:rFonts w:hint="default" w:ascii="Times New Roman" w:hAnsi="Times New Roman" w:eastAsia="黑体" w:cs="Times New Roman"/>
                <w:kern w:val="32"/>
                <w:sz w:val="28"/>
                <w:szCs w:val="28"/>
              </w:rPr>
            </w:pPr>
            <w:r>
              <w:rPr>
                <w:rFonts w:hint="default" w:ascii="Times New Roman" w:hAnsi="Times New Roman" w:eastAsia="黑体" w:cs="Times New Roman"/>
                <w:kern w:val="32"/>
                <w:sz w:val="28"/>
                <w:szCs w:val="28"/>
              </w:rPr>
              <w:t>序号</w:t>
            </w:r>
          </w:p>
        </w:tc>
        <w:tc>
          <w:tcPr>
            <w:tcW w:w="533" w:type="pct"/>
            <w:vAlign w:val="center"/>
          </w:tcPr>
          <w:p>
            <w:pPr>
              <w:spacing w:line="540" w:lineRule="exact"/>
              <w:jc w:val="center"/>
              <w:rPr>
                <w:rFonts w:hint="default" w:ascii="Times New Roman" w:hAnsi="Times New Roman" w:eastAsia="黑体" w:cs="Times New Roman"/>
                <w:kern w:val="32"/>
                <w:sz w:val="28"/>
                <w:szCs w:val="28"/>
              </w:rPr>
            </w:pPr>
            <w:r>
              <w:rPr>
                <w:rFonts w:hint="default" w:ascii="Times New Roman" w:hAnsi="Times New Roman" w:eastAsia="黑体" w:cs="Times New Roman"/>
                <w:kern w:val="32"/>
                <w:sz w:val="28"/>
                <w:szCs w:val="28"/>
              </w:rPr>
              <w:t>单位名称</w:t>
            </w:r>
          </w:p>
        </w:tc>
        <w:tc>
          <w:tcPr>
            <w:tcW w:w="499" w:type="pct"/>
            <w:vAlign w:val="center"/>
          </w:tcPr>
          <w:p>
            <w:pPr>
              <w:spacing w:line="540" w:lineRule="exact"/>
              <w:jc w:val="center"/>
              <w:rPr>
                <w:rFonts w:hint="default" w:ascii="Times New Roman" w:hAnsi="Times New Roman" w:eastAsia="黑体" w:cs="Times New Roman"/>
                <w:kern w:val="32"/>
                <w:sz w:val="28"/>
                <w:szCs w:val="28"/>
              </w:rPr>
            </w:pPr>
            <w:r>
              <w:rPr>
                <w:rFonts w:hint="default" w:ascii="Times New Roman" w:hAnsi="Times New Roman" w:eastAsia="黑体" w:cs="Times New Roman"/>
                <w:kern w:val="32"/>
                <w:sz w:val="28"/>
                <w:szCs w:val="28"/>
              </w:rPr>
              <w:t>单位类别</w:t>
            </w:r>
          </w:p>
        </w:tc>
        <w:tc>
          <w:tcPr>
            <w:tcW w:w="493" w:type="pct"/>
            <w:vAlign w:val="center"/>
          </w:tcPr>
          <w:p>
            <w:pPr>
              <w:spacing w:line="540" w:lineRule="exact"/>
              <w:jc w:val="center"/>
              <w:rPr>
                <w:rFonts w:hint="default" w:ascii="Times New Roman" w:hAnsi="Times New Roman" w:eastAsia="黑体" w:cs="Times New Roman"/>
                <w:kern w:val="32"/>
                <w:sz w:val="28"/>
                <w:szCs w:val="28"/>
              </w:rPr>
            </w:pPr>
            <w:r>
              <w:rPr>
                <w:rFonts w:hint="default" w:ascii="Times New Roman" w:hAnsi="Times New Roman" w:eastAsia="黑体" w:cs="Times New Roman"/>
                <w:kern w:val="32"/>
                <w:sz w:val="28"/>
                <w:szCs w:val="28"/>
              </w:rPr>
              <w:t>行政级别</w:t>
            </w:r>
          </w:p>
        </w:tc>
        <w:tc>
          <w:tcPr>
            <w:tcW w:w="3182" w:type="pct"/>
            <w:vAlign w:val="center"/>
          </w:tcPr>
          <w:p>
            <w:pPr>
              <w:spacing w:line="540" w:lineRule="exact"/>
              <w:jc w:val="center"/>
              <w:rPr>
                <w:rFonts w:hint="default" w:ascii="Times New Roman" w:hAnsi="Times New Roman" w:eastAsia="黑体" w:cs="Times New Roman"/>
                <w:kern w:val="32"/>
                <w:sz w:val="28"/>
                <w:szCs w:val="28"/>
              </w:rPr>
            </w:pPr>
            <w:r>
              <w:rPr>
                <w:rFonts w:hint="default" w:ascii="Times New Roman" w:hAnsi="Times New Roman" w:eastAsia="黑体" w:cs="Times New Roman"/>
                <w:kern w:val="32"/>
                <w:sz w:val="28"/>
                <w:szCs w:val="28"/>
              </w:rPr>
              <w:t>主要事迹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3" w:hRule="atLeast"/>
        </w:trPr>
        <w:tc>
          <w:tcPr>
            <w:tcW w:w="290" w:type="pct"/>
            <w:vAlign w:val="center"/>
          </w:tcPr>
          <w:p>
            <w:pPr>
              <w:spacing w:line="540" w:lineRule="exact"/>
              <w:jc w:val="center"/>
              <w:rPr>
                <w:rFonts w:hint="default" w:ascii="Times New Roman" w:hAnsi="Times New Roman" w:eastAsia="仿宋_GB2312" w:cs="Times New Roman"/>
                <w:kern w:val="32"/>
                <w:sz w:val="28"/>
                <w:szCs w:val="28"/>
              </w:rPr>
            </w:pPr>
            <w:r>
              <w:rPr>
                <w:rFonts w:hint="default" w:ascii="Times New Roman" w:hAnsi="Times New Roman" w:eastAsia="仿宋_GB2312" w:cs="Times New Roman"/>
                <w:kern w:val="32"/>
                <w:sz w:val="28"/>
                <w:szCs w:val="28"/>
              </w:rPr>
              <w:t>1</w:t>
            </w:r>
          </w:p>
        </w:tc>
        <w:tc>
          <w:tcPr>
            <w:tcW w:w="533" w:type="pct"/>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kern w:val="32"/>
                <w:sz w:val="28"/>
                <w:szCs w:val="28"/>
                <w:lang w:val="en-US" w:eastAsia="zh-CN"/>
              </w:rPr>
            </w:pPr>
            <w:r>
              <w:rPr>
                <w:rFonts w:hint="default" w:ascii="Times New Roman" w:hAnsi="Times New Roman" w:eastAsia="仿宋_GB2312" w:cs="Times New Roman"/>
                <w:kern w:val="32"/>
                <w:sz w:val="28"/>
                <w:szCs w:val="28"/>
                <w:lang w:val="en-US" w:eastAsia="zh-CN"/>
              </w:rPr>
              <w:t>江苏省金坛华罗庚高新技术产业开发区管理委员会</w:t>
            </w:r>
          </w:p>
        </w:tc>
        <w:tc>
          <w:tcPr>
            <w:tcW w:w="1431" w:type="dxa"/>
            <w:vAlign w:val="center"/>
          </w:tcPr>
          <w:p>
            <w:pPr>
              <w:spacing w:line="360" w:lineRule="exact"/>
              <w:ind w:firstLine="0" w:firstLineChars="0"/>
              <w:jc w:val="center"/>
              <w:rPr>
                <w:rFonts w:hint="default" w:ascii="Times New Roman" w:hAnsi="Times New Roman" w:eastAsia="仿宋_GB2312" w:cs="Times New Roman"/>
                <w:kern w:val="32"/>
                <w:sz w:val="28"/>
                <w:szCs w:val="28"/>
                <w:lang w:val="en-US" w:eastAsia="zh-CN"/>
              </w:rPr>
            </w:pPr>
            <w:r>
              <w:rPr>
                <w:rFonts w:hint="default" w:ascii="Times New Roman" w:hAnsi="Times New Roman" w:eastAsia="仿宋_GB2312" w:cs="Times New Roman"/>
                <w:bCs/>
                <w:sz w:val="28"/>
                <w:szCs w:val="28"/>
                <w:lang w:val="en-US" w:eastAsia="zh-CN"/>
              </w:rPr>
              <w:t>党政机关</w:t>
            </w:r>
          </w:p>
        </w:tc>
        <w:tc>
          <w:tcPr>
            <w:tcW w:w="493" w:type="pct"/>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kern w:val="32"/>
                <w:sz w:val="28"/>
                <w:szCs w:val="28"/>
                <w:lang w:val="en-US" w:eastAsia="zh-CN"/>
              </w:rPr>
            </w:pPr>
            <w:r>
              <w:rPr>
                <w:rFonts w:hint="default" w:ascii="Times New Roman" w:hAnsi="Times New Roman" w:eastAsia="仿宋_GB2312" w:cs="Times New Roman"/>
                <w:kern w:val="32"/>
                <w:sz w:val="28"/>
                <w:szCs w:val="28"/>
                <w:lang w:val="en-US" w:eastAsia="zh-CN"/>
              </w:rPr>
              <w:t>正科级</w:t>
            </w:r>
          </w:p>
        </w:tc>
        <w:tc>
          <w:tcPr>
            <w:tcW w:w="3182" w:type="pct"/>
            <w:vAlign w:val="center"/>
          </w:tcPr>
          <w:p>
            <w:pPr>
              <w:keepNext w:val="0"/>
              <w:keepLines w:val="0"/>
              <w:pageBreakBefore w:val="0"/>
              <w:widowControl/>
              <w:kinsoku/>
              <w:wordWrap/>
              <w:overflowPunct/>
              <w:topLinePunct w:val="0"/>
              <w:autoSpaceDE/>
              <w:autoSpaceDN/>
              <w:bidi w:val="0"/>
              <w:adjustRightInd/>
              <w:snapToGrid/>
              <w:spacing w:line="360" w:lineRule="exact"/>
              <w:ind w:firstLine="560" w:firstLineChars="200"/>
              <w:textAlignment w:val="auto"/>
              <w:rPr>
                <w:rFonts w:hint="default" w:ascii="Times New Roman" w:hAnsi="Times New Roman" w:eastAsia="仿宋_GB2312" w:cs="Times New Roman"/>
                <w:kern w:val="32"/>
                <w:sz w:val="28"/>
                <w:szCs w:val="28"/>
              </w:rPr>
            </w:pPr>
            <w:r>
              <w:rPr>
                <w:rFonts w:hint="default" w:ascii="Times New Roman" w:hAnsi="Times New Roman" w:eastAsia="仿宋_GB2312" w:cs="Times New Roman"/>
                <w:kern w:val="32"/>
                <w:sz w:val="28"/>
                <w:szCs w:val="28"/>
                <w:lang w:val="en-US" w:eastAsia="zh-CN"/>
              </w:rPr>
              <w:t>2022年以来</w:t>
            </w:r>
            <w:r>
              <w:rPr>
                <w:rFonts w:hint="default" w:ascii="Times New Roman" w:hAnsi="Times New Roman" w:eastAsia="仿宋_GB2312" w:cs="Times New Roman"/>
                <w:kern w:val="32"/>
                <w:sz w:val="28"/>
                <w:szCs w:val="28"/>
              </w:rPr>
              <w:t>，华罗庚高新区深学笃行习近平新时代中国特色社会主义思想，全面贯彻新发展理念，凝心聚力、主动作为，园区经济发展保持稳中向上的趋势。</w:t>
            </w:r>
            <w:r>
              <w:rPr>
                <w:rFonts w:hint="default" w:ascii="Times New Roman" w:hAnsi="Times New Roman" w:eastAsia="仿宋_GB2312" w:cs="Times New Roman"/>
                <w:kern w:val="32"/>
                <w:sz w:val="28"/>
                <w:szCs w:val="28"/>
                <w:lang w:val="en-US" w:eastAsia="zh-CN"/>
              </w:rPr>
              <w:t>全年</w:t>
            </w:r>
            <w:r>
              <w:rPr>
                <w:rFonts w:hint="default" w:ascii="Times New Roman" w:hAnsi="Times New Roman" w:eastAsia="仿宋_GB2312" w:cs="Times New Roman"/>
                <w:kern w:val="32"/>
                <w:sz w:val="28"/>
                <w:szCs w:val="28"/>
              </w:rPr>
              <w:t>高新区规模以上工业企业营业收入</w:t>
            </w:r>
            <w:r>
              <w:rPr>
                <w:rFonts w:hint="default" w:ascii="Times New Roman" w:hAnsi="Times New Roman" w:eastAsia="仿宋_GB2312" w:cs="Times New Roman"/>
                <w:kern w:val="32"/>
                <w:sz w:val="28"/>
                <w:szCs w:val="28"/>
                <w:lang w:val="en-US" w:eastAsia="zh-CN"/>
              </w:rPr>
              <w:t>806.85</w:t>
            </w:r>
            <w:r>
              <w:rPr>
                <w:rFonts w:hint="default" w:ascii="Times New Roman" w:hAnsi="Times New Roman" w:eastAsia="仿宋_GB2312" w:cs="Times New Roman"/>
                <w:kern w:val="32"/>
                <w:sz w:val="28"/>
                <w:szCs w:val="28"/>
              </w:rPr>
              <w:t>亿元，同比增长</w:t>
            </w:r>
            <w:r>
              <w:rPr>
                <w:rFonts w:hint="default" w:ascii="Times New Roman" w:hAnsi="Times New Roman" w:eastAsia="仿宋_GB2312" w:cs="Times New Roman"/>
                <w:kern w:val="32"/>
                <w:sz w:val="28"/>
                <w:szCs w:val="28"/>
                <w:lang w:val="en-US" w:eastAsia="zh-CN"/>
              </w:rPr>
              <w:t>42.15</w:t>
            </w:r>
            <w:r>
              <w:rPr>
                <w:rFonts w:hint="default" w:ascii="Times New Roman" w:hAnsi="Times New Roman" w:eastAsia="仿宋_GB2312" w:cs="Times New Roman"/>
                <w:kern w:val="32"/>
                <w:sz w:val="28"/>
                <w:szCs w:val="28"/>
              </w:rPr>
              <w:t>%，规上工业总产值</w:t>
            </w:r>
            <w:r>
              <w:rPr>
                <w:rFonts w:hint="default" w:ascii="Times New Roman" w:hAnsi="Times New Roman" w:eastAsia="仿宋_GB2312" w:cs="Times New Roman"/>
                <w:kern w:val="32"/>
                <w:sz w:val="28"/>
                <w:szCs w:val="28"/>
                <w:lang w:val="en-US" w:eastAsia="zh-CN"/>
              </w:rPr>
              <w:t>746.89</w:t>
            </w:r>
            <w:r>
              <w:rPr>
                <w:rFonts w:hint="default" w:ascii="Times New Roman" w:hAnsi="Times New Roman" w:eastAsia="仿宋_GB2312" w:cs="Times New Roman"/>
                <w:kern w:val="32"/>
                <w:sz w:val="28"/>
                <w:szCs w:val="28"/>
              </w:rPr>
              <w:t>亿元，同比增长</w:t>
            </w:r>
            <w:r>
              <w:rPr>
                <w:rFonts w:hint="default" w:ascii="Times New Roman" w:hAnsi="Times New Roman" w:eastAsia="仿宋_GB2312" w:cs="Times New Roman"/>
                <w:kern w:val="32"/>
                <w:sz w:val="28"/>
                <w:szCs w:val="28"/>
                <w:lang w:val="en-US" w:eastAsia="zh-CN"/>
              </w:rPr>
              <w:t>50.85</w:t>
            </w:r>
            <w:r>
              <w:rPr>
                <w:rFonts w:hint="default" w:ascii="Times New Roman" w:hAnsi="Times New Roman" w:eastAsia="仿宋_GB2312" w:cs="Times New Roman"/>
                <w:kern w:val="32"/>
                <w:sz w:val="28"/>
                <w:szCs w:val="28"/>
              </w:rPr>
              <w:t>%，其中高新技术产业产值</w:t>
            </w:r>
            <w:r>
              <w:rPr>
                <w:rFonts w:hint="default" w:ascii="Times New Roman" w:hAnsi="Times New Roman" w:eastAsia="仿宋_GB2312" w:cs="Times New Roman"/>
                <w:kern w:val="32"/>
                <w:sz w:val="28"/>
                <w:szCs w:val="28"/>
                <w:lang w:val="en-US" w:eastAsia="zh-CN"/>
              </w:rPr>
              <w:t>548.33</w:t>
            </w:r>
            <w:r>
              <w:rPr>
                <w:rFonts w:hint="default" w:ascii="Times New Roman" w:hAnsi="Times New Roman" w:eastAsia="仿宋_GB2312" w:cs="Times New Roman"/>
                <w:kern w:val="32"/>
                <w:sz w:val="28"/>
                <w:szCs w:val="28"/>
              </w:rPr>
              <w:t>亿元，同比增长1</w:t>
            </w:r>
            <w:r>
              <w:rPr>
                <w:rFonts w:hint="default" w:ascii="Times New Roman" w:hAnsi="Times New Roman" w:eastAsia="仿宋_GB2312" w:cs="Times New Roman"/>
                <w:kern w:val="32"/>
                <w:sz w:val="28"/>
                <w:szCs w:val="28"/>
                <w:lang w:val="en-US" w:eastAsia="zh-CN"/>
              </w:rPr>
              <w:t>33.19</w:t>
            </w:r>
            <w:r>
              <w:rPr>
                <w:rFonts w:hint="default" w:ascii="Times New Roman" w:hAnsi="Times New Roman" w:eastAsia="仿宋_GB2312" w:cs="Times New Roman"/>
                <w:kern w:val="32"/>
                <w:sz w:val="28"/>
                <w:szCs w:val="28"/>
              </w:rPr>
              <w:t>%。高新技术产业投资额</w:t>
            </w:r>
            <w:r>
              <w:rPr>
                <w:rFonts w:hint="default" w:ascii="Times New Roman" w:hAnsi="Times New Roman" w:eastAsia="仿宋_GB2312" w:cs="Times New Roman"/>
                <w:kern w:val="32"/>
                <w:sz w:val="28"/>
                <w:szCs w:val="28"/>
                <w:lang w:val="en-US" w:eastAsia="zh-CN"/>
              </w:rPr>
              <w:t>76.41</w:t>
            </w:r>
            <w:r>
              <w:rPr>
                <w:rFonts w:hint="default" w:ascii="Times New Roman" w:hAnsi="Times New Roman" w:eastAsia="仿宋_GB2312" w:cs="Times New Roman"/>
                <w:kern w:val="32"/>
                <w:sz w:val="28"/>
                <w:szCs w:val="28"/>
              </w:rPr>
              <w:t>亿元，同比增长</w:t>
            </w:r>
            <w:r>
              <w:rPr>
                <w:rFonts w:hint="default" w:ascii="Times New Roman" w:hAnsi="Times New Roman" w:eastAsia="仿宋_GB2312" w:cs="Times New Roman"/>
                <w:kern w:val="32"/>
                <w:sz w:val="28"/>
                <w:szCs w:val="28"/>
                <w:lang w:val="en-US" w:eastAsia="zh-CN"/>
              </w:rPr>
              <w:t>102.52</w:t>
            </w:r>
            <w:r>
              <w:rPr>
                <w:rFonts w:hint="default" w:ascii="Times New Roman" w:hAnsi="Times New Roman" w:eastAsia="仿宋_GB2312" w:cs="Times New Roman"/>
                <w:kern w:val="32"/>
                <w:sz w:val="28"/>
                <w:szCs w:val="28"/>
              </w:rPr>
              <w:t>%。实际使用外资金额3.11亿美元，同比增长172.81%。累计一般公共预算收入7.</w:t>
            </w:r>
            <w:r>
              <w:rPr>
                <w:rFonts w:hint="default" w:ascii="Times New Roman" w:hAnsi="Times New Roman" w:eastAsia="仿宋_GB2312" w:cs="Times New Roman"/>
                <w:kern w:val="32"/>
                <w:sz w:val="28"/>
                <w:szCs w:val="28"/>
                <w:lang w:val="en-US" w:eastAsia="zh-CN"/>
              </w:rPr>
              <w:t>85</w:t>
            </w:r>
            <w:r>
              <w:rPr>
                <w:rFonts w:hint="default" w:ascii="Times New Roman" w:hAnsi="Times New Roman" w:eastAsia="仿宋_GB2312" w:cs="Times New Roman"/>
                <w:kern w:val="32"/>
                <w:sz w:val="28"/>
                <w:szCs w:val="28"/>
              </w:rPr>
              <w:t>亿元，若扣除退税影响，一般公共预算收入1</w:t>
            </w:r>
            <w:r>
              <w:rPr>
                <w:rFonts w:hint="default" w:ascii="Times New Roman" w:hAnsi="Times New Roman" w:eastAsia="仿宋_GB2312" w:cs="Times New Roman"/>
                <w:kern w:val="32"/>
                <w:sz w:val="28"/>
                <w:szCs w:val="28"/>
                <w:lang w:val="en-US" w:eastAsia="zh-CN"/>
              </w:rPr>
              <w:t>1.13</w:t>
            </w:r>
            <w:r>
              <w:rPr>
                <w:rFonts w:hint="default" w:ascii="Times New Roman" w:hAnsi="Times New Roman" w:eastAsia="仿宋_GB2312" w:cs="Times New Roman"/>
                <w:kern w:val="32"/>
                <w:sz w:val="28"/>
                <w:szCs w:val="28"/>
              </w:rPr>
              <w:t>亿元，同比增长</w:t>
            </w:r>
            <w:r>
              <w:rPr>
                <w:rFonts w:hint="default" w:ascii="Times New Roman" w:hAnsi="Times New Roman" w:eastAsia="仿宋_GB2312" w:cs="Times New Roman"/>
                <w:kern w:val="32"/>
                <w:sz w:val="28"/>
                <w:szCs w:val="28"/>
                <w:lang w:val="en-US" w:eastAsia="zh-CN"/>
              </w:rPr>
              <w:t>21.15</w:t>
            </w:r>
            <w:r>
              <w:rPr>
                <w:rFonts w:hint="default" w:ascii="Times New Roman" w:hAnsi="Times New Roman" w:eastAsia="仿宋_GB2312" w:cs="Times New Roman"/>
                <w:kern w:val="32"/>
                <w:sz w:val="28"/>
                <w:szCs w:val="28"/>
              </w:rPr>
              <w:t>%。备案科技型中小企业108家，累计认定高新技术企业</w:t>
            </w:r>
            <w:r>
              <w:rPr>
                <w:rFonts w:hint="default" w:ascii="Times New Roman" w:hAnsi="Times New Roman" w:eastAsia="仿宋_GB2312" w:cs="Times New Roman"/>
                <w:kern w:val="32"/>
                <w:sz w:val="28"/>
                <w:szCs w:val="28"/>
                <w:lang w:val="en-US" w:eastAsia="zh-CN"/>
              </w:rPr>
              <w:t>89</w:t>
            </w:r>
            <w:r>
              <w:rPr>
                <w:rFonts w:hint="default" w:ascii="Times New Roman" w:hAnsi="Times New Roman" w:eastAsia="仿宋_GB2312" w:cs="Times New Roman"/>
                <w:kern w:val="32"/>
                <w:sz w:val="28"/>
                <w:szCs w:val="28"/>
              </w:rPr>
              <w:t>家、独角兽企业2家、潜在独角兽2家、瞪羚企业4家。申报省成果转化项目4项、重点研发计划2项。中创新航获“江苏省创新型领军企业”称号并成功赴港上市。全年新增发明专利授权251件，同比增长282.02%，完成技术交易合同登记18.54亿元，规上工业企业R&amp;D经费支出22.42亿元，研发投入强度达3.9</w:t>
            </w:r>
            <w:r>
              <w:rPr>
                <w:rFonts w:hint="default" w:ascii="Times New Roman" w:hAnsi="Times New Roman" w:eastAsia="仿宋_GB2312" w:cs="Times New Roman"/>
                <w:kern w:val="32"/>
                <w:sz w:val="28"/>
                <w:szCs w:val="28"/>
                <w:lang w:val="en-US" w:eastAsia="zh-CN"/>
              </w:rPr>
              <w:t>4</w:t>
            </w:r>
            <w:r>
              <w:rPr>
                <w:rFonts w:hint="default" w:ascii="Times New Roman" w:hAnsi="Times New Roman" w:eastAsia="仿宋_GB2312" w:cs="Times New Roman"/>
                <w:kern w:val="32"/>
                <w:sz w:val="28"/>
                <w:szCs w:val="28"/>
              </w:rPr>
              <w:t>%。新增省级科技企业孵化器1家、省级研发机构3家。申报国家级人才计划16项，申报省“双创计划”7项，3项获公示，入选常州市“龙城英才计划”11项；承办第十届“创业江苏”科技创业大赛新能源/新能源汽车行业赛</w:t>
            </w:r>
            <w:r>
              <w:rPr>
                <w:rFonts w:hint="default" w:ascii="Times New Roman" w:hAnsi="Times New Roman" w:eastAsia="仿宋_GB2312" w:cs="Times New Roman"/>
                <w:kern w:val="32"/>
                <w:sz w:val="28"/>
                <w:szCs w:val="28"/>
                <w:lang w:eastAsia="zh-CN"/>
              </w:rPr>
              <w:t>、</w:t>
            </w:r>
            <w:r>
              <w:rPr>
                <w:rFonts w:hint="default" w:ascii="Times New Roman" w:hAnsi="Times New Roman" w:eastAsia="仿宋_GB2312" w:cs="Times New Roman"/>
                <w:kern w:val="32"/>
                <w:sz w:val="28"/>
                <w:szCs w:val="28"/>
                <w:lang w:val="en-US" w:eastAsia="zh-CN"/>
              </w:rPr>
              <w:t>第十五届高工锂电产业峰会等，</w:t>
            </w:r>
            <w:r>
              <w:rPr>
                <w:rFonts w:hint="default" w:ascii="Times New Roman" w:hAnsi="Times New Roman" w:eastAsia="仿宋_GB2312" w:cs="Times New Roman"/>
                <w:kern w:val="32"/>
                <w:sz w:val="28"/>
                <w:szCs w:val="28"/>
              </w:rPr>
              <w:t>协办江苏省J-TOP创新挑战季智能制造产业专场等活动。江苏省军民科技协同创新示范基地获授牌。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1" w:hRule="atLeast"/>
        </w:trPr>
        <w:tc>
          <w:tcPr>
            <w:tcW w:w="290" w:type="pct"/>
            <w:vAlign w:val="center"/>
          </w:tcPr>
          <w:p>
            <w:pPr>
              <w:spacing w:line="540" w:lineRule="exact"/>
              <w:jc w:val="center"/>
              <w:rPr>
                <w:rFonts w:hint="default" w:ascii="Times New Roman" w:hAnsi="Times New Roman" w:eastAsia="仿宋_GB2312" w:cs="Times New Roman"/>
                <w:kern w:val="32"/>
                <w:sz w:val="28"/>
                <w:szCs w:val="28"/>
              </w:rPr>
            </w:pPr>
            <w:r>
              <w:rPr>
                <w:rFonts w:hint="default" w:ascii="Times New Roman" w:hAnsi="Times New Roman" w:eastAsia="仿宋_GB2312" w:cs="Times New Roman"/>
                <w:kern w:val="32"/>
                <w:sz w:val="28"/>
                <w:szCs w:val="28"/>
              </w:rPr>
              <w:t>2</w:t>
            </w:r>
          </w:p>
        </w:tc>
        <w:tc>
          <w:tcPr>
            <w:tcW w:w="533" w:type="pct"/>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kern w:val="32"/>
                <w:sz w:val="28"/>
                <w:szCs w:val="28"/>
              </w:rPr>
            </w:pPr>
            <w:r>
              <w:rPr>
                <w:rFonts w:hint="default" w:ascii="Times New Roman" w:hAnsi="Times New Roman" w:eastAsia="仿宋_GB2312" w:cs="Times New Roman"/>
                <w:kern w:val="32"/>
                <w:sz w:val="28"/>
                <w:szCs w:val="28"/>
                <w:lang w:val="en-US" w:eastAsia="zh-CN"/>
              </w:rPr>
              <w:t>常州市武进区科学技术局</w:t>
            </w:r>
          </w:p>
        </w:tc>
        <w:tc>
          <w:tcPr>
            <w:tcW w:w="1431" w:type="dxa"/>
            <w:vAlign w:val="center"/>
          </w:tcPr>
          <w:p>
            <w:pPr>
              <w:spacing w:line="360" w:lineRule="exact"/>
              <w:ind w:firstLine="0" w:firstLineChars="0"/>
              <w:jc w:val="center"/>
              <w:rPr>
                <w:rFonts w:hint="default" w:ascii="Times New Roman" w:hAnsi="Times New Roman" w:eastAsia="仿宋_GB2312" w:cs="Times New Roman"/>
                <w:kern w:val="32"/>
                <w:sz w:val="28"/>
                <w:szCs w:val="28"/>
              </w:rPr>
            </w:pPr>
            <w:r>
              <w:rPr>
                <w:rFonts w:hint="default" w:ascii="Times New Roman" w:hAnsi="Times New Roman" w:eastAsia="仿宋_GB2312" w:cs="Times New Roman"/>
                <w:bCs/>
                <w:sz w:val="28"/>
                <w:szCs w:val="28"/>
                <w:lang w:val="en-US" w:eastAsia="zh-CN"/>
              </w:rPr>
              <w:t>党政机关</w:t>
            </w:r>
          </w:p>
        </w:tc>
        <w:tc>
          <w:tcPr>
            <w:tcW w:w="493" w:type="pct"/>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kern w:val="32"/>
                <w:sz w:val="28"/>
                <w:szCs w:val="28"/>
              </w:rPr>
            </w:pPr>
            <w:r>
              <w:rPr>
                <w:rFonts w:hint="default" w:ascii="Times New Roman" w:hAnsi="Times New Roman" w:eastAsia="仿宋_GB2312" w:cs="Times New Roman"/>
                <w:kern w:val="32"/>
                <w:sz w:val="28"/>
                <w:szCs w:val="28"/>
                <w:lang w:val="en-US" w:eastAsia="zh-CN"/>
              </w:rPr>
              <w:t>正科级</w:t>
            </w:r>
          </w:p>
        </w:tc>
        <w:tc>
          <w:tcPr>
            <w:tcW w:w="3182" w:type="pct"/>
            <w:vAlign w:val="center"/>
          </w:tcPr>
          <w:p>
            <w:pPr>
              <w:keepNext w:val="0"/>
              <w:keepLines w:val="0"/>
              <w:pageBreakBefore w:val="0"/>
              <w:widowControl/>
              <w:kinsoku/>
              <w:wordWrap/>
              <w:overflowPunct/>
              <w:topLinePunct w:val="0"/>
              <w:autoSpaceDE/>
              <w:autoSpaceDN/>
              <w:bidi w:val="0"/>
              <w:adjustRightInd/>
              <w:snapToGrid/>
              <w:spacing w:line="360" w:lineRule="exact"/>
              <w:ind w:firstLine="560" w:firstLineChars="200"/>
              <w:textAlignment w:val="auto"/>
              <w:rPr>
                <w:rFonts w:hint="default" w:ascii="Times New Roman" w:hAnsi="Times New Roman" w:eastAsia="仿宋_GB2312" w:cs="Times New Roman"/>
                <w:kern w:val="32"/>
                <w:sz w:val="28"/>
                <w:szCs w:val="28"/>
              </w:rPr>
            </w:pPr>
            <w:r>
              <w:rPr>
                <w:rFonts w:hint="default" w:ascii="Times New Roman" w:hAnsi="Times New Roman" w:eastAsia="仿宋_GB2312" w:cs="Times New Roman"/>
                <w:kern w:val="32"/>
                <w:sz w:val="28"/>
                <w:szCs w:val="28"/>
              </w:rPr>
              <w:t>2022年，武进区科技局作为全区推动科技创新的职能部门，以“全力做强科创引擎，打造武进科创标杆”为工作主题，加速赋能创新主体，精准集聚创新资源，引导助力载体升级，提优服务助企纾困，全面完成高质量发展年度目标任务。全年共组织申报高新技术企业611家，认定435家；净增高企225家，超额目标任务，高企数突破一千家。新认定独角兽（潜在独角兽）7家、瞪羚企业40家；打造了一批“国字号”平台载体，新增国家级科技企业孵化器1家、国家级众创空间1家、省众创集聚区2家。举办了RoboMaster2022机甲大师超级对抗赛、“惠科企服务直通车”启动仪式、长三角（常州）创新中心揭牌仪式等重大活动，长三角双创示范基地联盟“双创券”使用多项数据位列第一。</w:t>
            </w:r>
          </w:p>
          <w:p>
            <w:pPr>
              <w:keepNext w:val="0"/>
              <w:keepLines w:val="0"/>
              <w:pageBreakBefore w:val="0"/>
              <w:widowControl/>
              <w:kinsoku/>
              <w:wordWrap/>
              <w:overflowPunct/>
              <w:topLinePunct w:val="0"/>
              <w:autoSpaceDE/>
              <w:autoSpaceDN/>
              <w:bidi w:val="0"/>
              <w:adjustRightInd/>
              <w:snapToGrid/>
              <w:spacing w:line="360" w:lineRule="exact"/>
              <w:ind w:firstLine="560" w:firstLineChars="200"/>
              <w:textAlignment w:val="auto"/>
              <w:rPr>
                <w:rFonts w:hint="default" w:ascii="Times New Roman" w:hAnsi="Times New Roman" w:eastAsia="仿宋_GB2312" w:cs="Times New Roman"/>
                <w:kern w:val="32"/>
                <w:sz w:val="28"/>
                <w:szCs w:val="28"/>
                <w:lang w:val="en-US" w:eastAsia="zh-CN"/>
              </w:rPr>
            </w:pPr>
            <w:r>
              <w:rPr>
                <w:rFonts w:hint="default" w:ascii="Times New Roman" w:hAnsi="Times New Roman" w:eastAsia="仿宋_GB2312" w:cs="Times New Roman"/>
                <w:kern w:val="32"/>
                <w:sz w:val="28"/>
                <w:szCs w:val="28"/>
              </w:rPr>
              <w:t>2022年，武进重点实施了创新主体赋能、创新平台增效、创新生态优化、创新能力提升、创新合作深化五大工程，涵养了协同开放的“新格局”，为创新创业注入了“新动能”。下一步将继续深化科技体制改革、推进创新平台建设、强化科技人才引育、加速科技成果转化，通过制度创新与科技创新高效协同，汇聚起更加强劲的“第一动力”，为奋力书写中国式现代化的武进答卷贡献力量。</w:t>
            </w:r>
          </w:p>
          <w:p>
            <w:pPr>
              <w:keepNext w:val="0"/>
              <w:keepLines w:val="0"/>
              <w:pageBreakBefore w:val="0"/>
              <w:widowControl/>
              <w:kinsoku/>
              <w:wordWrap/>
              <w:overflowPunct/>
              <w:topLinePunct w:val="0"/>
              <w:autoSpaceDE/>
              <w:autoSpaceDN/>
              <w:bidi w:val="0"/>
              <w:adjustRightInd/>
              <w:snapToGrid/>
              <w:spacing w:line="360" w:lineRule="exact"/>
              <w:ind w:firstLine="560" w:firstLineChars="200"/>
              <w:textAlignment w:val="auto"/>
              <w:rPr>
                <w:rFonts w:hint="default" w:ascii="Times New Roman" w:hAnsi="Times New Roman" w:eastAsia="仿宋_GB2312" w:cs="Times New Roman"/>
                <w:kern w:val="3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1" w:hRule="atLeast"/>
        </w:trPr>
        <w:tc>
          <w:tcPr>
            <w:tcW w:w="290" w:type="pct"/>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kern w:val="32"/>
                <w:sz w:val="28"/>
                <w:szCs w:val="28"/>
              </w:rPr>
            </w:pPr>
            <w:r>
              <w:rPr>
                <w:rFonts w:hint="default" w:ascii="Times New Roman" w:hAnsi="Times New Roman" w:eastAsia="仿宋_GB2312" w:cs="Times New Roman"/>
                <w:kern w:val="32"/>
                <w:sz w:val="28"/>
                <w:szCs w:val="28"/>
              </w:rPr>
              <w:t>3</w:t>
            </w:r>
          </w:p>
        </w:tc>
        <w:tc>
          <w:tcPr>
            <w:tcW w:w="533" w:type="pct"/>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kern w:val="32"/>
                <w:sz w:val="28"/>
                <w:szCs w:val="28"/>
                <w:lang w:val="en-US" w:eastAsia="zh-CN"/>
              </w:rPr>
            </w:pPr>
            <w:r>
              <w:rPr>
                <w:rFonts w:hint="default" w:ascii="Times New Roman" w:hAnsi="Times New Roman" w:eastAsia="仿宋_GB2312" w:cs="Times New Roman"/>
                <w:kern w:val="32"/>
                <w:sz w:val="28"/>
                <w:szCs w:val="28"/>
                <w:lang w:val="en-US" w:eastAsia="zh-CN"/>
              </w:rPr>
              <w:t>江苏常州滨江经济开发区管理委员会</w:t>
            </w:r>
          </w:p>
        </w:tc>
        <w:tc>
          <w:tcPr>
            <w:tcW w:w="1431" w:type="dxa"/>
            <w:vAlign w:val="center"/>
          </w:tcPr>
          <w:p>
            <w:pPr>
              <w:spacing w:line="360" w:lineRule="exact"/>
              <w:ind w:firstLine="0" w:firstLineChars="0"/>
              <w:jc w:val="center"/>
              <w:rPr>
                <w:rFonts w:hint="default" w:ascii="Times New Roman" w:hAnsi="Times New Roman" w:eastAsia="仿宋_GB2312" w:cs="Times New Roman"/>
                <w:kern w:val="32"/>
                <w:sz w:val="28"/>
                <w:szCs w:val="28"/>
                <w:lang w:val="en-US" w:eastAsia="zh-CN"/>
              </w:rPr>
            </w:pPr>
            <w:r>
              <w:rPr>
                <w:rFonts w:hint="default" w:ascii="Times New Roman" w:hAnsi="Times New Roman" w:eastAsia="仿宋_GB2312" w:cs="Times New Roman"/>
                <w:bCs/>
                <w:sz w:val="28"/>
                <w:szCs w:val="28"/>
                <w:lang w:val="en-US" w:eastAsia="zh-CN"/>
              </w:rPr>
              <w:t>党政机关</w:t>
            </w:r>
          </w:p>
        </w:tc>
        <w:tc>
          <w:tcPr>
            <w:tcW w:w="493" w:type="pct"/>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kern w:val="32"/>
                <w:sz w:val="28"/>
                <w:szCs w:val="28"/>
                <w:lang w:val="en-US" w:eastAsia="zh-CN"/>
              </w:rPr>
            </w:pPr>
            <w:r>
              <w:rPr>
                <w:rFonts w:hint="default" w:ascii="Times New Roman" w:hAnsi="Times New Roman" w:eastAsia="仿宋_GB2312" w:cs="Times New Roman"/>
                <w:kern w:val="32"/>
                <w:sz w:val="28"/>
                <w:szCs w:val="28"/>
                <w:lang w:val="en-US" w:eastAsia="zh-CN"/>
              </w:rPr>
              <w:t>副处级</w:t>
            </w:r>
          </w:p>
        </w:tc>
        <w:tc>
          <w:tcPr>
            <w:tcW w:w="3182" w:type="pct"/>
            <w:vAlign w:val="center"/>
          </w:tcPr>
          <w:p>
            <w:pPr>
              <w:keepNext w:val="0"/>
              <w:keepLines w:val="0"/>
              <w:pageBreakBefore w:val="0"/>
              <w:widowControl/>
              <w:kinsoku/>
              <w:wordWrap/>
              <w:overflowPunct/>
              <w:topLinePunct w:val="0"/>
              <w:autoSpaceDE/>
              <w:autoSpaceDN/>
              <w:bidi w:val="0"/>
              <w:adjustRightInd/>
              <w:snapToGrid/>
              <w:spacing w:line="360" w:lineRule="exact"/>
              <w:ind w:firstLine="560" w:firstLineChars="200"/>
              <w:textAlignment w:val="auto"/>
              <w:rPr>
                <w:rFonts w:hint="default" w:ascii="Times New Roman" w:hAnsi="Times New Roman" w:eastAsia="仿宋_GB2312" w:cs="Times New Roman"/>
                <w:kern w:val="32"/>
                <w:sz w:val="28"/>
                <w:szCs w:val="28"/>
                <w:lang w:val="en-US" w:eastAsia="zh-CN"/>
              </w:rPr>
            </w:pPr>
            <w:r>
              <w:rPr>
                <w:rFonts w:hint="default" w:ascii="Times New Roman" w:hAnsi="Times New Roman" w:eastAsia="仿宋_GB2312" w:cs="Times New Roman"/>
                <w:kern w:val="32"/>
                <w:sz w:val="28"/>
                <w:szCs w:val="28"/>
                <w:lang w:val="en-US" w:eastAsia="zh-CN"/>
              </w:rPr>
              <w:t>近年来，滨开区围绕全市“532”发展战略，聚焦全区“三大工程”和年度重点目标任务，持续推动创新发展，不断壮大主导产业，取得了一份份亮眼的成绩单。区内拥有规上工业企业338家，超亿元企业141家，其中超百亿企业3家。拥有上市公司3家、新三板挂牌企业9家；高新技术企业183家，瞪羚企业23家，潜在独角兽企业5家；重大创新平台9家，省级以上研发机构86家，众创空间、孵化器、加速器共11家；入选国家级人才工程15人、市顶尖人才3人、市龙城英才领军型创新人才38个、市龙城英才领军型创业人才（项目）54个。2022年，</w:t>
            </w:r>
            <w:r>
              <w:rPr>
                <w:rFonts w:hint="default" w:ascii="Times New Roman" w:hAnsi="Times New Roman" w:eastAsia="仿宋_GB2312" w:cs="Times New Roman"/>
                <w:kern w:val="32"/>
                <w:sz w:val="28"/>
                <w:szCs w:val="28"/>
                <w:lang w:val="en-US" w:eastAsia="zh-Hans"/>
              </w:rPr>
              <w:t>实现</w:t>
            </w:r>
            <w:r>
              <w:rPr>
                <w:rFonts w:hint="default" w:ascii="Times New Roman" w:hAnsi="Times New Roman" w:eastAsia="仿宋_GB2312" w:cs="Times New Roman"/>
                <w:kern w:val="32"/>
                <w:sz w:val="28"/>
                <w:szCs w:val="28"/>
                <w:lang w:val="en-US" w:eastAsia="zh-CN"/>
              </w:rPr>
              <w:t>工业总产值1055亿元，同比增长15.9%，成为全区首个千亿级园区，其中新材料、新医药产业产值分别为573.3亿元、175.2亿元；</w:t>
            </w:r>
            <w:r>
              <w:rPr>
                <w:rFonts w:hint="default" w:ascii="Times New Roman" w:hAnsi="Times New Roman" w:eastAsia="仿宋_GB2312" w:cs="Times New Roman"/>
                <w:kern w:val="32"/>
                <w:sz w:val="28"/>
                <w:szCs w:val="28"/>
                <w:lang w:val="en-US" w:eastAsia="zh-Hans"/>
              </w:rPr>
              <w:t>一般公共预算收入</w:t>
            </w:r>
            <w:r>
              <w:rPr>
                <w:rFonts w:hint="default" w:ascii="Times New Roman" w:hAnsi="Times New Roman" w:eastAsia="仿宋_GB2312" w:cs="Times New Roman"/>
                <w:kern w:val="32"/>
                <w:sz w:val="28"/>
                <w:szCs w:val="28"/>
                <w:lang w:val="en-US" w:eastAsia="zh-CN"/>
              </w:rPr>
              <w:t>25.5</w:t>
            </w:r>
            <w:r>
              <w:rPr>
                <w:rFonts w:hint="default" w:ascii="Times New Roman" w:hAnsi="Times New Roman" w:eastAsia="仿宋_GB2312" w:cs="Times New Roman"/>
                <w:kern w:val="32"/>
                <w:sz w:val="28"/>
                <w:szCs w:val="28"/>
                <w:lang w:val="en-US" w:eastAsia="zh-Hans"/>
              </w:rPr>
              <w:t>亿元，同比增长2</w:t>
            </w:r>
            <w:r>
              <w:rPr>
                <w:rFonts w:hint="default" w:ascii="Times New Roman" w:hAnsi="Times New Roman" w:eastAsia="仿宋_GB2312" w:cs="Times New Roman"/>
                <w:kern w:val="32"/>
                <w:sz w:val="28"/>
                <w:szCs w:val="28"/>
                <w:lang w:val="en-US" w:eastAsia="zh-CN"/>
              </w:rPr>
              <w:t>5</w:t>
            </w:r>
            <w:r>
              <w:rPr>
                <w:rFonts w:hint="default" w:ascii="Times New Roman" w:hAnsi="Times New Roman" w:eastAsia="仿宋_GB2312" w:cs="Times New Roman"/>
                <w:kern w:val="32"/>
                <w:sz w:val="28"/>
                <w:szCs w:val="28"/>
                <w:lang w:val="en-US" w:eastAsia="zh-Hans"/>
              </w:rPr>
              <w:t>%；</w:t>
            </w:r>
            <w:r>
              <w:rPr>
                <w:rFonts w:hint="default" w:ascii="Times New Roman" w:hAnsi="Times New Roman" w:eastAsia="仿宋_GB2312" w:cs="Times New Roman"/>
                <w:kern w:val="32"/>
                <w:sz w:val="28"/>
                <w:szCs w:val="28"/>
                <w:lang w:val="en-US" w:eastAsia="zh-CN"/>
              </w:rPr>
              <w:t>实际到账外资31204万美元，同比增长13.1%</w:t>
            </w:r>
            <w:r>
              <w:rPr>
                <w:rFonts w:hint="default" w:ascii="Times New Roman" w:hAnsi="Times New Roman" w:eastAsia="仿宋_GB2312" w:cs="Times New Roman"/>
                <w:kern w:val="32"/>
                <w:sz w:val="28"/>
                <w:szCs w:val="28"/>
                <w:lang w:val="en-US" w:eastAsia="zh-Hans"/>
              </w:rPr>
              <w:t>。</w:t>
            </w:r>
          </w:p>
          <w:p>
            <w:pPr>
              <w:keepNext w:val="0"/>
              <w:keepLines w:val="0"/>
              <w:pageBreakBefore w:val="0"/>
              <w:widowControl/>
              <w:kinsoku/>
              <w:wordWrap/>
              <w:overflowPunct/>
              <w:topLinePunct w:val="0"/>
              <w:autoSpaceDE/>
              <w:autoSpaceDN/>
              <w:bidi w:val="0"/>
              <w:adjustRightInd/>
              <w:snapToGrid/>
              <w:spacing w:line="360" w:lineRule="exact"/>
              <w:ind w:firstLine="560" w:firstLineChars="200"/>
              <w:textAlignment w:val="auto"/>
              <w:rPr>
                <w:rFonts w:hint="default" w:ascii="Times New Roman" w:hAnsi="Times New Roman" w:eastAsia="仿宋_GB2312" w:cs="Times New Roman"/>
                <w:kern w:val="32"/>
                <w:sz w:val="28"/>
                <w:szCs w:val="28"/>
                <w:lang w:val="en-US" w:eastAsia="zh-CN"/>
              </w:rPr>
            </w:pPr>
            <w:r>
              <w:rPr>
                <w:rFonts w:hint="default" w:ascii="Times New Roman" w:hAnsi="Times New Roman" w:eastAsia="仿宋_GB2312" w:cs="Times New Roman"/>
                <w:kern w:val="32"/>
                <w:sz w:val="28"/>
                <w:szCs w:val="28"/>
                <w:lang w:val="en-US" w:eastAsia="zh-Hans"/>
              </w:rPr>
              <w:t>滨江新材料产业园连续</w:t>
            </w:r>
            <w:r>
              <w:rPr>
                <w:rFonts w:hint="default" w:ascii="Times New Roman" w:hAnsi="Times New Roman" w:eastAsia="仿宋_GB2312" w:cs="Times New Roman"/>
                <w:kern w:val="32"/>
                <w:sz w:val="28"/>
                <w:szCs w:val="28"/>
                <w:lang w:val="en-US" w:eastAsia="zh-CN"/>
              </w:rPr>
              <w:t>五</w:t>
            </w:r>
            <w:r>
              <w:rPr>
                <w:rFonts w:hint="default" w:ascii="Times New Roman" w:hAnsi="Times New Roman" w:eastAsia="仿宋_GB2312" w:cs="Times New Roman"/>
                <w:kern w:val="32"/>
                <w:sz w:val="28"/>
                <w:szCs w:val="28"/>
                <w:lang w:val="en-US" w:eastAsia="zh-Hans"/>
              </w:rPr>
              <w:t>年入选“中国化工园区30强”，获</w:t>
            </w:r>
            <w:r>
              <w:rPr>
                <w:rFonts w:hint="default" w:ascii="Times New Roman" w:hAnsi="Times New Roman" w:eastAsia="仿宋_GB2312" w:cs="Times New Roman"/>
                <w:kern w:val="32"/>
                <w:sz w:val="28"/>
                <w:szCs w:val="28"/>
                <w:lang w:val="en-US" w:eastAsia="zh-CN"/>
              </w:rPr>
              <w:t>得</w:t>
            </w:r>
            <w:r>
              <w:rPr>
                <w:rFonts w:hint="default" w:ascii="Times New Roman" w:hAnsi="Times New Roman" w:eastAsia="仿宋_GB2312" w:cs="Times New Roman"/>
                <w:kern w:val="32"/>
                <w:sz w:val="28"/>
                <w:szCs w:val="28"/>
                <w:lang w:val="en-US" w:eastAsia="zh-Hans"/>
              </w:rPr>
              <w:t>全国绿色化工园区、中国智慧化工园区试点示范（创建单位）</w:t>
            </w:r>
            <w:r>
              <w:rPr>
                <w:rFonts w:hint="default" w:ascii="Times New Roman" w:hAnsi="Times New Roman" w:eastAsia="仿宋_GB2312" w:cs="Times New Roman"/>
                <w:kern w:val="32"/>
                <w:sz w:val="28"/>
                <w:szCs w:val="28"/>
                <w:lang w:val="en-US" w:eastAsia="zh-CN"/>
              </w:rPr>
              <w:t>、</w:t>
            </w:r>
            <w:r>
              <w:rPr>
                <w:rFonts w:hint="default" w:ascii="Times New Roman" w:hAnsi="Times New Roman" w:eastAsia="仿宋_GB2312" w:cs="Times New Roman"/>
                <w:kern w:val="32"/>
                <w:sz w:val="28"/>
                <w:szCs w:val="28"/>
                <w:lang w:val="en-US" w:eastAsia="zh-Hans"/>
              </w:rPr>
              <w:t>中国（江苏）自由贸易试验区联动创新发展区</w:t>
            </w:r>
            <w:r>
              <w:rPr>
                <w:rFonts w:hint="default" w:ascii="Times New Roman" w:hAnsi="Times New Roman" w:eastAsia="仿宋_GB2312" w:cs="Times New Roman"/>
                <w:kern w:val="32"/>
                <w:sz w:val="28"/>
                <w:szCs w:val="28"/>
                <w:lang w:val="en-US" w:eastAsia="zh-CN"/>
              </w:rPr>
              <w:t>、</w:t>
            </w:r>
            <w:r>
              <w:rPr>
                <w:rFonts w:hint="default" w:ascii="Times New Roman" w:hAnsi="Times New Roman" w:eastAsia="仿宋_GB2312" w:cs="Times New Roman"/>
                <w:kern w:val="32"/>
                <w:sz w:val="28"/>
                <w:szCs w:val="28"/>
                <w:lang w:val="en-US" w:eastAsia="zh-Hans"/>
              </w:rPr>
              <w:t>国家国际科技合作基地</w:t>
            </w:r>
            <w:r>
              <w:rPr>
                <w:rFonts w:hint="default" w:ascii="Times New Roman" w:hAnsi="Times New Roman" w:eastAsia="仿宋_GB2312" w:cs="Times New Roman"/>
                <w:kern w:val="32"/>
                <w:sz w:val="28"/>
                <w:szCs w:val="28"/>
                <w:lang w:val="en-US" w:eastAsia="zh-CN"/>
              </w:rPr>
              <w:t>、国家火炬碳纤维及复合材料特色产业基地、江苏省碳纤维及复合材料创新型产业集群、江苏省两业深度融合试点园区、江苏省一体化示范园区等荣誉称号，</w:t>
            </w:r>
            <w:r>
              <w:rPr>
                <w:rFonts w:hint="default" w:ascii="Times New Roman" w:hAnsi="Times New Roman" w:eastAsia="仿宋_GB2312" w:cs="Times New Roman"/>
                <w:kern w:val="32"/>
                <w:sz w:val="28"/>
                <w:szCs w:val="28"/>
                <w:lang w:val="en-US" w:eastAsia="zh-Hans"/>
              </w:rPr>
              <w:t>综合实力跃升至全省省级经济开发区第</w:t>
            </w:r>
            <w:r>
              <w:rPr>
                <w:rFonts w:hint="default" w:ascii="Times New Roman" w:hAnsi="Times New Roman" w:eastAsia="仿宋_GB2312" w:cs="Times New Roman"/>
                <w:kern w:val="32"/>
                <w:sz w:val="28"/>
                <w:szCs w:val="28"/>
                <w:lang w:val="en-US" w:eastAsia="zh-CN"/>
              </w:rPr>
              <w:t>24</w:t>
            </w:r>
            <w:r>
              <w:rPr>
                <w:rFonts w:hint="default" w:ascii="Times New Roman" w:hAnsi="Times New Roman" w:eastAsia="仿宋_GB2312" w:cs="Times New Roman"/>
                <w:kern w:val="32"/>
                <w:sz w:val="28"/>
                <w:szCs w:val="28"/>
                <w:lang w:val="en-US" w:eastAsia="zh-Hans"/>
              </w:rPr>
              <w:t>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0" w:type="pct"/>
            <w:vAlign w:val="center"/>
          </w:tcPr>
          <w:p>
            <w:pPr>
              <w:spacing w:line="540" w:lineRule="exact"/>
              <w:jc w:val="center"/>
              <w:rPr>
                <w:rFonts w:hint="default" w:ascii="Times New Roman" w:hAnsi="Times New Roman" w:eastAsia="仿宋_GB2312" w:cs="Times New Roman"/>
                <w:kern w:val="32"/>
                <w:sz w:val="28"/>
                <w:szCs w:val="28"/>
              </w:rPr>
            </w:pPr>
            <w:r>
              <w:rPr>
                <w:rFonts w:hint="default" w:ascii="Times New Roman" w:hAnsi="Times New Roman" w:eastAsia="仿宋_GB2312" w:cs="Times New Roman"/>
                <w:kern w:val="32"/>
                <w:sz w:val="28"/>
                <w:szCs w:val="28"/>
              </w:rPr>
              <w:t>4</w:t>
            </w:r>
          </w:p>
        </w:tc>
        <w:tc>
          <w:tcPr>
            <w:tcW w:w="533" w:type="pct"/>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kern w:val="32"/>
                <w:sz w:val="28"/>
                <w:szCs w:val="28"/>
                <w:lang w:val="en-US" w:eastAsia="zh-CN"/>
              </w:rPr>
            </w:pPr>
            <w:r>
              <w:rPr>
                <w:rFonts w:hint="default" w:ascii="Times New Roman" w:hAnsi="Times New Roman" w:eastAsia="仿宋_GB2312" w:cs="Times New Roman"/>
                <w:kern w:val="32"/>
                <w:sz w:val="28"/>
                <w:szCs w:val="28"/>
                <w:lang w:val="en-US" w:eastAsia="zh-CN"/>
              </w:rPr>
              <w:t>常州市天宁区科学技术局</w:t>
            </w:r>
          </w:p>
          <w:p>
            <w:pPr>
              <w:keepNext w:val="0"/>
              <w:keepLines w:val="0"/>
              <w:pageBreakBefore w:val="0"/>
              <w:widowControl/>
              <w:kinsoku/>
              <w:wordWrap/>
              <w:overflowPunct/>
              <w:topLinePunct w:val="0"/>
              <w:autoSpaceDE/>
              <w:autoSpaceDN/>
              <w:bidi w:val="0"/>
              <w:adjustRightInd/>
              <w:snapToGrid/>
              <w:spacing w:line="360" w:lineRule="exact"/>
              <w:ind w:firstLine="560" w:firstLineChars="200"/>
              <w:jc w:val="center"/>
              <w:textAlignment w:val="auto"/>
              <w:rPr>
                <w:rFonts w:hint="default" w:ascii="Times New Roman" w:hAnsi="Times New Roman" w:eastAsia="仿宋_GB2312" w:cs="Times New Roman"/>
                <w:kern w:val="32"/>
                <w:sz w:val="28"/>
                <w:szCs w:val="28"/>
                <w:lang w:val="en-US" w:eastAsia="zh-CN"/>
              </w:rPr>
            </w:pPr>
          </w:p>
        </w:tc>
        <w:tc>
          <w:tcPr>
            <w:tcW w:w="1431" w:type="dxa"/>
            <w:vAlign w:val="center"/>
          </w:tcPr>
          <w:p>
            <w:pPr>
              <w:spacing w:line="360" w:lineRule="exact"/>
              <w:ind w:firstLine="0" w:firstLineChars="0"/>
              <w:jc w:val="center"/>
              <w:rPr>
                <w:rFonts w:hint="default" w:ascii="Times New Roman" w:hAnsi="Times New Roman" w:eastAsia="仿宋_GB2312" w:cs="Times New Roman"/>
                <w:kern w:val="32"/>
                <w:sz w:val="28"/>
                <w:szCs w:val="28"/>
                <w:lang w:val="en-US" w:eastAsia="zh-CN"/>
              </w:rPr>
            </w:pPr>
            <w:r>
              <w:rPr>
                <w:rFonts w:hint="default" w:ascii="Times New Roman" w:hAnsi="Times New Roman" w:eastAsia="仿宋_GB2312" w:cs="Times New Roman"/>
                <w:bCs/>
                <w:sz w:val="28"/>
                <w:szCs w:val="28"/>
                <w:lang w:val="en-US" w:eastAsia="zh-CN"/>
              </w:rPr>
              <w:t>党政机关</w:t>
            </w:r>
          </w:p>
        </w:tc>
        <w:tc>
          <w:tcPr>
            <w:tcW w:w="493" w:type="pct"/>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kern w:val="32"/>
                <w:sz w:val="28"/>
                <w:szCs w:val="28"/>
                <w:lang w:val="en-US" w:eastAsia="zh-CN"/>
              </w:rPr>
            </w:pPr>
            <w:r>
              <w:rPr>
                <w:rFonts w:hint="default" w:ascii="Times New Roman" w:hAnsi="Times New Roman" w:eastAsia="仿宋_GB2312" w:cs="Times New Roman"/>
                <w:kern w:val="32"/>
                <w:sz w:val="28"/>
                <w:szCs w:val="28"/>
                <w:lang w:val="en-US" w:eastAsia="zh-CN"/>
              </w:rPr>
              <w:t>正科级</w:t>
            </w:r>
          </w:p>
        </w:tc>
        <w:tc>
          <w:tcPr>
            <w:tcW w:w="3182" w:type="pct"/>
            <w:vAlign w:val="center"/>
          </w:tcPr>
          <w:p>
            <w:pPr>
              <w:keepNext w:val="0"/>
              <w:keepLines w:val="0"/>
              <w:pageBreakBefore w:val="0"/>
              <w:widowControl/>
              <w:kinsoku/>
              <w:wordWrap/>
              <w:overflowPunct/>
              <w:topLinePunct w:val="0"/>
              <w:autoSpaceDE/>
              <w:autoSpaceDN/>
              <w:bidi w:val="0"/>
              <w:adjustRightInd/>
              <w:snapToGrid/>
              <w:spacing w:line="360" w:lineRule="exact"/>
              <w:ind w:firstLine="560" w:firstLineChars="200"/>
              <w:textAlignment w:val="auto"/>
              <w:rPr>
                <w:rFonts w:hint="default" w:ascii="Times New Roman" w:hAnsi="Times New Roman" w:eastAsia="仿宋_GB2312" w:cs="Times New Roman"/>
                <w:kern w:val="32"/>
                <w:sz w:val="28"/>
                <w:szCs w:val="28"/>
                <w:lang w:val="en-US" w:eastAsia="zh-CN"/>
              </w:rPr>
            </w:pPr>
            <w:r>
              <w:rPr>
                <w:rFonts w:hint="default" w:ascii="Times New Roman" w:hAnsi="Times New Roman" w:eastAsia="仿宋_GB2312" w:cs="Times New Roman"/>
                <w:kern w:val="32"/>
                <w:sz w:val="28"/>
                <w:szCs w:val="28"/>
                <w:lang w:val="en-US" w:eastAsia="zh-CN"/>
              </w:rPr>
              <w:t>近年来，天宁区科技局认真践行创新驱动战略，坚定不移把科技创新摆在发展全局核心位置，以省创新型示范市（区）建设为引领，有力推进了科技与产业加速融合、创新与发展高质并举。省级高新区创建加速推进，明确了“锡常协同发展高地、现代生态科技新区”定位，全面发力“一首位三支柱”产业方向，加快构建“一核两带三园”空间布局，向着“两年蓄势强基础、三年起势出成效、五年成势争一流”目标奋进。科技体制改革不断深化，与省产研院开展全面战略合作，联合打造江苏省产业技术研究院（常州天宁）创新综合体，全力推动江苏产研院体系内专业研究所、重大项目等各类创新资源向天宁集聚。省产研院创新服务中心成立以来，共在常州市范围内创建企业联创中心49家，导入高质量科创项目20个，开展技术合作超50次。主体培育取得突破，高新技术企业数从2019年的124家增至323家，实现了四年连续增长，高新技术产业产值占规模以上工业总产值比重达44%。培育省潜在独角兽企业4家、市级瞪羚企业38家。研发投入持续增长，研发投入占GDP比重逐年攀升，企业创新能力显著提升，近3年共组织实施市级以上各类科技项目113项，累计争取上级科技经费达1.32亿元。科创载体不断夯实，新动力创业中心、创业梦工场分别被认定为国家级科技企业孵化器和国家级众创空间，检验检测产业园实现国家级专业型孵化器“零突破”，建成双创载体36家，其中国家级4家，省级19家，孵化总面积达82万平方米，在孵企业900多家。规模以上工业企业研发机构加快建设，创成亚玛顿省重点实验室、仁千电气省级院士工作站、亚玛顿市级企业研究院等重大创新平台8家，航天云网、智能驾驶研究院等新型研发机构5家，各级工程技术研究中心137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90" w:type="pct"/>
            <w:vAlign w:val="center"/>
          </w:tcPr>
          <w:p>
            <w:pPr>
              <w:spacing w:line="540" w:lineRule="exact"/>
              <w:jc w:val="center"/>
              <w:rPr>
                <w:rFonts w:hint="default" w:ascii="Times New Roman" w:hAnsi="Times New Roman" w:eastAsia="仿宋_GB2312" w:cs="Times New Roman"/>
                <w:kern w:val="32"/>
                <w:sz w:val="28"/>
                <w:szCs w:val="28"/>
                <w:lang w:val="en-US" w:eastAsia="zh-CN"/>
              </w:rPr>
            </w:pPr>
            <w:r>
              <w:rPr>
                <w:rFonts w:hint="default" w:ascii="Times New Roman" w:hAnsi="Times New Roman" w:eastAsia="仿宋_GB2312" w:cs="Times New Roman"/>
                <w:kern w:val="32"/>
                <w:sz w:val="28"/>
                <w:szCs w:val="28"/>
                <w:lang w:val="en-US" w:eastAsia="zh-CN"/>
              </w:rPr>
              <w:t>5</w:t>
            </w:r>
          </w:p>
        </w:tc>
        <w:tc>
          <w:tcPr>
            <w:tcW w:w="533" w:type="pct"/>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kern w:val="32"/>
                <w:sz w:val="28"/>
                <w:szCs w:val="28"/>
                <w:lang w:val="en-US" w:eastAsia="zh-CN"/>
              </w:rPr>
            </w:pPr>
            <w:r>
              <w:rPr>
                <w:rFonts w:hint="default" w:ascii="Times New Roman" w:hAnsi="Times New Roman" w:eastAsia="仿宋_GB2312" w:cs="Times New Roman"/>
                <w:kern w:val="32"/>
                <w:sz w:val="28"/>
                <w:szCs w:val="28"/>
                <w:lang w:val="en-US" w:eastAsia="zh-CN"/>
              </w:rPr>
              <w:t>江苏常州钟楼经济开发区管理委员会</w:t>
            </w:r>
          </w:p>
        </w:tc>
        <w:tc>
          <w:tcPr>
            <w:tcW w:w="1431" w:type="dxa"/>
            <w:vAlign w:val="center"/>
          </w:tcPr>
          <w:p>
            <w:pPr>
              <w:spacing w:line="360" w:lineRule="exact"/>
              <w:ind w:firstLine="0" w:firstLineChars="0"/>
              <w:jc w:val="center"/>
              <w:rPr>
                <w:rFonts w:hint="default" w:ascii="Times New Roman" w:hAnsi="Times New Roman" w:eastAsia="仿宋_GB2312" w:cs="Times New Roman"/>
                <w:kern w:val="32"/>
                <w:sz w:val="28"/>
                <w:szCs w:val="28"/>
                <w:lang w:val="en-US" w:eastAsia="zh-CN"/>
              </w:rPr>
            </w:pPr>
            <w:r>
              <w:rPr>
                <w:rFonts w:hint="default" w:ascii="Times New Roman" w:hAnsi="Times New Roman" w:eastAsia="仿宋_GB2312" w:cs="Times New Roman"/>
                <w:bCs/>
                <w:sz w:val="28"/>
                <w:szCs w:val="28"/>
                <w:lang w:val="en-US" w:eastAsia="zh-CN"/>
              </w:rPr>
              <w:t>党政机关</w:t>
            </w:r>
          </w:p>
        </w:tc>
        <w:tc>
          <w:tcPr>
            <w:tcW w:w="493" w:type="pct"/>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kern w:val="32"/>
                <w:sz w:val="28"/>
                <w:szCs w:val="28"/>
                <w:lang w:val="en-US" w:eastAsia="zh-CN"/>
              </w:rPr>
            </w:pPr>
            <w:r>
              <w:rPr>
                <w:rFonts w:hint="default" w:ascii="Times New Roman" w:hAnsi="Times New Roman" w:eastAsia="仿宋_GB2312" w:cs="Times New Roman"/>
                <w:b w:val="0"/>
                <w:bCs/>
                <w:sz w:val="28"/>
                <w:szCs w:val="28"/>
                <w:lang w:val="en-US" w:eastAsia="zh-CN"/>
              </w:rPr>
              <w:t>副处级</w:t>
            </w:r>
          </w:p>
        </w:tc>
        <w:tc>
          <w:tcPr>
            <w:tcW w:w="3182" w:type="pct"/>
            <w:vAlign w:val="center"/>
          </w:tcPr>
          <w:p>
            <w:pPr>
              <w:keepNext w:val="0"/>
              <w:keepLines w:val="0"/>
              <w:pageBreakBefore w:val="0"/>
              <w:widowControl/>
              <w:kinsoku/>
              <w:wordWrap/>
              <w:overflowPunct/>
              <w:topLinePunct w:val="0"/>
              <w:bidi w:val="0"/>
              <w:spacing w:line="360" w:lineRule="exact"/>
              <w:ind w:firstLine="640"/>
              <w:jc w:val="both"/>
              <w:textAlignment w:val="auto"/>
              <w:rPr>
                <w:rFonts w:hint="default" w:ascii="Times New Roman" w:hAnsi="Times New Roman" w:eastAsia="仿宋_GB2312" w:cs="Times New Roman"/>
                <w:kern w:val="32"/>
                <w:sz w:val="28"/>
                <w:szCs w:val="28"/>
                <w:lang w:val="en-US" w:eastAsia="zh-CN"/>
              </w:rPr>
            </w:pPr>
            <w:r>
              <w:rPr>
                <w:rFonts w:hint="default" w:ascii="Times New Roman" w:hAnsi="Times New Roman" w:eastAsia="仿宋_GB2312" w:cs="Times New Roman"/>
                <w:b w:val="0"/>
                <w:bCs/>
                <w:sz w:val="28"/>
                <w:szCs w:val="28"/>
                <w:lang w:eastAsia="zh-CN"/>
              </w:rPr>
              <w:t>钟楼经济开发区始终把创新作为引领发展的第一动力，主动融入常州市“532”发展战略，突出发展主题，立足创新赋能，坚持系统推进，全力推动科技创新工作取得显著成效。一是不断加大科技创新投入。2022年完成规模工业总产值445.93亿元，规模以上工业企业有研发活动企业数109家，规模以上工业企业研发支出16.766亿元，同比增长6.72%。二是研究出台科创惠企政策。为加快科技型中小微企业培育，出台《关于支持企业加快科技创新发展的若干措施》，大力促进科创载体提质增效，为企业加快发明专利申请提供有力支撑。三是大力支持科小企业发展。新增国家级高新技术企业38家，占钟楼区比重超60%；新认定江苏省科技型中小企业160家，江苏省民营科技企业33家，新招引常州市科技型中小企业40家，成功入选省潜在独角兽企业2家，实现零突破，新增省科技企业上市培育计划1家。四是积极引育高端创新人才。成功入选国家海外人才计划2名，江苏省“双创团队”1个，“创新类”人才2名，“创业类”人才1名，“高技能类”人才1名。江苏省“双创博士”1名，常州市“龙城英才”计划顶尖人才1名，创业人才16名，创新人才5名。五是持续推进科创平台建设。2家企业入选江苏省工程技术研究中心，1家企业创建了江苏省联合创新中心，5家企业入选常州市工程技术研究中心。六是支持培育企业创新要素。龙冶节能获全国冶金科学技术一等奖；中海油获省科学技术奖一等奖，精研科技、微亿智造获三等奖，创历史最佳；3个企业项目获省科技项目立项，14个企业项目获市科技计划项目立项；艾创空间创成国家级众创空间，新博智汇谷获国家级孵化器评A；常州大数据产业园获评市级孵化器、科创综合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8" w:hRule="atLeast"/>
        </w:trPr>
        <w:tc>
          <w:tcPr>
            <w:tcW w:w="290" w:type="pct"/>
            <w:vAlign w:val="center"/>
          </w:tcPr>
          <w:p>
            <w:pPr>
              <w:spacing w:line="540" w:lineRule="exact"/>
              <w:jc w:val="center"/>
              <w:rPr>
                <w:rFonts w:hint="default" w:ascii="Times New Roman" w:hAnsi="Times New Roman" w:eastAsia="仿宋_GB2312" w:cs="Times New Roman"/>
                <w:kern w:val="32"/>
                <w:sz w:val="28"/>
                <w:szCs w:val="28"/>
                <w:lang w:val="en-US" w:eastAsia="zh-CN"/>
              </w:rPr>
            </w:pPr>
            <w:r>
              <w:rPr>
                <w:rFonts w:hint="default" w:ascii="Times New Roman" w:hAnsi="Times New Roman" w:eastAsia="仿宋_GB2312" w:cs="Times New Roman"/>
                <w:kern w:val="32"/>
                <w:sz w:val="28"/>
                <w:szCs w:val="28"/>
                <w:lang w:val="en-US" w:eastAsia="zh-CN"/>
              </w:rPr>
              <w:t>6</w:t>
            </w:r>
          </w:p>
        </w:tc>
        <w:tc>
          <w:tcPr>
            <w:tcW w:w="533" w:type="pct"/>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kern w:val="32"/>
                <w:sz w:val="28"/>
                <w:szCs w:val="28"/>
                <w:lang w:val="en-US" w:eastAsia="zh-CN"/>
              </w:rPr>
            </w:pPr>
            <w:r>
              <w:rPr>
                <w:rFonts w:hint="default" w:ascii="Times New Roman" w:hAnsi="Times New Roman" w:eastAsia="仿宋_GB2312" w:cs="Times New Roman"/>
                <w:kern w:val="32"/>
                <w:sz w:val="28"/>
                <w:szCs w:val="28"/>
                <w:lang w:val="en-US" w:eastAsia="zh-CN"/>
              </w:rPr>
              <w:t>中国机械总院集团江苏分院有限公司</w:t>
            </w:r>
          </w:p>
        </w:tc>
        <w:tc>
          <w:tcPr>
            <w:tcW w:w="499" w:type="pct"/>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kern w:val="32"/>
                <w:sz w:val="28"/>
                <w:szCs w:val="28"/>
                <w:lang w:val="en-US" w:eastAsia="zh-CN"/>
              </w:rPr>
            </w:pPr>
            <w:r>
              <w:rPr>
                <w:rFonts w:hint="default" w:ascii="Times New Roman" w:hAnsi="Times New Roman" w:eastAsia="仿宋_GB2312" w:cs="Times New Roman"/>
                <w:kern w:val="32"/>
                <w:sz w:val="28"/>
                <w:szCs w:val="28"/>
                <w:lang w:val="en-US" w:eastAsia="zh-CN"/>
              </w:rPr>
              <w:t>科研院所</w:t>
            </w:r>
          </w:p>
        </w:tc>
        <w:tc>
          <w:tcPr>
            <w:tcW w:w="493" w:type="pct"/>
            <w:vAlign w:val="center"/>
          </w:tcPr>
          <w:p>
            <w:pPr>
              <w:keepNext w:val="0"/>
              <w:keepLines w:val="0"/>
              <w:pageBreakBefore w:val="0"/>
              <w:widowControl/>
              <w:kinsoku/>
              <w:wordWrap/>
              <w:overflowPunct/>
              <w:topLinePunct w:val="0"/>
              <w:bidi w:val="0"/>
              <w:spacing w:line="360" w:lineRule="exact"/>
              <w:ind w:firstLine="640"/>
              <w:jc w:val="both"/>
              <w:textAlignment w:val="auto"/>
              <w:rPr>
                <w:rFonts w:hint="default" w:ascii="Times New Roman" w:hAnsi="Times New Roman" w:eastAsia="仿宋_GB2312" w:cs="Times New Roman"/>
                <w:b w:val="0"/>
                <w:bCs/>
                <w:sz w:val="28"/>
                <w:szCs w:val="28"/>
                <w:lang w:val="en-US" w:eastAsia="zh-CN"/>
              </w:rPr>
            </w:pPr>
          </w:p>
        </w:tc>
        <w:tc>
          <w:tcPr>
            <w:tcW w:w="3182" w:type="pct"/>
            <w:vAlign w:val="center"/>
          </w:tcPr>
          <w:p>
            <w:pPr>
              <w:keepNext w:val="0"/>
              <w:keepLines w:val="0"/>
              <w:pageBreakBefore w:val="0"/>
              <w:widowControl/>
              <w:kinsoku/>
              <w:wordWrap/>
              <w:overflowPunct/>
              <w:topLinePunct w:val="0"/>
              <w:bidi w:val="0"/>
              <w:spacing w:line="360" w:lineRule="exact"/>
              <w:ind w:firstLine="640"/>
              <w:jc w:val="both"/>
              <w:textAlignment w:val="auto"/>
              <w:rPr>
                <w:rFonts w:hint="default" w:ascii="Times New Roman" w:hAnsi="Times New Roman" w:eastAsia="仿宋_GB2312" w:cs="Times New Roman"/>
                <w:b w:val="0"/>
                <w:bCs/>
                <w:sz w:val="28"/>
                <w:szCs w:val="28"/>
                <w:lang w:eastAsia="zh-CN"/>
              </w:rPr>
            </w:pPr>
            <w:r>
              <w:rPr>
                <w:rFonts w:hint="default" w:ascii="Times New Roman" w:hAnsi="Times New Roman" w:eastAsia="仿宋_GB2312" w:cs="Times New Roman"/>
                <w:b w:val="0"/>
                <w:bCs/>
                <w:sz w:val="28"/>
                <w:szCs w:val="28"/>
                <w:lang w:eastAsia="zh-CN"/>
              </w:rPr>
              <w:t>该公司隶属于中国机械科学研究总院集团，是</w:t>
            </w:r>
            <w:r>
              <w:rPr>
                <w:rFonts w:hint="eastAsia" w:ascii="Times New Roman" w:hAnsi="Times New Roman" w:eastAsia="仿宋_GB2312" w:cs="Times New Roman"/>
                <w:b w:val="0"/>
                <w:bCs/>
                <w:sz w:val="28"/>
                <w:szCs w:val="28"/>
                <w:lang w:eastAsia="zh-CN"/>
              </w:rPr>
              <w:t>江苏</w:t>
            </w:r>
            <w:r>
              <w:rPr>
                <w:rFonts w:hint="default" w:ascii="Times New Roman" w:hAnsi="Times New Roman" w:eastAsia="仿宋_GB2312" w:cs="Times New Roman"/>
                <w:b w:val="0"/>
                <w:bCs/>
                <w:sz w:val="28"/>
                <w:szCs w:val="28"/>
                <w:lang w:eastAsia="zh-CN"/>
              </w:rPr>
              <w:t>省科技厅认定的新型研发机构、研发型企业建设单位，是苏南自创区“瞪羚”企业，</w:t>
            </w:r>
            <w:r>
              <w:rPr>
                <w:rFonts w:hint="eastAsia" w:ascii="Times New Roman" w:hAnsi="Times New Roman" w:eastAsia="仿宋_GB2312" w:cs="Times New Roman"/>
                <w:b w:val="0"/>
                <w:bCs/>
                <w:sz w:val="28"/>
                <w:szCs w:val="28"/>
                <w:lang w:eastAsia="zh-CN"/>
              </w:rPr>
              <w:t>共</w:t>
            </w:r>
            <w:r>
              <w:rPr>
                <w:rFonts w:hint="default" w:ascii="Times New Roman" w:hAnsi="Times New Roman" w:eastAsia="仿宋_GB2312" w:cs="Times New Roman"/>
                <w:b w:val="0"/>
                <w:bCs/>
                <w:sz w:val="28"/>
                <w:szCs w:val="28"/>
                <w:lang w:eastAsia="zh-CN"/>
              </w:rPr>
              <w:t>建设运行6个省部级创新平台、4个市级创新平台，为500余家企业提供装备、生产线、关键零部件设计、制造服务</w:t>
            </w:r>
            <w:r>
              <w:rPr>
                <w:rFonts w:hint="eastAsia" w:ascii="Times New Roman" w:hAnsi="Times New Roman" w:eastAsia="仿宋_GB2312" w:cs="Times New Roman"/>
                <w:b w:val="0"/>
                <w:bCs/>
                <w:sz w:val="28"/>
                <w:szCs w:val="28"/>
                <w:lang w:eastAsia="zh-CN"/>
              </w:rPr>
              <w:t>。公司先后</w:t>
            </w:r>
            <w:r>
              <w:rPr>
                <w:rFonts w:hint="default" w:ascii="Times New Roman" w:hAnsi="Times New Roman" w:eastAsia="仿宋_GB2312" w:cs="Times New Roman"/>
                <w:b w:val="0"/>
                <w:bCs/>
                <w:sz w:val="28"/>
                <w:szCs w:val="28"/>
                <w:lang w:eastAsia="zh-CN"/>
              </w:rPr>
              <w:t>承担恒立、今创、亚玛顿等一批企业委托智能装备专项开发任务，协助企业获批国拨政府科研经费近5亿元，取得了良好的经济和社会效益。针对新材料构件精密加工需求，公司攻克</w:t>
            </w:r>
            <w:r>
              <w:rPr>
                <w:rFonts w:hint="eastAsia" w:ascii="Times New Roman" w:hAnsi="Times New Roman" w:eastAsia="仿宋_GB2312" w:cs="Times New Roman"/>
                <w:b w:val="0"/>
                <w:bCs/>
                <w:sz w:val="28"/>
                <w:szCs w:val="28"/>
                <w:lang w:eastAsia="zh-CN"/>
              </w:rPr>
              <w:t>了</w:t>
            </w:r>
            <w:r>
              <w:rPr>
                <w:rFonts w:hint="default" w:ascii="Times New Roman" w:hAnsi="Times New Roman" w:eastAsia="仿宋_GB2312" w:cs="Times New Roman"/>
                <w:b w:val="0"/>
                <w:bCs/>
                <w:sz w:val="28"/>
                <w:szCs w:val="28"/>
                <w:lang w:eastAsia="zh-CN"/>
              </w:rPr>
              <w:t>高功宽频超声振动系统、超声系统与数控系统深度融合等关键技术，在国内率先研制出超声复合加工五轴数控机床</w:t>
            </w:r>
            <w:r>
              <w:rPr>
                <w:rFonts w:hint="eastAsia" w:ascii="Times New Roman" w:hAnsi="Times New Roman" w:eastAsia="仿宋_GB2312" w:cs="Times New Roman"/>
                <w:b w:val="0"/>
                <w:bCs/>
                <w:sz w:val="28"/>
                <w:szCs w:val="28"/>
                <w:lang w:eastAsia="zh-CN"/>
              </w:rPr>
              <w:t>。近年，</w:t>
            </w:r>
            <w:r>
              <w:rPr>
                <w:rFonts w:hint="default" w:ascii="Times New Roman" w:hAnsi="Times New Roman" w:eastAsia="仿宋_GB2312" w:cs="Times New Roman"/>
                <w:b w:val="0"/>
                <w:bCs/>
                <w:sz w:val="28"/>
                <w:szCs w:val="28"/>
                <w:lang w:eastAsia="zh-CN"/>
              </w:rPr>
              <w:t>公司围绕工业母机方向，投资1.6亿元筹建“超声复合加工数控机床研发及产业基地”。</w:t>
            </w:r>
          </w:p>
          <w:p>
            <w:pPr>
              <w:keepNext w:val="0"/>
              <w:keepLines w:val="0"/>
              <w:pageBreakBefore w:val="0"/>
              <w:widowControl/>
              <w:kinsoku/>
              <w:wordWrap/>
              <w:overflowPunct/>
              <w:topLinePunct w:val="0"/>
              <w:bidi w:val="0"/>
              <w:spacing w:line="360" w:lineRule="exact"/>
              <w:ind w:firstLine="640"/>
              <w:jc w:val="both"/>
              <w:textAlignment w:val="auto"/>
              <w:rPr>
                <w:rFonts w:hint="default" w:ascii="Times New Roman" w:hAnsi="Times New Roman" w:eastAsia="仿宋_GB2312" w:cs="Times New Roman"/>
                <w:b w:val="0"/>
                <w:bCs/>
                <w:sz w:val="28"/>
                <w:szCs w:val="28"/>
                <w:lang w:eastAsia="zh-CN"/>
              </w:rPr>
            </w:pPr>
            <w:r>
              <w:rPr>
                <w:rFonts w:hint="default" w:ascii="Times New Roman" w:hAnsi="Times New Roman" w:eastAsia="仿宋_GB2312" w:cs="Times New Roman"/>
                <w:b w:val="0"/>
                <w:bCs/>
                <w:sz w:val="28"/>
                <w:szCs w:val="28"/>
                <w:lang w:eastAsia="zh-CN"/>
              </w:rPr>
              <w:t>2022年公司获批江苏省专精特新中小企业、入选江苏省中小企业公共服务示范平台</w:t>
            </w:r>
            <w:r>
              <w:rPr>
                <w:rFonts w:hint="eastAsia" w:ascii="Times New Roman" w:hAnsi="Times New Roman" w:eastAsia="仿宋_GB2312" w:cs="Times New Roman"/>
                <w:b w:val="0"/>
                <w:bCs/>
                <w:sz w:val="28"/>
                <w:szCs w:val="28"/>
                <w:lang w:eastAsia="zh-CN"/>
              </w:rPr>
              <w:t>，</w:t>
            </w:r>
            <w:r>
              <w:rPr>
                <w:rFonts w:hint="default" w:ascii="Times New Roman" w:hAnsi="Times New Roman" w:eastAsia="仿宋_GB2312" w:cs="Times New Roman"/>
                <w:b w:val="0"/>
                <w:bCs/>
                <w:sz w:val="28"/>
                <w:szCs w:val="28"/>
                <w:lang w:eastAsia="zh-CN"/>
              </w:rPr>
              <w:t>入选常州市、南通市、泰州市等8个地区“智改数转”服务商资源池-系统解决方案服务商</w:t>
            </w:r>
            <w:r>
              <w:rPr>
                <w:rFonts w:hint="eastAsia" w:ascii="Times New Roman" w:hAnsi="Times New Roman" w:eastAsia="仿宋_GB2312" w:cs="Times New Roman"/>
                <w:b w:val="0"/>
                <w:bCs/>
                <w:sz w:val="28"/>
                <w:szCs w:val="28"/>
                <w:lang w:eastAsia="zh-CN"/>
              </w:rPr>
              <w:t>。</w:t>
            </w:r>
          </w:p>
          <w:p>
            <w:pPr>
              <w:keepNext w:val="0"/>
              <w:keepLines w:val="0"/>
              <w:pageBreakBefore w:val="0"/>
              <w:widowControl/>
              <w:kinsoku/>
              <w:wordWrap/>
              <w:overflowPunct/>
              <w:topLinePunct w:val="0"/>
              <w:bidi w:val="0"/>
              <w:spacing w:line="360" w:lineRule="exact"/>
              <w:ind w:firstLine="640"/>
              <w:jc w:val="both"/>
              <w:textAlignment w:val="auto"/>
              <w:rPr>
                <w:rFonts w:hint="default" w:ascii="Times New Roman" w:hAnsi="Times New Roman" w:eastAsia="仿宋_GB2312" w:cs="Times New Roman"/>
                <w:b w:val="0"/>
                <w:bCs/>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0" w:type="pct"/>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kern w:val="32"/>
                <w:sz w:val="28"/>
                <w:szCs w:val="28"/>
                <w:lang w:val="en-US" w:eastAsia="zh-CN"/>
              </w:rPr>
            </w:pPr>
            <w:r>
              <w:rPr>
                <w:rFonts w:hint="default" w:ascii="Times New Roman" w:hAnsi="Times New Roman" w:eastAsia="仿宋_GB2312" w:cs="Times New Roman"/>
                <w:kern w:val="32"/>
                <w:sz w:val="28"/>
                <w:szCs w:val="28"/>
                <w:lang w:val="en-US" w:eastAsia="zh-CN"/>
              </w:rPr>
              <w:t>7</w:t>
            </w:r>
          </w:p>
        </w:tc>
        <w:tc>
          <w:tcPr>
            <w:tcW w:w="533" w:type="pct"/>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sz w:val="28"/>
                <w:szCs w:val="28"/>
                <w:lang w:val="en-US" w:eastAsia="zh-CN"/>
              </w:rPr>
            </w:pPr>
            <w:r>
              <w:rPr>
                <w:rFonts w:hint="default" w:ascii="Times New Roman" w:hAnsi="Times New Roman" w:eastAsia="仿宋_GB2312" w:cs="Times New Roman"/>
                <w:b w:val="0"/>
                <w:bCs/>
                <w:sz w:val="28"/>
                <w:szCs w:val="28"/>
                <w:lang w:val="en-US" w:eastAsia="zh-CN"/>
              </w:rPr>
              <w:t>江苏理工学院科学技术处</w:t>
            </w:r>
          </w:p>
        </w:tc>
        <w:tc>
          <w:tcPr>
            <w:tcW w:w="499" w:type="pct"/>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sz w:val="28"/>
                <w:szCs w:val="28"/>
                <w:lang w:val="en-US" w:eastAsia="zh-CN"/>
              </w:rPr>
            </w:pPr>
            <w:r>
              <w:rPr>
                <w:rFonts w:hint="default" w:ascii="Times New Roman" w:hAnsi="Times New Roman" w:eastAsia="仿宋_GB2312" w:cs="Times New Roman"/>
                <w:b w:val="0"/>
                <w:bCs/>
                <w:sz w:val="28"/>
                <w:szCs w:val="28"/>
                <w:lang w:val="en-US" w:eastAsia="zh-CN"/>
              </w:rPr>
              <w:t>高等院校</w:t>
            </w:r>
          </w:p>
        </w:tc>
        <w:tc>
          <w:tcPr>
            <w:tcW w:w="493" w:type="pct"/>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kern w:val="32"/>
                <w:sz w:val="28"/>
                <w:szCs w:val="28"/>
                <w:lang w:val="en-US" w:eastAsia="zh-CN"/>
              </w:rPr>
            </w:pPr>
            <w:r>
              <w:rPr>
                <w:rFonts w:hint="default" w:ascii="Times New Roman" w:hAnsi="Times New Roman" w:eastAsia="仿宋_GB2312" w:cs="Times New Roman"/>
                <w:b w:val="0"/>
                <w:bCs/>
                <w:sz w:val="28"/>
                <w:szCs w:val="28"/>
                <w:lang w:val="en-US" w:eastAsia="zh-CN"/>
              </w:rPr>
              <w:t>正处级</w:t>
            </w:r>
          </w:p>
        </w:tc>
        <w:tc>
          <w:tcPr>
            <w:tcW w:w="3182" w:type="pct"/>
            <w:vAlign w:val="center"/>
          </w:tcPr>
          <w:p>
            <w:pPr>
              <w:keepNext w:val="0"/>
              <w:keepLines w:val="0"/>
              <w:pageBreakBefore w:val="0"/>
              <w:widowControl/>
              <w:kinsoku/>
              <w:wordWrap/>
              <w:overflowPunct/>
              <w:topLinePunct w:val="0"/>
              <w:bidi w:val="0"/>
              <w:spacing w:line="360" w:lineRule="exact"/>
              <w:ind w:firstLine="560" w:firstLineChars="200"/>
              <w:jc w:val="both"/>
              <w:textAlignment w:val="auto"/>
              <w:rPr>
                <w:rFonts w:hint="default" w:ascii="Times New Roman" w:hAnsi="Times New Roman" w:eastAsia="仿宋_GB2312" w:cs="Times New Roman"/>
                <w:kern w:val="32"/>
                <w:sz w:val="28"/>
                <w:szCs w:val="28"/>
                <w:lang w:val="en-US" w:eastAsia="zh-CN"/>
              </w:rPr>
            </w:pPr>
            <w:r>
              <w:rPr>
                <w:rFonts w:hint="default" w:ascii="Times New Roman" w:hAnsi="Times New Roman" w:eastAsia="仿宋_GB2312" w:cs="Times New Roman"/>
                <w:b w:val="0"/>
                <w:bCs/>
                <w:sz w:val="28"/>
                <w:szCs w:val="28"/>
                <w:lang w:val="en-US" w:eastAsia="zh-CN"/>
              </w:rPr>
              <w:t>近年来，江苏理工学院科学技术处紧密结合国家发展战略和常州区域发展优势，不断完善科技创新体系，探索新模式新机制，提升学校科研创新水平，助推地方高质量发展。一是优化科研评价体系，推进有组织可持续科研。突出团队科研，加大对国家及省部级重大（重点）专项、重大横向项目培育力度。取消依据SCI论文直接奖励，注重论文的创新质量和服务贡献。取消对专利申请代理费用的资助，加快高价值专利转移转化。加大对高级别项目、成果和平台的分值贡献度及重大奖项的奖励力度。二是打造高层次专项平台，强化成果快速转移转化。依托江苏省知识产权局高价值专利培育重大专项和省专利转化专项，组建校级高价值专利培育团队，打造高价值专利培育与转化平台，构建成果转移转化新模式。三是强化校地企深度融合，助推地方高质量发展。成立高水平科技创新团队与常州高端装备制造、新能源、新材料等领域企业通过联合共建研究院、签订全面战略合作协议等方式，在关键技术攻关、高层次项目和平台申报、成果转移转化等方面深度合作。四是完善科技创新体系，激发教师创新活力。通过布局学科平台建设、释放科技团队潜力、加快科研项目培育、推动科技成果转化以及加强产业基地建设等措施，完善“学科平台-科技团队-科研项目-成果转化-产业基地”科技创新体系。五是打造大型科学仪器开放平台，创新资源共享模式。依托“江苏省大型科学仪器开放实验室”平台（该项目2019年首次启动，全省仅5所高校获批），以“与第三方共建分析检测（环境与材料分析实验室）、承接教育培训（新能源汽车性能实验室）、产学研牵引（高端装备成形及加工实验室）和助力科研攻关（生物医药工程实验室）”的四大实验室为抓手，推动科学仪器资源开放共享机制创新。</w:t>
            </w:r>
          </w:p>
        </w:tc>
      </w:tr>
    </w:tbl>
    <w:p>
      <w:pPr>
        <w:spacing w:line="540" w:lineRule="exact"/>
        <w:rPr>
          <w:rFonts w:hint="default" w:ascii="Times New Roman" w:hAnsi="Times New Roman" w:eastAsia="黑体" w:cs="Times New Roman"/>
          <w:kern w:val="32"/>
          <w:sz w:val="28"/>
          <w:szCs w:val="28"/>
        </w:rPr>
      </w:pPr>
      <w:r>
        <w:rPr>
          <w:rFonts w:hint="default" w:ascii="Times New Roman" w:hAnsi="Times New Roman" w:eastAsia="黑体" w:cs="Times New Roman"/>
          <w:kern w:val="32"/>
          <w:sz w:val="28"/>
          <w:szCs w:val="28"/>
        </w:rPr>
        <w:t>附件2</w:t>
      </w:r>
    </w:p>
    <w:p>
      <w:pPr>
        <w:spacing w:line="540" w:lineRule="exact"/>
        <w:jc w:val="center"/>
        <w:rPr>
          <w:rFonts w:hint="default" w:ascii="Times New Roman" w:hAnsi="Times New Roman" w:eastAsia="方正小标宋简体" w:cs="Times New Roman"/>
          <w:kern w:val="32"/>
          <w:sz w:val="32"/>
          <w:szCs w:val="32"/>
        </w:rPr>
      </w:pPr>
      <w:r>
        <w:rPr>
          <w:rFonts w:hint="default" w:ascii="Times New Roman" w:hAnsi="Times New Roman" w:eastAsia="方正小标宋简体" w:cs="Times New Roman"/>
          <w:kern w:val="32"/>
          <w:sz w:val="32"/>
          <w:szCs w:val="32"/>
        </w:rPr>
        <w:t>江苏省科技创新发展优秀企业</w:t>
      </w:r>
      <w:r>
        <w:rPr>
          <w:rFonts w:hint="default" w:ascii="Times New Roman" w:hAnsi="Times New Roman" w:eastAsia="方正小标宋简体" w:cs="Times New Roman"/>
          <w:kern w:val="32"/>
          <w:sz w:val="32"/>
          <w:szCs w:val="32"/>
          <w:lang w:eastAsia="zh-CN"/>
        </w:rPr>
        <w:t>拟</w:t>
      </w:r>
      <w:r>
        <w:rPr>
          <w:rFonts w:hint="default" w:ascii="Times New Roman" w:hAnsi="Times New Roman" w:eastAsia="方正小标宋简体" w:cs="Times New Roman"/>
          <w:kern w:val="32"/>
          <w:sz w:val="32"/>
          <w:szCs w:val="32"/>
        </w:rPr>
        <w:t>推荐对象汇总表</w:t>
      </w:r>
    </w:p>
    <w:tbl>
      <w:tblPr>
        <w:tblStyle w:val="8"/>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7"/>
        <w:gridCol w:w="1929"/>
        <w:gridCol w:w="114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320" w:type="pct"/>
            <w:vAlign w:val="center"/>
          </w:tcPr>
          <w:p>
            <w:pPr>
              <w:spacing w:line="540" w:lineRule="exact"/>
              <w:jc w:val="center"/>
              <w:rPr>
                <w:rFonts w:hint="default" w:ascii="Times New Roman" w:hAnsi="Times New Roman" w:eastAsia="黑体" w:cs="Times New Roman"/>
                <w:kern w:val="32"/>
                <w:sz w:val="28"/>
                <w:szCs w:val="28"/>
              </w:rPr>
            </w:pPr>
            <w:r>
              <w:rPr>
                <w:rFonts w:hint="default" w:ascii="Times New Roman" w:hAnsi="Times New Roman" w:eastAsia="黑体" w:cs="Times New Roman"/>
                <w:kern w:val="32"/>
                <w:sz w:val="28"/>
                <w:szCs w:val="28"/>
              </w:rPr>
              <w:t>序号</w:t>
            </w:r>
          </w:p>
        </w:tc>
        <w:tc>
          <w:tcPr>
            <w:tcW w:w="673" w:type="pct"/>
            <w:vAlign w:val="center"/>
          </w:tcPr>
          <w:p>
            <w:pPr>
              <w:spacing w:line="540" w:lineRule="exact"/>
              <w:jc w:val="center"/>
              <w:rPr>
                <w:rFonts w:hint="default" w:ascii="Times New Roman" w:hAnsi="Times New Roman" w:eastAsia="黑体" w:cs="Times New Roman"/>
                <w:kern w:val="32"/>
                <w:sz w:val="28"/>
                <w:szCs w:val="28"/>
              </w:rPr>
            </w:pPr>
            <w:r>
              <w:rPr>
                <w:rFonts w:hint="default" w:ascii="Times New Roman" w:hAnsi="Times New Roman" w:eastAsia="黑体" w:cs="Times New Roman"/>
                <w:kern w:val="32"/>
                <w:sz w:val="28"/>
                <w:szCs w:val="28"/>
              </w:rPr>
              <w:t>企业名称</w:t>
            </w:r>
          </w:p>
        </w:tc>
        <w:tc>
          <w:tcPr>
            <w:tcW w:w="4006" w:type="pct"/>
            <w:vAlign w:val="center"/>
          </w:tcPr>
          <w:p>
            <w:pPr>
              <w:spacing w:line="540" w:lineRule="exact"/>
              <w:jc w:val="center"/>
              <w:rPr>
                <w:rFonts w:hint="default" w:ascii="Times New Roman" w:hAnsi="Times New Roman" w:eastAsia="黑体" w:cs="Times New Roman"/>
                <w:kern w:val="32"/>
                <w:sz w:val="28"/>
                <w:szCs w:val="28"/>
              </w:rPr>
            </w:pPr>
            <w:r>
              <w:rPr>
                <w:rFonts w:hint="default" w:ascii="Times New Roman" w:hAnsi="Times New Roman" w:eastAsia="黑体" w:cs="Times New Roman"/>
                <w:kern w:val="32"/>
                <w:sz w:val="28"/>
                <w:szCs w:val="28"/>
              </w:rPr>
              <w:t>主要事迹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8" w:hRule="atLeast"/>
        </w:trPr>
        <w:tc>
          <w:tcPr>
            <w:tcW w:w="320" w:type="pct"/>
            <w:vAlign w:val="center"/>
          </w:tcPr>
          <w:p>
            <w:pPr>
              <w:spacing w:line="540" w:lineRule="exact"/>
              <w:jc w:val="center"/>
              <w:rPr>
                <w:rFonts w:hint="default" w:ascii="Times New Roman" w:hAnsi="Times New Roman" w:eastAsia="仿宋_GB2312" w:cs="Times New Roman"/>
                <w:kern w:val="32"/>
                <w:sz w:val="28"/>
                <w:szCs w:val="28"/>
              </w:rPr>
            </w:pPr>
            <w:r>
              <w:rPr>
                <w:rFonts w:hint="default" w:ascii="Times New Roman" w:hAnsi="Times New Roman" w:eastAsia="仿宋_GB2312" w:cs="Times New Roman"/>
                <w:kern w:val="32"/>
                <w:sz w:val="28"/>
                <w:szCs w:val="28"/>
              </w:rPr>
              <w:t>1</w:t>
            </w:r>
          </w:p>
        </w:tc>
        <w:tc>
          <w:tcPr>
            <w:tcW w:w="673" w:type="pct"/>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sz w:val="28"/>
                <w:szCs w:val="28"/>
                <w:lang w:val="en-US" w:eastAsia="zh-CN"/>
              </w:rPr>
            </w:pPr>
            <w:r>
              <w:rPr>
                <w:rFonts w:hint="default" w:ascii="Times New Roman" w:hAnsi="Times New Roman" w:eastAsia="仿宋_GB2312" w:cs="Times New Roman"/>
                <w:b w:val="0"/>
                <w:bCs/>
                <w:sz w:val="28"/>
                <w:szCs w:val="28"/>
                <w:lang w:val="en-US" w:eastAsia="zh-CN"/>
              </w:rPr>
              <w:t>江苏上上电缆集团有限公司</w:t>
            </w:r>
          </w:p>
        </w:tc>
        <w:tc>
          <w:tcPr>
            <w:tcW w:w="4006" w:type="pct"/>
            <w:vAlign w:val="center"/>
          </w:tcPr>
          <w:p>
            <w:pPr>
              <w:keepNext w:val="0"/>
              <w:keepLines w:val="0"/>
              <w:pageBreakBefore w:val="0"/>
              <w:widowControl/>
              <w:kinsoku/>
              <w:wordWrap/>
              <w:overflowPunct/>
              <w:topLinePunct w:val="0"/>
              <w:bidi w:val="0"/>
              <w:spacing w:line="360" w:lineRule="exact"/>
              <w:ind w:firstLine="560" w:firstLineChars="200"/>
              <w:jc w:val="both"/>
              <w:textAlignment w:val="auto"/>
              <w:rPr>
                <w:rFonts w:hint="default" w:ascii="Times New Roman" w:hAnsi="Times New Roman" w:eastAsia="仿宋_GB2312" w:cs="Times New Roman"/>
                <w:b w:val="0"/>
                <w:bCs/>
                <w:sz w:val="28"/>
                <w:szCs w:val="28"/>
                <w:lang w:val="en-US" w:eastAsia="zh-CN"/>
              </w:rPr>
            </w:pPr>
            <w:r>
              <w:rPr>
                <w:rFonts w:hint="eastAsia" w:ascii="Times New Roman" w:hAnsi="Times New Roman" w:eastAsia="仿宋_GB2312" w:cs="Times New Roman"/>
                <w:b w:val="0"/>
                <w:bCs/>
                <w:sz w:val="28"/>
                <w:szCs w:val="28"/>
                <w:lang w:val="en-US" w:eastAsia="zh-CN"/>
              </w:rPr>
              <w:t>公司创建于</w:t>
            </w:r>
            <w:r>
              <w:rPr>
                <w:rFonts w:hint="default" w:ascii="Times New Roman" w:hAnsi="Times New Roman" w:eastAsia="仿宋_GB2312" w:cs="Times New Roman"/>
                <w:b w:val="0"/>
                <w:bCs/>
                <w:sz w:val="28"/>
                <w:szCs w:val="28"/>
                <w:lang w:val="en-US" w:eastAsia="zh-CN"/>
              </w:rPr>
              <w:t>1967年，现有员工5026人，研发人员740人，拥有国家认定企业技术中心和博士后科研工作站，获得首届“中国线缆行业最具竞争力企业”</w:t>
            </w:r>
            <w:r>
              <w:rPr>
                <w:rFonts w:hint="eastAsia" w:ascii="Times New Roman" w:hAnsi="Times New Roman" w:eastAsia="仿宋_GB2312" w:cs="Times New Roman"/>
                <w:b w:val="0"/>
                <w:bCs/>
                <w:sz w:val="28"/>
                <w:szCs w:val="28"/>
                <w:lang w:val="en-US" w:eastAsia="zh-CN"/>
              </w:rPr>
              <w:t>排名</w:t>
            </w:r>
            <w:r>
              <w:rPr>
                <w:rFonts w:hint="default" w:ascii="Times New Roman" w:hAnsi="Times New Roman" w:eastAsia="仿宋_GB2312" w:cs="Times New Roman"/>
                <w:b w:val="0"/>
                <w:bCs/>
                <w:sz w:val="28"/>
                <w:szCs w:val="28"/>
                <w:lang w:val="en-US" w:eastAsia="zh-CN"/>
              </w:rPr>
              <w:t>第一名，全球绝缘线缆企业规模排名中国第一，全球第七。荣获“中国工业大奖”，连续三届荣获“中国质量奖提名奖”。 2022年实现销售收入303亿元。全资子公司江苏上上电缆集团新材料有限公司2021年被认定为高新技术企业。</w:t>
            </w:r>
          </w:p>
          <w:p>
            <w:pPr>
              <w:keepNext w:val="0"/>
              <w:keepLines w:val="0"/>
              <w:pageBreakBefore w:val="0"/>
              <w:widowControl/>
              <w:kinsoku/>
              <w:wordWrap/>
              <w:overflowPunct/>
              <w:topLinePunct w:val="0"/>
              <w:bidi w:val="0"/>
              <w:spacing w:line="360" w:lineRule="exact"/>
              <w:ind w:firstLine="560" w:firstLineChars="200"/>
              <w:jc w:val="both"/>
              <w:textAlignment w:val="auto"/>
              <w:rPr>
                <w:rFonts w:hint="default" w:ascii="Times New Roman" w:hAnsi="Times New Roman" w:eastAsia="仿宋_GB2312" w:cs="Times New Roman"/>
                <w:b w:val="0"/>
                <w:bCs/>
                <w:sz w:val="28"/>
                <w:szCs w:val="28"/>
                <w:lang w:val="en-US" w:eastAsia="zh-CN"/>
              </w:rPr>
            </w:pPr>
            <w:r>
              <w:rPr>
                <w:rFonts w:hint="eastAsia" w:ascii="Times New Roman" w:hAnsi="Times New Roman" w:eastAsia="仿宋_GB2312" w:cs="Times New Roman"/>
                <w:b w:val="0"/>
                <w:bCs/>
                <w:sz w:val="28"/>
                <w:szCs w:val="28"/>
                <w:lang w:val="en-US" w:eastAsia="zh-CN"/>
              </w:rPr>
              <w:t>企业专注于电线电缆产品的研发、制造和服务，产品涉及新能源、输配电、海工及船舶、建筑工程、矿用、工业制造、轨道交通、汽车、机场等领域。近三年研发经费投入均超过销售收入的</w:t>
            </w:r>
            <w:r>
              <w:rPr>
                <w:rFonts w:hint="default" w:ascii="Times New Roman" w:hAnsi="Times New Roman" w:eastAsia="仿宋_GB2312" w:cs="Times New Roman"/>
                <w:b w:val="0"/>
                <w:bCs/>
                <w:sz w:val="28"/>
                <w:szCs w:val="28"/>
                <w:lang w:val="en-US" w:eastAsia="zh-CN"/>
              </w:rPr>
              <w:t>3%。科技创新硕果累累，获得省部级科技进步奖19次，100项产品被认定为国家级和省级高新技术产品，拥有国家专利328件，当选“国家技术创新示范企业” “国家知识产权优势企业” “江苏省创新型领军企业” “江苏省百强创新型企业”等。</w:t>
            </w:r>
          </w:p>
          <w:p>
            <w:pPr>
              <w:keepNext w:val="0"/>
              <w:keepLines w:val="0"/>
              <w:pageBreakBefore w:val="0"/>
              <w:widowControl/>
              <w:kinsoku/>
              <w:wordWrap/>
              <w:overflowPunct/>
              <w:topLinePunct w:val="0"/>
              <w:bidi w:val="0"/>
              <w:spacing w:line="360" w:lineRule="exact"/>
              <w:ind w:firstLine="560" w:firstLineChars="200"/>
              <w:jc w:val="both"/>
              <w:textAlignment w:val="auto"/>
              <w:rPr>
                <w:rFonts w:hint="default" w:ascii="Times New Roman" w:hAnsi="Times New Roman" w:eastAsia="仿宋_GB2312" w:cs="Times New Roman"/>
                <w:b w:val="0"/>
                <w:bCs/>
                <w:sz w:val="28"/>
                <w:szCs w:val="28"/>
                <w:lang w:val="en-US" w:eastAsia="zh-CN"/>
              </w:rPr>
            </w:pPr>
            <w:r>
              <w:rPr>
                <w:rFonts w:hint="eastAsia" w:ascii="Times New Roman" w:hAnsi="Times New Roman" w:eastAsia="仿宋_GB2312" w:cs="Times New Roman"/>
                <w:b w:val="0"/>
                <w:bCs/>
                <w:sz w:val="28"/>
                <w:szCs w:val="28"/>
                <w:lang w:val="en-US" w:eastAsia="zh-CN"/>
              </w:rPr>
              <w:t>企业现已具备从</w:t>
            </w:r>
            <w:r>
              <w:rPr>
                <w:rFonts w:hint="default" w:ascii="Times New Roman" w:hAnsi="Times New Roman" w:eastAsia="仿宋_GB2312" w:cs="Times New Roman"/>
                <w:b w:val="0"/>
                <w:bCs/>
                <w:sz w:val="28"/>
                <w:szCs w:val="28"/>
                <w:lang w:val="en-US" w:eastAsia="zh-CN"/>
              </w:rPr>
              <w:t>220伏直至50万伏全系列电力电缆及各类特种电缆的生产能力，年生产能力超400亿元。上上自主研发的核电站用电缆、港口机械用电缆先后荣获“全国制造业单项冠军产品”。三代核电</w:t>
            </w:r>
            <w:r>
              <w:rPr>
                <w:rFonts w:hint="eastAsia" w:ascii="Times New Roman" w:hAnsi="Times New Roman" w:eastAsia="仿宋_GB2312" w:cs="Times New Roman"/>
                <w:b w:val="0"/>
                <w:bCs/>
                <w:sz w:val="28"/>
                <w:szCs w:val="28"/>
                <w:lang w:val="en-US" w:eastAsia="zh-CN"/>
              </w:rPr>
              <w:t>A</w:t>
            </w:r>
            <w:r>
              <w:rPr>
                <w:rFonts w:hint="default" w:ascii="Times New Roman" w:hAnsi="Times New Roman" w:eastAsia="仿宋_GB2312" w:cs="Times New Roman"/>
                <w:b w:val="0"/>
                <w:bCs/>
                <w:sz w:val="28"/>
                <w:szCs w:val="28"/>
                <w:lang w:val="en-US" w:eastAsia="zh-CN"/>
              </w:rPr>
              <w:t>P1000壳内电缆填补了世界核级电缆领域空白，华龙一号壳内电缆达到国际领先技术水平。与此同时，新能源汽车用电缆、港口机械用卷筒电缆、柔性防火电缆、风能用耐扭电缆、光伏电缆、轨道交通用机车电缆等一大批新型特种电缆引领中国电缆技术进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6" w:hRule="atLeast"/>
        </w:trPr>
        <w:tc>
          <w:tcPr>
            <w:tcW w:w="320" w:type="pct"/>
            <w:vAlign w:val="center"/>
          </w:tcPr>
          <w:p>
            <w:pPr>
              <w:spacing w:line="540" w:lineRule="exact"/>
              <w:jc w:val="center"/>
              <w:rPr>
                <w:rFonts w:hint="default" w:ascii="Times New Roman" w:hAnsi="Times New Roman" w:eastAsia="仿宋_GB2312" w:cs="Times New Roman"/>
                <w:kern w:val="32"/>
                <w:sz w:val="28"/>
                <w:szCs w:val="28"/>
              </w:rPr>
            </w:pPr>
            <w:r>
              <w:rPr>
                <w:rFonts w:hint="default" w:ascii="Times New Roman" w:hAnsi="Times New Roman" w:eastAsia="仿宋_GB2312" w:cs="Times New Roman"/>
                <w:kern w:val="32"/>
                <w:sz w:val="28"/>
                <w:szCs w:val="28"/>
              </w:rPr>
              <w:t>2</w:t>
            </w:r>
          </w:p>
        </w:tc>
        <w:tc>
          <w:tcPr>
            <w:tcW w:w="673" w:type="pct"/>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sz w:val="28"/>
                <w:szCs w:val="28"/>
                <w:lang w:val="en-US" w:eastAsia="zh-CN"/>
              </w:rPr>
            </w:pPr>
            <w:r>
              <w:rPr>
                <w:rFonts w:hint="default" w:ascii="Times New Roman" w:hAnsi="Times New Roman" w:eastAsia="仿宋_GB2312" w:cs="Times New Roman"/>
                <w:b w:val="0"/>
                <w:bCs/>
                <w:sz w:val="28"/>
                <w:szCs w:val="28"/>
                <w:lang w:val="en-US" w:eastAsia="zh-CN"/>
              </w:rPr>
              <w:t>中创新航科技股份有限公司</w:t>
            </w:r>
          </w:p>
        </w:tc>
        <w:tc>
          <w:tcPr>
            <w:tcW w:w="4006" w:type="pct"/>
            <w:vAlign w:val="center"/>
          </w:tcPr>
          <w:p>
            <w:pPr>
              <w:keepNext w:val="0"/>
              <w:keepLines w:val="0"/>
              <w:pageBreakBefore w:val="0"/>
              <w:widowControl/>
              <w:kinsoku/>
              <w:wordWrap/>
              <w:overflowPunct/>
              <w:topLinePunct w:val="0"/>
              <w:autoSpaceDE/>
              <w:autoSpaceDN/>
              <w:bidi w:val="0"/>
              <w:adjustRightInd/>
              <w:snapToGrid/>
              <w:spacing w:line="360" w:lineRule="exact"/>
              <w:ind w:firstLine="560" w:firstLineChars="200"/>
              <w:textAlignment w:val="auto"/>
              <w:rPr>
                <w:rFonts w:hint="default" w:ascii="Times New Roman" w:hAnsi="Times New Roman" w:eastAsia="仿宋_GB2312" w:cs="Times New Roman"/>
                <w:b w:val="0"/>
                <w:color w:val="000000"/>
                <w:kern w:val="0"/>
                <w:sz w:val="28"/>
                <w:szCs w:val="28"/>
              </w:rPr>
            </w:pPr>
            <w:r>
              <w:rPr>
                <w:rFonts w:hint="default" w:ascii="Times New Roman" w:hAnsi="Times New Roman" w:eastAsia="仿宋_GB2312" w:cs="Times New Roman"/>
                <w:color w:val="000000"/>
                <w:spacing w:val="0"/>
                <w:kern w:val="0"/>
                <w:sz w:val="28"/>
                <w:szCs w:val="28"/>
                <w:shd w:val="clear" w:color="auto" w:fill="auto"/>
              </w:rPr>
              <w:t>2022年，中创新航7大电池基地+1个材料基地建设速度不断刷新“中创新航速度”和</w:t>
            </w:r>
            <w:r>
              <w:rPr>
                <w:rFonts w:hint="default" w:ascii="Times New Roman" w:hAnsi="Times New Roman" w:eastAsia="仿宋_GB2312" w:cs="Times New Roman"/>
                <w:color w:val="000000"/>
                <w:spacing w:val="0"/>
                <w:kern w:val="0"/>
                <w:sz w:val="28"/>
                <w:szCs w:val="28"/>
                <w:shd w:val="clear" w:color="auto" w:fill="auto"/>
                <w:lang w:eastAsia="zh-CN"/>
              </w:rPr>
              <w:t>行业纪录</w:t>
            </w:r>
            <w:r>
              <w:rPr>
                <w:rFonts w:hint="default" w:ascii="Times New Roman" w:hAnsi="Times New Roman" w:eastAsia="仿宋_GB2312" w:cs="Times New Roman"/>
                <w:color w:val="000000"/>
                <w:spacing w:val="0"/>
                <w:kern w:val="0"/>
                <w:sz w:val="28"/>
                <w:szCs w:val="28"/>
                <w:shd w:val="clear" w:color="auto" w:fill="auto"/>
              </w:rPr>
              <w:t>，实现5个基地新产线的量产交付；同年，中创新航布局了欧洲产业基地，在香港联交所主板上市，正式登陆国际资本市场，开启实施</w:t>
            </w:r>
            <w:r>
              <w:rPr>
                <w:rFonts w:hint="default" w:ascii="Times New Roman" w:hAnsi="Times New Roman" w:eastAsia="仿宋_GB2312" w:cs="Times New Roman"/>
                <w:b w:val="0"/>
                <w:color w:val="000000"/>
                <w:spacing w:val="0"/>
                <w:kern w:val="0"/>
                <w:sz w:val="28"/>
                <w:szCs w:val="28"/>
                <w:shd w:val="clear" w:color="auto" w:fill="auto"/>
              </w:rPr>
              <w:t>国际化战略的新篇章。</w:t>
            </w:r>
          </w:p>
          <w:p>
            <w:pPr>
              <w:keepNext w:val="0"/>
              <w:keepLines w:val="0"/>
              <w:pageBreakBefore w:val="0"/>
              <w:widowControl/>
              <w:kinsoku/>
              <w:wordWrap/>
              <w:overflowPunct/>
              <w:topLinePunct w:val="0"/>
              <w:autoSpaceDE/>
              <w:autoSpaceDN/>
              <w:bidi w:val="0"/>
              <w:adjustRightInd/>
              <w:snapToGrid/>
              <w:spacing w:line="360" w:lineRule="exact"/>
              <w:ind w:firstLine="560" w:firstLineChars="200"/>
              <w:textAlignment w:val="auto"/>
              <w:rPr>
                <w:rFonts w:hint="default" w:ascii="Times New Roman" w:hAnsi="Times New Roman" w:eastAsia="仿宋_GB2312" w:cs="Times New Roman"/>
                <w:color w:val="000000"/>
                <w:spacing w:val="0"/>
                <w:kern w:val="0"/>
                <w:sz w:val="28"/>
                <w:szCs w:val="28"/>
                <w:shd w:val="clear" w:color="auto" w:fill="auto"/>
              </w:rPr>
            </w:pPr>
            <w:r>
              <w:rPr>
                <w:rFonts w:hint="default" w:ascii="Times New Roman" w:hAnsi="Times New Roman" w:eastAsia="仿宋_GB2312" w:cs="Times New Roman"/>
                <w:color w:val="000000"/>
                <w:spacing w:val="0"/>
                <w:kern w:val="0"/>
                <w:sz w:val="28"/>
                <w:szCs w:val="28"/>
                <w:shd w:val="clear" w:color="auto" w:fill="auto"/>
              </w:rPr>
              <w:t>2022年</w:t>
            </w:r>
            <w:r>
              <w:rPr>
                <w:rFonts w:hint="default" w:ascii="Times New Roman" w:hAnsi="Times New Roman" w:eastAsia="仿宋_GB2312" w:cs="Times New Roman"/>
                <w:color w:val="000000"/>
                <w:spacing w:val="0"/>
                <w:kern w:val="0"/>
                <w:sz w:val="28"/>
                <w:szCs w:val="28"/>
                <w:shd w:val="clear" w:color="auto" w:fill="auto"/>
                <w:lang w:eastAsia="zh-CN"/>
              </w:rPr>
              <w:t>，</w:t>
            </w:r>
            <w:r>
              <w:rPr>
                <w:rFonts w:hint="default" w:ascii="Times New Roman" w:hAnsi="Times New Roman" w:eastAsia="仿宋_GB2312" w:cs="Times New Roman"/>
                <w:color w:val="000000"/>
                <w:spacing w:val="0"/>
                <w:kern w:val="0"/>
                <w:sz w:val="28"/>
                <w:szCs w:val="28"/>
                <w:shd w:val="clear" w:color="auto" w:fill="auto"/>
              </w:rPr>
              <w:t>在客户开拓方面，公司新增一汽、东风、吉利等多家优质战略客户定点，广汽、长安、小鹏等车企渗透率持续保持领先</w:t>
            </w:r>
            <w:r>
              <w:rPr>
                <w:rFonts w:hint="default" w:ascii="Times New Roman" w:hAnsi="Times New Roman" w:eastAsia="仿宋_GB2312" w:cs="Times New Roman"/>
                <w:color w:val="000000"/>
                <w:spacing w:val="0"/>
                <w:kern w:val="0"/>
                <w:sz w:val="28"/>
                <w:szCs w:val="28"/>
                <w:shd w:val="clear" w:color="auto" w:fill="auto"/>
                <w:lang w:eastAsia="zh-CN"/>
              </w:rPr>
              <w:t>，</w:t>
            </w:r>
            <w:r>
              <w:rPr>
                <w:rFonts w:hint="default" w:ascii="Times New Roman" w:hAnsi="Times New Roman" w:eastAsia="仿宋_GB2312" w:cs="Times New Roman"/>
                <w:color w:val="000000"/>
                <w:spacing w:val="0"/>
                <w:kern w:val="0"/>
                <w:sz w:val="28"/>
                <w:szCs w:val="28"/>
                <w:shd w:val="clear" w:color="auto" w:fill="auto"/>
              </w:rPr>
              <w:t xml:space="preserve"> smart、本田等新客户快速起量。为蔚来开发的升级产品，充电时间相比上一代缩短50%。中创新航的技术与产品力获得客户的高度认可，</w:t>
            </w:r>
            <w:r>
              <w:rPr>
                <w:rFonts w:hint="default" w:ascii="Times New Roman" w:hAnsi="Times New Roman" w:eastAsia="仿宋_GB2312" w:cs="Times New Roman"/>
                <w:b w:val="0"/>
                <w:color w:val="000000"/>
                <w:spacing w:val="0"/>
                <w:kern w:val="0"/>
                <w:sz w:val="28"/>
                <w:szCs w:val="28"/>
                <w:shd w:val="clear" w:color="auto" w:fill="auto"/>
              </w:rPr>
              <w:t>连续三年荣获广汽埃安优秀供应商大奖，连续五年荣获长安汽车新能源贡献奖和优秀供应商大奖，荣获小鹏汽车质量金奖。</w:t>
            </w:r>
          </w:p>
          <w:p>
            <w:pPr>
              <w:keepNext w:val="0"/>
              <w:keepLines w:val="0"/>
              <w:pageBreakBefore w:val="0"/>
              <w:widowControl/>
              <w:kinsoku/>
              <w:wordWrap/>
              <w:overflowPunct/>
              <w:topLinePunct w:val="0"/>
              <w:autoSpaceDE/>
              <w:autoSpaceDN/>
              <w:bidi w:val="0"/>
              <w:adjustRightInd/>
              <w:snapToGrid/>
              <w:spacing w:line="360" w:lineRule="exact"/>
              <w:ind w:firstLine="560" w:firstLineChars="200"/>
              <w:textAlignment w:val="auto"/>
              <w:rPr>
                <w:rFonts w:hint="default" w:ascii="Times New Roman" w:hAnsi="Times New Roman" w:eastAsia="仿宋_GB2312" w:cs="Times New Roman"/>
                <w:color w:val="000000"/>
                <w:spacing w:val="0"/>
                <w:kern w:val="0"/>
                <w:sz w:val="28"/>
                <w:szCs w:val="28"/>
                <w:shd w:val="clear" w:color="auto" w:fill="auto"/>
              </w:rPr>
            </w:pPr>
            <w:r>
              <w:rPr>
                <w:rFonts w:hint="default" w:ascii="Times New Roman" w:hAnsi="Times New Roman" w:eastAsia="仿宋_GB2312" w:cs="Times New Roman"/>
                <w:color w:val="000000"/>
                <w:spacing w:val="0"/>
                <w:kern w:val="0"/>
                <w:sz w:val="28"/>
                <w:szCs w:val="28"/>
                <w:shd w:val="clear" w:color="auto" w:fill="auto"/>
              </w:rPr>
              <w:t>在细分市场布局方面，公司实现了全面突破</w:t>
            </w:r>
            <w:r>
              <w:rPr>
                <w:rFonts w:hint="default" w:ascii="Times New Roman" w:hAnsi="Times New Roman" w:eastAsia="仿宋_GB2312" w:cs="Times New Roman"/>
                <w:color w:val="000000"/>
                <w:spacing w:val="0"/>
                <w:kern w:val="0"/>
                <w:sz w:val="28"/>
                <w:szCs w:val="28"/>
                <w:shd w:val="clear" w:color="auto" w:fill="auto"/>
                <w:lang w:eastAsia="zh-CN"/>
              </w:rPr>
              <w:t>：</w:t>
            </w:r>
            <w:r>
              <w:rPr>
                <w:rFonts w:hint="default" w:ascii="Times New Roman" w:hAnsi="Times New Roman" w:eastAsia="仿宋_GB2312" w:cs="Times New Roman"/>
                <w:color w:val="000000"/>
                <w:spacing w:val="0"/>
                <w:kern w:val="0"/>
                <w:sz w:val="28"/>
                <w:szCs w:val="28"/>
                <w:shd w:val="clear" w:color="auto" w:fill="auto"/>
              </w:rPr>
              <w:t>PHEV市场完成多家头部车企提名</w:t>
            </w:r>
            <w:r>
              <w:rPr>
                <w:rFonts w:hint="default" w:ascii="Times New Roman" w:hAnsi="Times New Roman" w:eastAsia="仿宋_GB2312" w:cs="Times New Roman"/>
                <w:color w:val="000000"/>
                <w:spacing w:val="0"/>
                <w:kern w:val="0"/>
                <w:sz w:val="28"/>
                <w:szCs w:val="28"/>
                <w:shd w:val="clear" w:color="auto" w:fill="auto"/>
                <w:lang w:eastAsia="zh-CN"/>
              </w:rPr>
              <w:t>，</w:t>
            </w:r>
            <w:r>
              <w:rPr>
                <w:rFonts w:hint="default" w:ascii="Times New Roman" w:hAnsi="Times New Roman" w:eastAsia="仿宋_GB2312" w:cs="Times New Roman"/>
                <w:color w:val="000000"/>
                <w:spacing w:val="0"/>
                <w:kern w:val="0"/>
                <w:sz w:val="28"/>
                <w:szCs w:val="28"/>
                <w:shd w:val="clear" w:color="auto" w:fill="auto"/>
              </w:rPr>
              <w:t>交付同比增长12倍</w:t>
            </w:r>
            <w:r>
              <w:rPr>
                <w:rFonts w:hint="default" w:ascii="Times New Roman" w:hAnsi="Times New Roman" w:eastAsia="仿宋_GB2312" w:cs="Times New Roman"/>
                <w:color w:val="000000"/>
                <w:spacing w:val="0"/>
                <w:kern w:val="0"/>
                <w:sz w:val="28"/>
                <w:szCs w:val="28"/>
                <w:shd w:val="clear" w:color="auto" w:fill="auto"/>
                <w:lang w:eastAsia="zh-CN"/>
              </w:rPr>
              <w:t>；</w:t>
            </w:r>
            <w:r>
              <w:rPr>
                <w:rFonts w:hint="default" w:ascii="Times New Roman" w:hAnsi="Times New Roman" w:eastAsia="仿宋_GB2312" w:cs="Times New Roman"/>
                <w:color w:val="000000"/>
                <w:spacing w:val="0"/>
                <w:kern w:val="0"/>
                <w:sz w:val="28"/>
                <w:szCs w:val="28"/>
                <w:shd w:val="clear" w:color="auto" w:fill="auto"/>
              </w:rPr>
              <w:t>电力储能、船舶、户用储能业务场景均成功推出产品，其中电力储能板块实现满产满销</w:t>
            </w:r>
            <w:r>
              <w:rPr>
                <w:rFonts w:hint="default" w:ascii="Times New Roman" w:hAnsi="Times New Roman" w:eastAsia="仿宋_GB2312" w:cs="Times New Roman"/>
                <w:color w:val="000000"/>
                <w:spacing w:val="0"/>
                <w:kern w:val="0"/>
                <w:sz w:val="28"/>
                <w:szCs w:val="28"/>
                <w:shd w:val="clear" w:color="auto" w:fill="auto"/>
                <w:lang w:eastAsia="zh-CN"/>
              </w:rPr>
              <w:t>，</w:t>
            </w:r>
            <w:r>
              <w:rPr>
                <w:rFonts w:hint="default" w:ascii="Times New Roman" w:hAnsi="Times New Roman" w:eastAsia="仿宋_GB2312" w:cs="Times New Roman"/>
                <w:color w:val="000000"/>
                <w:spacing w:val="0"/>
                <w:kern w:val="0"/>
                <w:sz w:val="28"/>
                <w:szCs w:val="28"/>
                <w:shd w:val="clear" w:color="auto" w:fill="auto"/>
              </w:rPr>
              <w:t>定点西门子德国充电桩项目，成功交付纯电豪华游船“滇景号”及长江首个船用集装箱项目，拿下整个漓江电动船舶项目，获得dnv挪威船级社认证，是中国第一个本土研发团队获得的系统级产品认证。公司动力与储能细分市场全面共振，助力公司保持高景气发展态势。</w:t>
            </w:r>
          </w:p>
          <w:p>
            <w:pPr>
              <w:keepNext w:val="0"/>
              <w:keepLines w:val="0"/>
              <w:pageBreakBefore w:val="0"/>
              <w:widowControl/>
              <w:kinsoku/>
              <w:wordWrap/>
              <w:overflowPunct/>
              <w:topLinePunct w:val="0"/>
              <w:autoSpaceDE/>
              <w:autoSpaceDN/>
              <w:bidi w:val="0"/>
              <w:adjustRightInd/>
              <w:snapToGrid/>
              <w:spacing w:line="360" w:lineRule="exact"/>
              <w:ind w:firstLine="560" w:firstLineChars="200"/>
              <w:jc w:val="left"/>
              <w:textAlignment w:val="auto"/>
              <w:rPr>
                <w:rFonts w:hint="default" w:ascii="Times New Roman" w:hAnsi="Times New Roman" w:eastAsia="仿宋_GB2312" w:cs="Times New Roman"/>
                <w:kern w:val="32"/>
                <w:sz w:val="28"/>
                <w:szCs w:val="28"/>
              </w:rPr>
            </w:pPr>
            <w:r>
              <w:rPr>
                <w:rFonts w:hint="default" w:ascii="Times New Roman" w:hAnsi="Times New Roman" w:eastAsia="仿宋_GB2312" w:cs="Times New Roman"/>
                <w:color w:val="000000"/>
                <w:spacing w:val="0"/>
                <w:kern w:val="0"/>
                <w:sz w:val="28"/>
                <w:szCs w:val="28"/>
                <w:shd w:val="clear" w:color="auto" w:fill="auto"/>
              </w:rPr>
              <w:t>面向未来进行战略考量，中创新航坚持以自主研发的核心技术满足甚至创造客户需求的产品。公司推出了</w:t>
            </w:r>
            <w:r>
              <w:rPr>
                <w:rFonts w:hint="default" w:ascii="Times New Roman" w:hAnsi="Times New Roman" w:eastAsia="仿宋_GB2312" w:cs="Times New Roman"/>
                <w:b w:val="0"/>
                <w:color w:val="000000"/>
                <w:spacing w:val="0"/>
                <w:kern w:val="0"/>
                <w:sz w:val="28"/>
                <w:szCs w:val="28"/>
                <w:shd w:val="clear" w:color="auto" w:fill="auto"/>
              </w:rPr>
              <w:t>CIR 2.0新一代高比能、全气候动力电池系统产品、350Wh/kg高镍多元电池产品、4C高能超快充电池产品，以及One-stop高锰铁锂电池产品，</w:t>
            </w:r>
            <w:r>
              <w:rPr>
                <w:rFonts w:hint="default" w:ascii="Times New Roman" w:hAnsi="Times New Roman" w:eastAsia="仿宋_GB2312" w:cs="Times New Roman"/>
                <w:color w:val="000000"/>
                <w:spacing w:val="0"/>
                <w:kern w:val="0"/>
                <w:sz w:val="28"/>
                <w:szCs w:val="28"/>
                <w:shd w:val="clear" w:color="auto" w:fill="auto"/>
              </w:rPr>
              <w:t>多项技术与产品做到了</w:t>
            </w:r>
            <w:r>
              <w:rPr>
                <w:rFonts w:hint="default" w:ascii="Times New Roman" w:hAnsi="Times New Roman" w:eastAsia="仿宋_GB2312" w:cs="Times New Roman"/>
                <w:b w:val="0"/>
                <w:color w:val="000000"/>
                <w:spacing w:val="0"/>
                <w:kern w:val="0"/>
                <w:sz w:val="28"/>
                <w:szCs w:val="28"/>
                <w:shd w:val="clear" w:color="auto" w:fill="auto"/>
              </w:rPr>
              <w:t>全球领先、全球首创和全球独创，</w:t>
            </w:r>
            <w:r>
              <w:rPr>
                <w:rFonts w:hint="default" w:ascii="Times New Roman" w:hAnsi="Times New Roman" w:eastAsia="仿宋_GB2312" w:cs="Times New Roman"/>
                <w:color w:val="000000"/>
                <w:spacing w:val="0"/>
                <w:kern w:val="0"/>
                <w:sz w:val="28"/>
                <w:szCs w:val="28"/>
                <w:shd w:val="clear" w:color="auto" w:fill="auto"/>
              </w:rPr>
              <w:t>全场景打造硬核产品力，引领行业发展新高度。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1" w:hRule="atLeast"/>
        </w:trPr>
        <w:tc>
          <w:tcPr>
            <w:tcW w:w="320" w:type="pct"/>
            <w:vAlign w:val="center"/>
          </w:tcPr>
          <w:p>
            <w:pPr>
              <w:spacing w:line="540" w:lineRule="exact"/>
              <w:jc w:val="center"/>
              <w:rPr>
                <w:rFonts w:hint="default" w:ascii="Times New Roman" w:hAnsi="Times New Roman" w:eastAsia="仿宋_GB2312" w:cs="Times New Roman"/>
                <w:kern w:val="32"/>
                <w:sz w:val="28"/>
                <w:szCs w:val="28"/>
              </w:rPr>
            </w:pPr>
            <w:r>
              <w:rPr>
                <w:rFonts w:hint="default" w:ascii="Times New Roman" w:hAnsi="Times New Roman" w:eastAsia="仿宋_GB2312" w:cs="Times New Roman"/>
                <w:kern w:val="32"/>
                <w:sz w:val="28"/>
                <w:szCs w:val="28"/>
              </w:rPr>
              <w:t>3</w:t>
            </w:r>
          </w:p>
        </w:tc>
        <w:tc>
          <w:tcPr>
            <w:tcW w:w="673" w:type="pct"/>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sz w:val="28"/>
                <w:szCs w:val="28"/>
                <w:lang w:val="en-US" w:eastAsia="zh-CN"/>
              </w:rPr>
            </w:pPr>
            <w:r>
              <w:rPr>
                <w:rFonts w:hint="default" w:ascii="Times New Roman" w:hAnsi="Times New Roman" w:eastAsia="仿宋_GB2312" w:cs="Times New Roman"/>
                <w:b w:val="0"/>
                <w:bCs/>
                <w:sz w:val="28"/>
                <w:szCs w:val="28"/>
                <w:lang w:val="en-US" w:eastAsia="zh-CN"/>
              </w:rPr>
              <w:t>征图新视（江苏）科技股份有限公司</w:t>
            </w:r>
          </w:p>
        </w:tc>
        <w:tc>
          <w:tcPr>
            <w:tcW w:w="4006" w:type="pct"/>
            <w:vAlign w:val="center"/>
          </w:tcPr>
          <w:p>
            <w:pPr>
              <w:keepNext w:val="0"/>
              <w:keepLines w:val="0"/>
              <w:pageBreakBefore w:val="0"/>
              <w:widowControl/>
              <w:kinsoku/>
              <w:wordWrap/>
              <w:overflowPunct/>
              <w:topLinePunct w:val="0"/>
              <w:autoSpaceDE/>
              <w:autoSpaceDN/>
              <w:bidi w:val="0"/>
              <w:adjustRightInd/>
              <w:snapToGrid/>
              <w:spacing w:line="360" w:lineRule="exact"/>
              <w:ind w:firstLine="560" w:firstLineChars="200"/>
              <w:jc w:val="left"/>
              <w:textAlignment w:val="auto"/>
              <w:rPr>
                <w:rFonts w:hint="default" w:ascii="Times New Roman" w:hAnsi="Times New Roman" w:eastAsia="仿宋_GB2312" w:cs="Times New Roman"/>
                <w:color w:val="000000"/>
                <w:spacing w:val="0"/>
                <w:kern w:val="0"/>
                <w:sz w:val="28"/>
                <w:szCs w:val="28"/>
                <w:shd w:val="clear" w:color="auto" w:fill="auto"/>
              </w:rPr>
            </w:pPr>
            <w:r>
              <w:rPr>
                <w:rFonts w:hint="default" w:ascii="Times New Roman" w:hAnsi="Times New Roman" w:eastAsia="仿宋_GB2312" w:cs="Times New Roman"/>
                <w:color w:val="000000"/>
                <w:spacing w:val="0"/>
                <w:kern w:val="0"/>
                <w:sz w:val="28"/>
                <w:szCs w:val="28"/>
                <w:shd w:val="clear" w:color="auto" w:fill="auto"/>
              </w:rPr>
              <w:t>公司成立于2009年，是一家专业从事机器视觉检测设备及自动化制造设备的研发、生产、销售为一体的高新技术企业。主要产品包括：消费电子检测设备、印刷检测设备、其他行业检测设备、自动化制造设备、智能制造软件系统等。</w:t>
            </w:r>
          </w:p>
          <w:p>
            <w:pPr>
              <w:keepNext w:val="0"/>
              <w:keepLines w:val="0"/>
              <w:pageBreakBefore w:val="0"/>
              <w:widowControl/>
              <w:kinsoku/>
              <w:wordWrap/>
              <w:overflowPunct/>
              <w:topLinePunct w:val="0"/>
              <w:autoSpaceDE/>
              <w:autoSpaceDN/>
              <w:bidi w:val="0"/>
              <w:adjustRightInd/>
              <w:snapToGrid/>
              <w:spacing w:line="360" w:lineRule="exact"/>
              <w:ind w:firstLine="560" w:firstLineChars="200"/>
              <w:jc w:val="left"/>
              <w:textAlignment w:val="auto"/>
              <w:rPr>
                <w:rFonts w:hint="default" w:ascii="Times New Roman" w:hAnsi="Times New Roman" w:eastAsia="仿宋_GB2312" w:cs="Times New Roman"/>
                <w:color w:val="000000"/>
                <w:spacing w:val="0"/>
                <w:kern w:val="0"/>
                <w:sz w:val="28"/>
                <w:szCs w:val="28"/>
                <w:shd w:val="clear" w:color="auto" w:fill="auto"/>
              </w:rPr>
            </w:pPr>
            <w:r>
              <w:rPr>
                <w:rFonts w:hint="default" w:ascii="Times New Roman" w:hAnsi="Times New Roman" w:eastAsia="仿宋_GB2312" w:cs="Times New Roman"/>
                <w:color w:val="000000"/>
                <w:spacing w:val="0"/>
                <w:kern w:val="0"/>
                <w:sz w:val="28"/>
                <w:szCs w:val="28"/>
                <w:shd w:val="clear" w:color="auto" w:fill="auto"/>
              </w:rPr>
              <w:t>公司定位于跨行业的机器视觉解决方案提供商，以“同源技术的多元应用”为核心战略，自主开发机器视觉软件、人工智能、常规算法、光学成像机制、运动控制、3D视觉等核心技术，构建了完整的机器视觉同源技术平台，面向消费电子、印刷、农产品、交通等多元化行业，提供以外观检测功能为主的机器视觉系统，助力客户实现生产智能化，从而优化质量、提升效率、降低成本。</w:t>
            </w:r>
          </w:p>
          <w:p>
            <w:pPr>
              <w:keepNext w:val="0"/>
              <w:keepLines w:val="0"/>
              <w:pageBreakBefore w:val="0"/>
              <w:widowControl/>
              <w:kinsoku/>
              <w:wordWrap/>
              <w:overflowPunct/>
              <w:topLinePunct w:val="0"/>
              <w:autoSpaceDE/>
              <w:autoSpaceDN/>
              <w:bidi w:val="0"/>
              <w:adjustRightInd/>
              <w:snapToGrid/>
              <w:spacing w:line="360" w:lineRule="exact"/>
              <w:ind w:firstLine="560" w:firstLineChars="200"/>
              <w:jc w:val="left"/>
              <w:textAlignment w:val="auto"/>
              <w:rPr>
                <w:rFonts w:hint="default" w:ascii="Times New Roman" w:hAnsi="Times New Roman" w:eastAsia="仿宋_GB2312" w:cs="Times New Roman"/>
                <w:color w:val="000000"/>
                <w:spacing w:val="0"/>
                <w:kern w:val="0"/>
                <w:sz w:val="28"/>
                <w:szCs w:val="28"/>
                <w:shd w:val="clear" w:color="auto" w:fill="auto"/>
              </w:rPr>
            </w:pPr>
            <w:r>
              <w:rPr>
                <w:rFonts w:hint="default" w:ascii="Times New Roman" w:hAnsi="Times New Roman" w:eastAsia="仿宋_GB2312" w:cs="Times New Roman"/>
                <w:color w:val="000000"/>
                <w:spacing w:val="0"/>
                <w:kern w:val="0"/>
                <w:sz w:val="28"/>
                <w:szCs w:val="28"/>
                <w:shd w:val="clear" w:color="auto" w:fill="auto"/>
              </w:rPr>
              <w:t>公司现有员工700余人，其中博士2名，本科以上学历占比超44%，领军人物和核心技术团队成员均来自国内外著名高校和科研机构。</w:t>
            </w:r>
          </w:p>
          <w:p>
            <w:pPr>
              <w:keepNext w:val="0"/>
              <w:keepLines w:val="0"/>
              <w:pageBreakBefore w:val="0"/>
              <w:widowControl/>
              <w:kinsoku/>
              <w:wordWrap/>
              <w:overflowPunct/>
              <w:topLinePunct w:val="0"/>
              <w:autoSpaceDE/>
              <w:autoSpaceDN/>
              <w:bidi w:val="0"/>
              <w:adjustRightInd/>
              <w:snapToGrid/>
              <w:spacing w:line="360" w:lineRule="exact"/>
              <w:ind w:firstLine="560" w:firstLineChars="200"/>
              <w:jc w:val="left"/>
              <w:textAlignment w:val="auto"/>
              <w:rPr>
                <w:rFonts w:hint="default" w:ascii="Times New Roman" w:hAnsi="Times New Roman" w:eastAsia="仿宋_GB2312" w:cs="Times New Roman"/>
                <w:color w:val="000000"/>
                <w:spacing w:val="0"/>
                <w:kern w:val="0"/>
                <w:sz w:val="28"/>
                <w:szCs w:val="28"/>
                <w:shd w:val="clear" w:color="auto" w:fill="auto"/>
              </w:rPr>
            </w:pPr>
            <w:r>
              <w:rPr>
                <w:rFonts w:hint="default" w:ascii="Times New Roman" w:hAnsi="Times New Roman" w:eastAsia="仿宋_GB2312" w:cs="Times New Roman"/>
                <w:color w:val="000000"/>
                <w:spacing w:val="0"/>
                <w:kern w:val="0"/>
                <w:sz w:val="28"/>
                <w:szCs w:val="28"/>
                <w:shd w:val="clear" w:color="auto" w:fill="auto"/>
              </w:rPr>
              <w:t>公司注重产学研的合作，与常州大学、河海大学、南京理工大学、江苏大学等科研院所建立了长期合作的关系，目前设有“全国博士后科研工作站”“江苏省研究生工作站”“江苏省机器视觉工程技术研究中心”“江苏省认定企业技术中心”。</w:t>
            </w:r>
          </w:p>
          <w:p>
            <w:pPr>
              <w:keepNext w:val="0"/>
              <w:keepLines w:val="0"/>
              <w:pageBreakBefore w:val="0"/>
              <w:widowControl/>
              <w:kinsoku/>
              <w:wordWrap/>
              <w:overflowPunct/>
              <w:topLinePunct w:val="0"/>
              <w:autoSpaceDE/>
              <w:autoSpaceDN/>
              <w:bidi w:val="0"/>
              <w:adjustRightInd/>
              <w:snapToGrid/>
              <w:spacing w:line="360" w:lineRule="exact"/>
              <w:ind w:firstLine="560" w:firstLineChars="200"/>
              <w:jc w:val="left"/>
              <w:textAlignment w:val="auto"/>
              <w:rPr>
                <w:rFonts w:hint="default" w:ascii="Times New Roman" w:hAnsi="Times New Roman" w:eastAsia="仿宋_GB2312" w:cs="Times New Roman"/>
                <w:color w:val="000000"/>
                <w:spacing w:val="0"/>
                <w:kern w:val="0"/>
                <w:sz w:val="28"/>
                <w:szCs w:val="28"/>
                <w:shd w:val="clear" w:color="auto" w:fill="auto"/>
              </w:rPr>
            </w:pPr>
            <w:r>
              <w:rPr>
                <w:rFonts w:hint="default" w:ascii="Times New Roman" w:hAnsi="Times New Roman" w:eastAsia="仿宋_GB2312" w:cs="Times New Roman"/>
                <w:color w:val="000000"/>
                <w:spacing w:val="0"/>
                <w:kern w:val="0"/>
                <w:sz w:val="28"/>
                <w:szCs w:val="28"/>
                <w:shd w:val="clear" w:color="auto" w:fill="auto"/>
              </w:rPr>
              <w:t>公司拥有完整的自主知识产权，拥有有效发明专利60件，实用新型专利261件，外观专利7件，软著103件，并负责1件国家标准“卷筒料印刷品质量检测系统”及3件行业标准“平台式单张纸印品质量检测机</w:t>
            </w:r>
            <w:r>
              <w:rPr>
                <w:rFonts w:hint="eastAsia" w:ascii="Times New Roman" w:hAnsi="Times New Roman" w:eastAsia="仿宋_GB2312" w:cs="Times New Roman"/>
                <w:color w:val="000000"/>
                <w:spacing w:val="0"/>
                <w:kern w:val="0"/>
                <w:sz w:val="28"/>
                <w:szCs w:val="28"/>
                <w:shd w:val="clear" w:color="auto" w:fill="auto"/>
                <w:lang w:eastAsia="zh-CN"/>
              </w:rPr>
              <w:t>”“</w:t>
            </w:r>
            <w:r>
              <w:rPr>
                <w:rFonts w:hint="default" w:ascii="Times New Roman" w:hAnsi="Times New Roman" w:eastAsia="仿宋_GB2312" w:cs="Times New Roman"/>
                <w:color w:val="000000"/>
                <w:spacing w:val="0"/>
                <w:kern w:val="0"/>
                <w:sz w:val="28"/>
                <w:szCs w:val="28"/>
                <w:shd w:val="clear" w:color="auto" w:fill="auto"/>
              </w:rPr>
              <w:t>化妆品类包装印刷品质量控制要求及检验方法 第1部分 纸包装</w:t>
            </w:r>
            <w:r>
              <w:rPr>
                <w:rFonts w:hint="eastAsia" w:ascii="Times New Roman" w:hAnsi="Times New Roman" w:eastAsia="仿宋_GB2312" w:cs="Times New Roman"/>
                <w:color w:val="000000"/>
                <w:spacing w:val="0"/>
                <w:kern w:val="0"/>
                <w:sz w:val="28"/>
                <w:szCs w:val="28"/>
                <w:shd w:val="clear" w:color="auto" w:fill="auto"/>
                <w:lang w:eastAsia="zh-CN"/>
              </w:rPr>
              <w:t>”“</w:t>
            </w:r>
            <w:r>
              <w:rPr>
                <w:rFonts w:hint="default" w:ascii="Times New Roman" w:hAnsi="Times New Roman" w:eastAsia="仿宋_GB2312" w:cs="Times New Roman"/>
                <w:color w:val="000000"/>
                <w:spacing w:val="0"/>
                <w:kern w:val="0"/>
                <w:sz w:val="28"/>
                <w:szCs w:val="28"/>
                <w:shd w:val="clear" w:color="auto" w:fill="auto"/>
              </w:rPr>
              <w:t>数字印刷  可变二维码喷印质量要求”的起草，具备较强的技术实力。</w:t>
            </w:r>
          </w:p>
          <w:p>
            <w:pPr>
              <w:keepNext w:val="0"/>
              <w:keepLines w:val="0"/>
              <w:pageBreakBefore w:val="0"/>
              <w:widowControl/>
              <w:kinsoku/>
              <w:wordWrap/>
              <w:overflowPunct/>
              <w:topLinePunct w:val="0"/>
              <w:autoSpaceDE/>
              <w:autoSpaceDN/>
              <w:bidi w:val="0"/>
              <w:adjustRightInd/>
              <w:snapToGrid/>
              <w:spacing w:line="360" w:lineRule="exact"/>
              <w:ind w:firstLine="560" w:firstLineChars="200"/>
              <w:jc w:val="left"/>
              <w:textAlignment w:val="auto"/>
              <w:rPr>
                <w:rFonts w:hint="default" w:ascii="Times New Roman" w:hAnsi="Times New Roman" w:eastAsia="仿宋_GB2312" w:cs="Times New Roman"/>
                <w:color w:val="000000"/>
                <w:spacing w:val="0"/>
                <w:kern w:val="0"/>
                <w:sz w:val="28"/>
                <w:szCs w:val="28"/>
                <w:shd w:val="clear" w:color="auto" w:fill="auto"/>
              </w:rPr>
            </w:pPr>
            <w:r>
              <w:rPr>
                <w:rFonts w:hint="default" w:ascii="Times New Roman" w:hAnsi="Times New Roman" w:eastAsia="仿宋_GB2312" w:cs="Times New Roman"/>
                <w:color w:val="000000"/>
                <w:spacing w:val="0"/>
                <w:kern w:val="0"/>
                <w:sz w:val="28"/>
                <w:szCs w:val="28"/>
                <w:shd w:val="clear" w:color="auto" w:fill="auto"/>
              </w:rPr>
              <w:t>公司是高新技术企业，被评为“江苏省科技型中小企业”“2018年度江苏省科技小巨人”，“2021年国家级专精特新‘小巨人’”。</w:t>
            </w:r>
          </w:p>
          <w:p>
            <w:pPr>
              <w:keepNext w:val="0"/>
              <w:keepLines w:val="0"/>
              <w:pageBreakBefore w:val="0"/>
              <w:widowControl/>
              <w:kinsoku/>
              <w:wordWrap/>
              <w:overflowPunct/>
              <w:topLinePunct w:val="0"/>
              <w:autoSpaceDE/>
              <w:autoSpaceDN/>
              <w:bidi w:val="0"/>
              <w:adjustRightInd/>
              <w:snapToGrid/>
              <w:spacing w:line="360" w:lineRule="exact"/>
              <w:ind w:firstLine="560" w:firstLineChars="200"/>
              <w:jc w:val="left"/>
              <w:textAlignment w:val="auto"/>
              <w:rPr>
                <w:rFonts w:hint="default" w:ascii="Times New Roman" w:hAnsi="Times New Roman" w:eastAsia="仿宋_GB2312" w:cs="Times New Roman"/>
                <w:kern w:val="32"/>
                <w:sz w:val="28"/>
                <w:szCs w:val="28"/>
              </w:rPr>
            </w:pPr>
            <w:r>
              <w:rPr>
                <w:rFonts w:hint="default" w:ascii="Times New Roman" w:hAnsi="Times New Roman" w:eastAsia="仿宋_GB2312" w:cs="Times New Roman"/>
                <w:color w:val="000000"/>
                <w:spacing w:val="0"/>
                <w:kern w:val="0"/>
                <w:sz w:val="28"/>
                <w:szCs w:val="28"/>
                <w:shd w:val="clear" w:color="auto" w:fill="auto"/>
              </w:rPr>
              <w:t>目前客户案例主要苹果公司、立讯精密、日东电工、瑞声科技、业成科技、蓝思科技、上海烟印、云南侨通等知名厂商，产品获得跨行业客户的广泛认可。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6" w:hRule="atLeast"/>
        </w:trPr>
        <w:tc>
          <w:tcPr>
            <w:tcW w:w="320" w:type="pct"/>
            <w:vAlign w:val="center"/>
          </w:tcPr>
          <w:p>
            <w:pPr>
              <w:spacing w:line="540" w:lineRule="exact"/>
              <w:jc w:val="center"/>
              <w:rPr>
                <w:rFonts w:hint="default" w:ascii="Times New Roman" w:hAnsi="Times New Roman" w:eastAsia="仿宋_GB2312" w:cs="Times New Roman"/>
                <w:kern w:val="32"/>
                <w:sz w:val="28"/>
                <w:szCs w:val="28"/>
              </w:rPr>
            </w:pPr>
            <w:r>
              <w:rPr>
                <w:rFonts w:hint="default" w:ascii="Times New Roman" w:hAnsi="Times New Roman" w:eastAsia="仿宋_GB2312" w:cs="Times New Roman"/>
                <w:kern w:val="32"/>
                <w:sz w:val="28"/>
                <w:szCs w:val="28"/>
              </w:rPr>
              <w:t>4</w:t>
            </w:r>
          </w:p>
        </w:tc>
        <w:tc>
          <w:tcPr>
            <w:tcW w:w="673" w:type="pct"/>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sz w:val="28"/>
                <w:szCs w:val="28"/>
                <w:lang w:val="en-US" w:eastAsia="zh-CN"/>
              </w:rPr>
            </w:pPr>
            <w:r>
              <w:rPr>
                <w:rFonts w:hint="default" w:ascii="Times New Roman" w:hAnsi="Times New Roman" w:eastAsia="仿宋_GB2312" w:cs="Times New Roman"/>
                <w:b w:val="0"/>
                <w:bCs/>
                <w:sz w:val="28"/>
                <w:szCs w:val="28"/>
                <w:lang w:val="en-US" w:eastAsia="zh-CN"/>
              </w:rPr>
              <w:t>快克智能装备股份有限公司</w:t>
            </w:r>
          </w:p>
        </w:tc>
        <w:tc>
          <w:tcPr>
            <w:tcW w:w="4006" w:type="pct"/>
            <w:vAlign w:val="center"/>
          </w:tcPr>
          <w:p>
            <w:pPr>
              <w:keepNext w:val="0"/>
              <w:keepLines w:val="0"/>
              <w:pageBreakBefore w:val="0"/>
              <w:widowControl/>
              <w:kinsoku/>
              <w:wordWrap/>
              <w:overflowPunct/>
              <w:topLinePunct w:val="0"/>
              <w:autoSpaceDE/>
              <w:autoSpaceDN/>
              <w:bidi w:val="0"/>
              <w:adjustRightInd/>
              <w:snapToGrid/>
              <w:spacing w:line="360" w:lineRule="exact"/>
              <w:ind w:firstLine="560" w:firstLineChars="200"/>
              <w:jc w:val="left"/>
              <w:textAlignment w:val="auto"/>
              <w:rPr>
                <w:rFonts w:hint="default" w:ascii="Times New Roman" w:hAnsi="Times New Roman" w:eastAsia="仿宋_GB2312" w:cs="Times New Roman"/>
                <w:color w:val="000000"/>
                <w:spacing w:val="0"/>
                <w:kern w:val="0"/>
                <w:sz w:val="28"/>
                <w:szCs w:val="28"/>
                <w:shd w:val="clear" w:color="auto" w:fill="auto"/>
              </w:rPr>
            </w:pPr>
            <w:r>
              <w:rPr>
                <w:rFonts w:hint="default" w:ascii="Times New Roman" w:hAnsi="Times New Roman" w:eastAsia="仿宋_GB2312" w:cs="Times New Roman"/>
                <w:color w:val="000000"/>
                <w:spacing w:val="0"/>
                <w:kern w:val="0"/>
                <w:sz w:val="28"/>
                <w:szCs w:val="28"/>
                <w:shd w:val="clear" w:color="auto" w:fill="auto"/>
              </w:rPr>
              <w:t>公司创立于1993年，是上交所主板上市公司（股票代码：603203），为精密电子组装&amp;半导体封装检测领域提供智能装备解决方案，是国内精密电子焊接领域的龙头企业。公司在运动控制、软件系统、视觉算法、精密模组等技术方面不断创新突破，形成精密焊接装联设备、视觉检测制程设备、智能制造成套装备、固晶键合封装设备等四大系列产品，服务于智能终端、新能源汽车、新能源、智能物联、半导体等行业。</w:t>
            </w:r>
          </w:p>
          <w:p>
            <w:pPr>
              <w:keepNext w:val="0"/>
              <w:keepLines w:val="0"/>
              <w:pageBreakBefore w:val="0"/>
              <w:widowControl/>
              <w:kinsoku/>
              <w:wordWrap/>
              <w:overflowPunct/>
              <w:topLinePunct w:val="0"/>
              <w:autoSpaceDE/>
              <w:autoSpaceDN/>
              <w:bidi w:val="0"/>
              <w:adjustRightInd/>
              <w:snapToGrid/>
              <w:spacing w:line="360" w:lineRule="exact"/>
              <w:ind w:firstLine="560" w:firstLineChars="200"/>
              <w:jc w:val="left"/>
              <w:textAlignment w:val="auto"/>
              <w:rPr>
                <w:rFonts w:hint="default" w:ascii="Times New Roman" w:hAnsi="Times New Roman" w:eastAsia="仿宋_GB2312" w:cs="Times New Roman"/>
                <w:color w:val="000000"/>
                <w:spacing w:val="0"/>
                <w:kern w:val="0"/>
                <w:sz w:val="28"/>
                <w:szCs w:val="28"/>
                <w:shd w:val="clear" w:color="auto" w:fill="auto"/>
              </w:rPr>
            </w:pPr>
            <w:r>
              <w:rPr>
                <w:rFonts w:hint="default" w:ascii="Times New Roman" w:hAnsi="Times New Roman" w:eastAsia="仿宋_GB2312" w:cs="Times New Roman"/>
                <w:color w:val="000000"/>
                <w:spacing w:val="0"/>
                <w:kern w:val="0"/>
                <w:sz w:val="28"/>
                <w:szCs w:val="28"/>
                <w:shd w:val="clear" w:color="auto" w:fill="auto"/>
              </w:rPr>
              <w:t>公司十分注重技术创新，建有省级一站三中心，并在日本设有半导体设备研发中心。公司是“国家制造业单项冠军和专精特新小巨人企业”，“中国智能制造百强企业”，“江苏省隐形冠军企业”，“江苏省智能制造领军服务机构”，“江苏省示范智能车间”。同时也是教育部认定的“1+X”电子装联职业教育评价组织。</w:t>
            </w:r>
          </w:p>
          <w:p>
            <w:pPr>
              <w:keepNext w:val="0"/>
              <w:keepLines w:val="0"/>
              <w:pageBreakBefore w:val="0"/>
              <w:widowControl/>
              <w:kinsoku/>
              <w:wordWrap/>
              <w:overflowPunct/>
              <w:topLinePunct w:val="0"/>
              <w:autoSpaceDE/>
              <w:autoSpaceDN/>
              <w:bidi w:val="0"/>
              <w:adjustRightInd/>
              <w:snapToGrid/>
              <w:spacing w:line="360" w:lineRule="exact"/>
              <w:ind w:firstLine="560" w:firstLineChars="200"/>
              <w:jc w:val="left"/>
              <w:textAlignment w:val="auto"/>
              <w:rPr>
                <w:rFonts w:hint="default" w:ascii="Times New Roman" w:hAnsi="Times New Roman" w:eastAsia="仿宋_GB2312" w:cs="Times New Roman"/>
                <w:kern w:val="32"/>
                <w:sz w:val="28"/>
                <w:szCs w:val="28"/>
              </w:rPr>
            </w:pPr>
            <w:r>
              <w:rPr>
                <w:rFonts w:hint="default" w:ascii="Times New Roman" w:hAnsi="Times New Roman" w:eastAsia="仿宋_GB2312" w:cs="Times New Roman"/>
                <w:color w:val="000000"/>
                <w:spacing w:val="0"/>
                <w:kern w:val="0"/>
                <w:sz w:val="28"/>
                <w:szCs w:val="28"/>
                <w:shd w:val="clear" w:color="auto" w:fill="auto"/>
              </w:rPr>
              <w:t>自2008年以来，公司承担了11项省部级科研项目（3次承担省科技成果转化项目、省关键核心技术攻关项目）；作为第一完成单位，获得2020年江苏省科学技术奖二等奖、“焊锡机出锡异常监控机构和方法、出锡装置及焊锡机”获2020年国家专利优秀奖；公司积累了丰富的客户资源，如华为、苹果、立讯精密、富士康、伟创力、和联永硕、瑞声科技、歌尔、比亚迪、罗技、安费诺等众多知名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10" w:hRule="atLeast"/>
        </w:trPr>
        <w:tc>
          <w:tcPr>
            <w:tcW w:w="320" w:type="pct"/>
            <w:vAlign w:val="center"/>
          </w:tcPr>
          <w:p>
            <w:pPr>
              <w:spacing w:line="540" w:lineRule="exact"/>
              <w:jc w:val="center"/>
              <w:rPr>
                <w:rFonts w:hint="default" w:ascii="Times New Roman" w:hAnsi="Times New Roman" w:eastAsia="仿宋_GB2312" w:cs="Times New Roman"/>
                <w:kern w:val="32"/>
                <w:sz w:val="28"/>
                <w:szCs w:val="28"/>
                <w:lang w:val="en-US" w:eastAsia="zh-CN" w:bidi="ar-SA"/>
              </w:rPr>
            </w:pPr>
            <w:r>
              <w:rPr>
                <w:rFonts w:hint="default" w:ascii="Times New Roman" w:hAnsi="Times New Roman" w:eastAsia="仿宋_GB2312" w:cs="Times New Roman"/>
                <w:kern w:val="32"/>
                <w:sz w:val="28"/>
                <w:szCs w:val="28"/>
                <w:lang w:val="en-US" w:eastAsia="zh-CN"/>
              </w:rPr>
              <w:t>5</w:t>
            </w:r>
          </w:p>
        </w:tc>
        <w:tc>
          <w:tcPr>
            <w:tcW w:w="673" w:type="pct"/>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sz w:val="28"/>
                <w:szCs w:val="28"/>
                <w:lang w:val="en-US" w:eastAsia="zh-CN"/>
              </w:rPr>
            </w:pPr>
            <w:r>
              <w:rPr>
                <w:rFonts w:hint="default" w:ascii="Times New Roman" w:hAnsi="Times New Roman" w:eastAsia="仿宋_GB2312" w:cs="Times New Roman"/>
                <w:b w:val="0"/>
                <w:bCs/>
                <w:sz w:val="28"/>
                <w:szCs w:val="28"/>
                <w:lang w:val="en-US" w:eastAsia="zh-CN"/>
              </w:rPr>
              <w:t>常州聚和新材料股份有限公司</w:t>
            </w:r>
          </w:p>
        </w:tc>
        <w:tc>
          <w:tcPr>
            <w:tcW w:w="4006" w:type="pct"/>
            <w:vAlign w:val="center"/>
          </w:tcPr>
          <w:p>
            <w:pPr>
              <w:keepNext w:val="0"/>
              <w:keepLines w:val="0"/>
              <w:pageBreakBefore w:val="0"/>
              <w:widowControl/>
              <w:kinsoku/>
              <w:wordWrap/>
              <w:overflowPunct/>
              <w:topLinePunct w:val="0"/>
              <w:autoSpaceDE/>
              <w:autoSpaceDN/>
              <w:bidi w:val="0"/>
              <w:adjustRightInd/>
              <w:snapToGrid/>
              <w:spacing w:line="360" w:lineRule="exact"/>
              <w:ind w:firstLine="560" w:firstLineChars="200"/>
              <w:jc w:val="left"/>
              <w:textAlignment w:val="auto"/>
              <w:rPr>
                <w:rFonts w:hint="default" w:ascii="Times New Roman" w:hAnsi="Times New Roman" w:eastAsia="仿宋_GB2312" w:cs="Times New Roman"/>
                <w:color w:val="000000"/>
                <w:spacing w:val="0"/>
                <w:kern w:val="0"/>
                <w:sz w:val="28"/>
                <w:szCs w:val="28"/>
                <w:shd w:val="clear" w:color="auto" w:fill="auto"/>
                <w:lang w:eastAsia="zh-CN"/>
              </w:rPr>
            </w:pPr>
            <w:r>
              <w:rPr>
                <w:rFonts w:hint="default" w:ascii="Times New Roman" w:hAnsi="Times New Roman" w:eastAsia="仿宋_GB2312" w:cs="Times New Roman"/>
                <w:color w:val="000000"/>
                <w:spacing w:val="0"/>
                <w:kern w:val="0"/>
                <w:sz w:val="28"/>
                <w:szCs w:val="28"/>
                <w:shd w:val="clear" w:color="auto" w:fill="auto"/>
                <w:lang w:eastAsia="zh-CN"/>
              </w:rPr>
              <w:t>公司</w:t>
            </w:r>
            <w:r>
              <w:rPr>
                <w:rFonts w:hint="default" w:ascii="Times New Roman" w:hAnsi="Times New Roman" w:eastAsia="仿宋_GB2312" w:cs="Times New Roman"/>
                <w:color w:val="000000"/>
                <w:spacing w:val="0"/>
                <w:kern w:val="0"/>
                <w:sz w:val="28"/>
                <w:szCs w:val="28"/>
                <w:shd w:val="clear" w:color="auto" w:fill="auto"/>
              </w:rPr>
              <w:t>于2015年8月成立，自成立以来，始终专注于新材料、新能源产业，是一家专业从事新型电子浆料研发、生产和销售的高新技术企业</w:t>
            </w:r>
            <w:r>
              <w:rPr>
                <w:rFonts w:hint="default" w:ascii="Times New Roman" w:hAnsi="Times New Roman" w:eastAsia="仿宋_GB2312" w:cs="Times New Roman"/>
                <w:color w:val="000000"/>
                <w:spacing w:val="0"/>
                <w:kern w:val="0"/>
                <w:sz w:val="28"/>
                <w:szCs w:val="28"/>
                <w:shd w:val="clear" w:color="auto" w:fill="auto"/>
                <w:lang w:eastAsia="zh-CN"/>
              </w:rPr>
              <w:t>。</w:t>
            </w:r>
            <w:r>
              <w:rPr>
                <w:rFonts w:hint="default" w:ascii="Times New Roman" w:hAnsi="Times New Roman" w:eastAsia="仿宋_GB2312" w:cs="Times New Roman"/>
                <w:color w:val="000000"/>
                <w:spacing w:val="0"/>
                <w:kern w:val="0"/>
                <w:sz w:val="28"/>
                <w:szCs w:val="28"/>
                <w:shd w:val="clear" w:color="auto" w:fill="auto"/>
              </w:rPr>
              <w:t>目前主要产品为太阳能电池用正面银浆</w:t>
            </w:r>
            <w:r>
              <w:rPr>
                <w:rFonts w:hint="default" w:ascii="Times New Roman" w:hAnsi="Times New Roman" w:eastAsia="仿宋_GB2312" w:cs="Times New Roman"/>
                <w:color w:val="000000"/>
                <w:spacing w:val="0"/>
                <w:kern w:val="0"/>
                <w:sz w:val="28"/>
                <w:szCs w:val="28"/>
                <w:shd w:val="clear" w:color="auto" w:fill="auto"/>
                <w:lang w:eastAsia="zh-CN"/>
              </w:rPr>
              <w:t>，</w:t>
            </w:r>
            <w:r>
              <w:rPr>
                <w:rFonts w:hint="default" w:ascii="Times New Roman" w:hAnsi="Times New Roman" w:eastAsia="仿宋_GB2312" w:cs="Times New Roman"/>
                <w:color w:val="000000"/>
                <w:spacing w:val="0"/>
                <w:kern w:val="0"/>
                <w:sz w:val="28"/>
                <w:szCs w:val="28"/>
                <w:shd w:val="clear" w:color="auto" w:fill="auto"/>
              </w:rPr>
              <w:t>市场占有率排名国产厂商第一位，打破了境外厂商在光伏正银领域的垄断地位。</w:t>
            </w:r>
          </w:p>
          <w:p>
            <w:pPr>
              <w:keepNext w:val="0"/>
              <w:keepLines w:val="0"/>
              <w:pageBreakBefore w:val="0"/>
              <w:widowControl/>
              <w:kinsoku/>
              <w:wordWrap/>
              <w:overflowPunct/>
              <w:topLinePunct w:val="0"/>
              <w:autoSpaceDE/>
              <w:autoSpaceDN/>
              <w:bidi w:val="0"/>
              <w:adjustRightInd/>
              <w:snapToGrid/>
              <w:spacing w:line="360" w:lineRule="exact"/>
              <w:ind w:firstLine="560" w:firstLineChars="200"/>
              <w:jc w:val="left"/>
              <w:textAlignment w:val="auto"/>
              <w:rPr>
                <w:rFonts w:hint="default" w:ascii="Times New Roman" w:hAnsi="Times New Roman" w:eastAsia="仿宋_GB2312" w:cs="Times New Roman"/>
                <w:color w:val="000000"/>
                <w:spacing w:val="0"/>
                <w:kern w:val="0"/>
                <w:sz w:val="28"/>
                <w:szCs w:val="28"/>
                <w:shd w:val="clear" w:color="auto" w:fill="auto"/>
              </w:rPr>
            </w:pPr>
            <w:r>
              <w:rPr>
                <w:rFonts w:hint="default" w:ascii="Times New Roman" w:hAnsi="Times New Roman" w:eastAsia="仿宋_GB2312" w:cs="Times New Roman"/>
                <w:color w:val="000000"/>
                <w:spacing w:val="0"/>
                <w:kern w:val="0"/>
                <w:sz w:val="28"/>
                <w:szCs w:val="28"/>
                <w:shd w:val="clear" w:color="auto" w:fill="auto"/>
              </w:rPr>
              <w:t>经过长期自主研发，公司已经掌握了高效晶硅太阳能电池主栅及细栅银浆技术、TOPCon高效电池成套银浆技术、超低体电阻低温银浆技术等多项核心技术。目前，公司基于核心技术开发的产品已能满足多晶PERC电池、单晶单面氧化铝PERC电池、单晶双面氧化铝PERC电池、N型TOPCon电池、HJT电池等多种主流及新型高效电池对正面银浆的需求，并针对金刚线切片技术、MBB技术、叠瓦技术、无网结网版印刷等特定工艺特点开发了相适配的正面银浆产品。</w:t>
            </w:r>
          </w:p>
          <w:p>
            <w:pPr>
              <w:keepNext w:val="0"/>
              <w:keepLines w:val="0"/>
              <w:pageBreakBefore w:val="0"/>
              <w:widowControl/>
              <w:kinsoku/>
              <w:wordWrap/>
              <w:overflowPunct/>
              <w:topLinePunct w:val="0"/>
              <w:autoSpaceDE/>
              <w:autoSpaceDN/>
              <w:bidi w:val="0"/>
              <w:adjustRightInd/>
              <w:snapToGrid/>
              <w:spacing w:line="360" w:lineRule="exact"/>
              <w:ind w:firstLine="560" w:firstLineChars="200"/>
              <w:jc w:val="left"/>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color w:val="000000"/>
                <w:spacing w:val="0"/>
                <w:kern w:val="0"/>
                <w:sz w:val="28"/>
                <w:szCs w:val="28"/>
                <w:shd w:val="clear" w:color="auto" w:fill="auto"/>
              </w:rPr>
              <w:t>公司建有“江苏省电子材料</w:t>
            </w:r>
            <w:r>
              <w:rPr>
                <w:rFonts w:hint="default" w:ascii="Times New Roman" w:hAnsi="Times New Roman" w:eastAsia="仿宋_GB2312" w:cs="Times New Roman"/>
                <w:color w:val="000000"/>
                <w:spacing w:val="0"/>
                <w:kern w:val="0"/>
                <w:sz w:val="28"/>
                <w:szCs w:val="28"/>
                <w:shd w:val="clear" w:color="auto" w:fill="auto"/>
                <w:lang w:eastAsia="zh-CN"/>
              </w:rPr>
              <w:t>（</w:t>
            </w:r>
            <w:r>
              <w:rPr>
                <w:rFonts w:hint="default" w:ascii="Times New Roman" w:hAnsi="Times New Roman" w:eastAsia="仿宋_GB2312" w:cs="Times New Roman"/>
                <w:color w:val="000000"/>
                <w:spacing w:val="0"/>
                <w:kern w:val="0"/>
                <w:sz w:val="28"/>
                <w:szCs w:val="28"/>
                <w:shd w:val="clear" w:color="auto" w:fill="auto"/>
              </w:rPr>
              <w:t>银浆</w:t>
            </w:r>
            <w:r>
              <w:rPr>
                <w:rFonts w:hint="default" w:ascii="Times New Roman" w:hAnsi="Times New Roman" w:eastAsia="仿宋_GB2312" w:cs="Times New Roman"/>
                <w:color w:val="000000"/>
                <w:spacing w:val="0"/>
                <w:kern w:val="0"/>
                <w:sz w:val="28"/>
                <w:szCs w:val="28"/>
                <w:shd w:val="clear" w:color="auto" w:fill="auto"/>
                <w:lang w:eastAsia="zh-CN"/>
              </w:rPr>
              <w:t>）</w:t>
            </w:r>
            <w:r>
              <w:rPr>
                <w:rFonts w:hint="default" w:ascii="Times New Roman" w:hAnsi="Times New Roman" w:eastAsia="仿宋_GB2312" w:cs="Times New Roman"/>
                <w:color w:val="000000"/>
                <w:spacing w:val="0"/>
                <w:kern w:val="0"/>
                <w:sz w:val="28"/>
                <w:szCs w:val="28"/>
                <w:shd w:val="clear" w:color="auto" w:fill="auto"/>
              </w:rPr>
              <w:t>工程技术研究中心”，并与中国科学院苏州纳米技术与纳米仿生研究所合作共建了“导电纳米材料联合实验室”，参与制定了“晶体硅太阳电池N型层接触用银浆技术规范”，获得“省双创团队</w:t>
            </w:r>
            <w:r>
              <w:rPr>
                <w:rFonts w:hint="default" w:ascii="Times New Roman" w:hAnsi="Times New Roman" w:eastAsia="仿宋_GB2312" w:cs="Times New Roman"/>
                <w:color w:val="000000"/>
                <w:spacing w:val="0"/>
                <w:kern w:val="0"/>
                <w:sz w:val="28"/>
                <w:szCs w:val="28"/>
                <w:shd w:val="clear" w:color="auto" w:fill="auto"/>
                <w:lang w:eastAsia="zh-CN"/>
              </w:rPr>
              <w:t>”“</w:t>
            </w:r>
            <w:r>
              <w:rPr>
                <w:rFonts w:hint="default" w:ascii="Times New Roman" w:hAnsi="Times New Roman" w:eastAsia="仿宋_GB2312" w:cs="Times New Roman"/>
                <w:color w:val="000000"/>
                <w:spacing w:val="0"/>
                <w:kern w:val="0"/>
                <w:sz w:val="28"/>
                <w:szCs w:val="28"/>
                <w:shd w:val="clear" w:color="auto" w:fill="auto"/>
              </w:rPr>
              <w:t>苏南国家自主创新示范区潜在独角兽企业”和“苏南国家自主创新示范区瞪羚企业”等荣誉</w:t>
            </w:r>
            <w:r>
              <w:rPr>
                <w:rFonts w:hint="default" w:ascii="Times New Roman" w:hAnsi="Times New Roman" w:eastAsia="仿宋_GB2312" w:cs="Times New Roman"/>
                <w:sz w:val="28"/>
                <w:szCs w:val="28"/>
              </w:rPr>
              <w:t>。</w:t>
            </w:r>
          </w:p>
          <w:p>
            <w:pPr>
              <w:keepNext w:val="0"/>
              <w:keepLines w:val="0"/>
              <w:pageBreakBefore w:val="0"/>
              <w:widowControl/>
              <w:kinsoku/>
              <w:wordWrap/>
              <w:overflowPunct/>
              <w:topLinePunct w:val="0"/>
              <w:autoSpaceDE/>
              <w:autoSpaceDN/>
              <w:bidi w:val="0"/>
              <w:adjustRightInd/>
              <w:snapToGrid/>
              <w:spacing w:line="360" w:lineRule="exact"/>
              <w:ind w:firstLine="560" w:firstLineChars="200"/>
              <w:textAlignment w:val="auto"/>
              <w:rPr>
                <w:rFonts w:hint="default" w:ascii="Times New Roman" w:hAnsi="Times New Roman" w:eastAsia="仿宋_GB2312" w:cs="Times New Roman"/>
                <w:kern w:val="3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7" w:hRule="atLeast"/>
        </w:trPr>
        <w:tc>
          <w:tcPr>
            <w:tcW w:w="320" w:type="pct"/>
            <w:vAlign w:val="center"/>
          </w:tcPr>
          <w:p>
            <w:pPr>
              <w:spacing w:line="540" w:lineRule="exact"/>
              <w:jc w:val="center"/>
              <w:rPr>
                <w:rFonts w:hint="default" w:ascii="Times New Roman" w:hAnsi="Times New Roman" w:eastAsia="仿宋_GB2312" w:cs="Times New Roman"/>
                <w:kern w:val="32"/>
                <w:sz w:val="28"/>
                <w:szCs w:val="28"/>
                <w:lang w:val="en-US" w:eastAsia="zh-CN" w:bidi="ar-SA"/>
              </w:rPr>
            </w:pPr>
            <w:r>
              <w:rPr>
                <w:rFonts w:hint="default" w:ascii="Times New Roman" w:hAnsi="Times New Roman" w:eastAsia="仿宋_GB2312" w:cs="Times New Roman"/>
                <w:kern w:val="32"/>
                <w:sz w:val="28"/>
                <w:szCs w:val="28"/>
                <w:lang w:val="en-US" w:eastAsia="zh-CN"/>
              </w:rPr>
              <w:t>6</w:t>
            </w:r>
          </w:p>
        </w:tc>
        <w:tc>
          <w:tcPr>
            <w:tcW w:w="673" w:type="pct"/>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sz w:val="28"/>
                <w:szCs w:val="28"/>
                <w:lang w:val="en-US" w:eastAsia="zh-CN"/>
              </w:rPr>
            </w:pPr>
            <w:r>
              <w:rPr>
                <w:rFonts w:hint="default" w:ascii="Times New Roman" w:hAnsi="Times New Roman" w:eastAsia="仿宋_GB2312" w:cs="Times New Roman"/>
                <w:b w:val="0"/>
                <w:bCs/>
                <w:sz w:val="28"/>
                <w:szCs w:val="28"/>
                <w:lang w:val="en-US" w:eastAsia="zh-CN"/>
              </w:rPr>
              <w:t>常州市建筑科学研究院集团股份有限公司</w:t>
            </w:r>
          </w:p>
        </w:tc>
        <w:tc>
          <w:tcPr>
            <w:tcW w:w="4006" w:type="pct"/>
            <w:vAlign w:val="center"/>
          </w:tcPr>
          <w:p>
            <w:pPr>
              <w:keepNext w:val="0"/>
              <w:keepLines w:val="0"/>
              <w:pageBreakBefore w:val="0"/>
              <w:widowControl/>
              <w:kinsoku/>
              <w:wordWrap/>
              <w:overflowPunct/>
              <w:topLinePunct w:val="0"/>
              <w:autoSpaceDE/>
              <w:autoSpaceDN/>
              <w:bidi w:val="0"/>
              <w:adjustRightInd/>
              <w:snapToGrid/>
              <w:spacing w:line="360" w:lineRule="exact"/>
              <w:ind w:firstLine="560" w:firstLineChars="200"/>
              <w:jc w:val="left"/>
              <w:textAlignment w:val="auto"/>
              <w:rPr>
                <w:rFonts w:hint="default" w:ascii="Times New Roman" w:hAnsi="Times New Roman" w:eastAsia="仿宋_GB2312" w:cs="Times New Roman"/>
                <w:color w:val="000000"/>
                <w:spacing w:val="0"/>
                <w:kern w:val="0"/>
                <w:sz w:val="28"/>
                <w:szCs w:val="28"/>
                <w:shd w:val="clear" w:color="auto" w:fill="auto"/>
                <w:lang w:eastAsia="zh-CN"/>
              </w:rPr>
            </w:pPr>
            <w:r>
              <w:rPr>
                <w:rFonts w:hint="default" w:ascii="Times New Roman" w:hAnsi="Times New Roman" w:eastAsia="仿宋_GB2312" w:cs="Times New Roman"/>
                <w:color w:val="000000"/>
                <w:spacing w:val="0"/>
                <w:kern w:val="0"/>
                <w:sz w:val="28"/>
                <w:szCs w:val="28"/>
                <w:shd w:val="clear" w:color="auto" w:fill="auto"/>
                <w:lang w:eastAsia="zh-CN"/>
              </w:rPr>
              <w:t>公司始建于1959年，是以检验检测为核心主业，新材料、新技术和新经济助力发展的立足国内布局全国的综合性技术服务企业，聚焦检验检测认证大行业、新材料、新技术和新经济专业领域的科学技术应用研究。公司先后获得国家知识产权优势企业、国家高新技术企业、江苏省服务业创新示范企业、江苏省生产性服务业领军企业、常州市五星级明星企业等荣誉。</w:t>
            </w:r>
          </w:p>
          <w:p>
            <w:pPr>
              <w:keepNext w:val="0"/>
              <w:keepLines w:val="0"/>
              <w:pageBreakBefore w:val="0"/>
              <w:widowControl/>
              <w:kinsoku/>
              <w:wordWrap/>
              <w:overflowPunct/>
              <w:topLinePunct w:val="0"/>
              <w:autoSpaceDE/>
              <w:autoSpaceDN/>
              <w:bidi w:val="0"/>
              <w:adjustRightInd/>
              <w:snapToGrid/>
              <w:spacing w:line="360" w:lineRule="exact"/>
              <w:ind w:firstLine="560" w:firstLineChars="200"/>
              <w:jc w:val="left"/>
              <w:textAlignment w:val="auto"/>
              <w:rPr>
                <w:rFonts w:hint="default" w:ascii="Times New Roman" w:hAnsi="Times New Roman" w:eastAsia="仿宋_GB2312" w:cs="Times New Roman"/>
                <w:color w:val="000000"/>
                <w:spacing w:val="0"/>
                <w:kern w:val="0"/>
                <w:sz w:val="28"/>
                <w:szCs w:val="28"/>
                <w:shd w:val="clear" w:color="auto" w:fill="auto"/>
                <w:lang w:eastAsia="zh-CN"/>
              </w:rPr>
            </w:pPr>
            <w:r>
              <w:rPr>
                <w:rFonts w:hint="default" w:ascii="Times New Roman" w:hAnsi="Times New Roman" w:eastAsia="仿宋_GB2312" w:cs="Times New Roman"/>
                <w:color w:val="000000"/>
                <w:spacing w:val="0"/>
                <w:kern w:val="0"/>
                <w:sz w:val="28"/>
                <w:szCs w:val="28"/>
                <w:shd w:val="clear" w:color="auto" w:fill="auto"/>
                <w:lang w:eastAsia="zh-CN"/>
              </w:rPr>
              <w:t>公司实力与规模在全国建科院中名列前茅，通过CMA计量认证和CNAS中国合格评定国家实验室认可，建有工信部“工业（建材）产品质量控制和技术评价实验室”、江苏省建材与建筑碳排放核算与监测技术公共服务平台、江苏省绿色建筑材料工程技术研究中心、江苏省企业院士工作站、江苏省建筑产业现代化示范基地、江苏省既有建筑改造修复工程研究中心等10多个省级技术研发和服务平台。研发平台均配备有专业实验室，拥有土木工程、结构工程、材料学、化学、测绘、岩土、计算机、电气工程与自动化等多个专业的科研人员。</w:t>
            </w:r>
          </w:p>
          <w:p>
            <w:pPr>
              <w:keepNext w:val="0"/>
              <w:keepLines w:val="0"/>
              <w:pageBreakBefore w:val="0"/>
              <w:widowControl/>
              <w:kinsoku/>
              <w:wordWrap/>
              <w:overflowPunct/>
              <w:topLinePunct w:val="0"/>
              <w:autoSpaceDE/>
              <w:autoSpaceDN/>
              <w:bidi w:val="0"/>
              <w:adjustRightInd/>
              <w:snapToGrid/>
              <w:spacing w:line="360" w:lineRule="exact"/>
              <w:ind w:firstLine="560" w:firstLineChars="200"/>
              <w:jc w:val="left"/>
              <w:textAlignment w:val="auto"/>
              <w:rPr>
                <w:rFonts w:hint="default" w:ascii="Times New Roman" w:hAnsi="Times New Roman" w:eastAsia="仿宋_GB2312" w:cs="Times New Roman"/>
                <w:kern w:val="32"/>
                <w:sz w:val="28"/>
                <w:szCs w:val="28"/>
              </w:rPr>
            </w:pPr>
            <w:r>
              <w:rPr>
                <w:rFonts w:hint="default" w:ascii="Times New Roman" w:hAnsi="Times New Roman" w:eastAsia="仿宋_GB2312" w:cs="Times New Roman"/>
                <w:color w:val="000000"/>
                <w:spacing w:val="0"/>
                <w:kern w:val="0"/>
                <w:sz w:val="28"/>
                <w:szCs w:val="28"/>
                <w:shd w:val="clear" w:color="auto" w:fill="auto"/>
                <w:lang w:eastAsia="zh-CN"/>
              </w:rPr>
              <w:t>截至2022年底，公司拥有有效发明专利85项，实用新型专利265项，软件著作权登记证书30件；主编、参编标准共计42项，在编各类标准近58项。公司分别于2017年荣获华夏建设科学技术奖二等奖、2018年荣获华夏建设科学技术奖一等奖、2020年荣获中国石油和化学工业联合会科学技术奖（科技进步二等奖）和2021年常州市专利金奖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2" w:hRule="atLeast"/>
        </w:trPr>
        <w:tc>
          <w:tcPr>
            <w:tcW w:w="320" w:type="pct"/>
            <w:vAlign w:val="center"/>
          </w:tcPr>
          <w:p>
            <w:pPr>
              <w:spacing w:line="540" w:lineRule="exact"/>
              <w:jc w:val="center"/>
              <w:rPr>
                <w:rFonts w:hint="default" w:ascii="Times New Roman" w:hAnsi="Times New Roman" w:eastAsia="仿宋_GB2312" w:cs="Times New Roman"/>
                <w:kern w:val="32"/>
                <w:sz w:val="28"/>
                <w:szCs w:val="28"/>
                <w:lang w:val="en-US" w:eastAsia="zh-CN" w:bidi="ar-SA"/>
              </w:rPr>
            </w:pPr>
            <w:r>
              <w:rPr>
                <w:rFonts w:hint="default" w:ascii="Times New Roman" w:hAnsi="Times New Roman" w:eastAsia="仿宋_GB2312" w:cs="Times New Roman"/>
                <w:kern w:val="32"/>
                <w:sz w:val="28"/>
                <w:szCs w:val="28"/>
                <w:lang w:val="en-US" w:eastAsia="zh-CN"/>
              </w:rPr>
              <w:t>7</w:t>
            </w:r>
          </w:p>
        </w:tc>
        <w:tc>
          <w:tcPr>
            <w:tcW w:w="673" w:type="pct"/>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sz w:val="28"/>
                <w:szCs w:val="28"/>
                <w:lang w:val="en-US" w:eastAsia="zh-CN"/>
              </w:rPr>
            </w:pPr>
            <w:r>
              <w:rPr>
                <w:rFonts w:hint="default" w:ascii="Times New Roman" w:hAnsi="Times New Roman" w:eastAsia="仿宋_GB2312" w:cs="Times New Roman"/>
                <w:b w:val="0"/>
                <w:bCs/>
                <w:sz w:val="28"/>
                <w:szCs w:val="28"/>
                <w:lang w:val="en-US" w:eastAsia="zh-CN"/>
              </w:rPr>
              <w:t>今创集团股份有限公司</w:t>
            </w:r>
          </w:p>
        </w:tc>
        <w:tc>
          <w:tcPr>
            <w:tcW w:w="4006" w:type="pct"/>
            <w:vAlign w:val="center"/>
          </w:tcPr>
          <w:p>
            <w:pPr>
              <w:keepNext w:val="0"/>
              <w:keepLines w:val="0"/>
              <w:pageBreakBefore w:val="0"/>
              <w:widowControl/>
              <w:kinsoku/>
              <w:wordWrap/>
              <w:overflowPunct/>
              <w:topLinePunct w:val="0"/>
              <w:autoSpaceDE/>
              <w:autoSpaceDN/>
              <w:bidi w:val="0"/>
              <w:adjustRightInd/>
              <w:snapToGrid/>
              <w:spacing w:line="360" w:lineRule="exact"/>
              <w:ind w:firstLine="560" w:firstLineChars="200"/>
              <w:jc w:val="left"/>
              <w:textAlignment w:val="auto"/>
              <w:rPr>
                <w:rFonts w:hint="default" w:ascii="Times New Roman" w:hAnsi="Times New Roman" w:eastAsia="仿宋_GB2312" w:cs="Times New Roman"/>
                <w:color w:val="000000"/>
                <w:spacing w:val="0"/>
                <w:kern w:val="0"/>
                <w:sz w:val="28"/>
                <w:szCs w:val="28"/>
                <w:shd w:val="clear" w:color="auto" w:fill="auto"/>
                <w:lang w:eastAsia="zh-CN"/>
              </w:rPr>
            </w:pPr>
            <w:r>
              <w:rPr>
                <w:rFonts w:hint="default" w:ascii="Times New Roman" w:hAnsi="Times New Roman" w:eastAsia="仿宋_GB2312" w:cs="Times New Roman"/>
                <w:color w:val="000000"/>
                <w:spacing w:val="0"/>
                <w:kern w:val="0"/>
                <w:sz w:val="28"/>
                <w:szCs w:val="28"/>
                <w:shd w:val="clear" w:color="auto" w:fill="auto"/>
                <w:lang w:eastAsia="zh-CN"/>
              </w:rPr>
              <w:t>公司于2018年2月27日上交所上市，是全球轨道交通行业内产品种类最全、企业规模最大、系统集成能力最强的一站式</w:t>
            </w:r>
            <w:r>
              <w:rPr>
                <w:rFonts w:hint="eastAsia" w:ascii="Times New Roman" w:hAnsi="Times New Roman" w:eastAsia="仿宋_GB2312" w:cs="Times New Roman"/>
                <w:color w:val="000000"/>
                <w:spacing w:val="0"/>
                <w:kern w:val="0"/>
                <w:sz w:val="28"/>
                <w:szCs w:val="28"/>
                <w:shd w:val="clear" w:color="auto" w:fill="auto"/>
                <w:lang w:eastAsia="zh-CN"/>
              </w:rPr>
              <w:t>服务</w:t>
            </w:r>
            <w:r>
              <w:rPr>
                <w:rFonts w:hint="default" w:ascii="Times New Roman" w:hAnsi="Times New Roman" w:eastAsia="仿宋_GB2312" w:cs="Times New Roman"/>
                <w:color w:val="000000"/>
                <w:spacing w:val="0"/>
                <w:kern w:val="0"/>
                <w:sz w:val="28"/>
                <w:szCs w:val="28"/>
                <w:shd w:val="clear" w:color="auto" w:fill="auto"/>
                <w:lang w:eastAsia="zh-CN"/>
              </w:rPr>
              <w:t>供应商，全球范围内下属子公司58家，其中境内48家，境外10家</w:t>
            </w:r>
            <w:r>
              <w:rPr>
                <w:rFonts w:hint="eastAsia" w:ascii="Times New Roman" w:hAnsi="Times New Roman" w:eastAsia="仿宋_GB2312" w:cs="Times New Roman"/>
                <w:color w:val="000000"/>
                <w:spacing w:val="0"/>
                <w:kern w:val="0"/>
                <w:sz w:val="28"/>
                <w:szCs w:val="28"/>
                <w:shd w:val="clear" w:color="auto" w:fill="auto"/>
                <w:lang w:eastAsia="zh-CN"/>
              </w:rPr>
              <w:t>，</w:t>
            </w:r>
            <w:r>
              <w:rPr>
                <w:rFonts w:hint="default" w:ascii="Times New Roman" w:hAnsi="Times New Roman" w:eastAsia="仿宋_GB2312" w:cs="Times New Roman"/>
                <w:color w:val="000000"/>
                <w:spacing w:val="0"/>
                <w:kern w:val="0"/>
                <w:sz w:val="28"/>
                <w:szCs w:val="28"/>
                <w:shd w:val="clear" w:color="auto" w:fill="auto"/>
                <w:lang w:eastAsia="zh-CN"/>
              </w:rPr>
              <w:t>今创股份2022 年实现销售约35.34亿元。主要产品市场占有率：国内42.9% （第一）、国际26.6%（第三）。近年来，企业自主创新攻克了轨道交通多项核心技术，公司秉持科技是第一生产力的理念，以市场需求为导向进行新产品新技术的研发，每年持续投入上亿元的研发经费。每年研发经费占营业收入比为4%以上。</w:t>
            </w:r>
          </w:p>
          <w:p>
            <w:pPr>
              <w:keepNext w:val="0"/>
              <w:keepLines w:val="0"/>
              <w:pageBreakBefore w:val="0"/>
              <w:widowControl/>
              <w:kinsoku/>
              <w:wordWrap/>
              <w:overflowPunct/>
              <w:topLinePunct w:val="0"/>
              <w:autoSpaceDE/>
              <w:autoSpaceDN/>
              <w:bidi w:val="0"/>
              <w:adjustRightInd/>
              <w:snapToGrid/>
              <w:spacing w:line="360" w:lineRule="exact"/>
              <w:ind w:firstLine="560" w:firstLineChars="200"/>
              <w:jc w:val="left"/>
              <w:textAlignment w:val="auto"/>
              <w:rPr>
                <w:rFonts w:hint="default" w:ascii="Times New Roman" w:hAnsi="Times New Roman" w:eastAsia="仿宋_GB2312" w:cs="Times New Roman"/>
                <w:color w:val="000000"/>
                <w:spacing w:val="0"/>
                <w:kern w:val="0"/>
                <w:sz w:val="28"/>
                <w:szCs w:val="28"/>
                <w:shd w:val="clear" w:color="auto" w:fill="auto"/>
                <w:lang w:eastAsia="zh-CN"/>
              </w:rPr>
            </w:pPr>
            <w:r>
              <w:rPr>
                <w:rFonts w:hint="default" w:ascii="Times New Roman" w:hAnsi="Times New Roman" w:eastAsia="仿宋_GB2312" w:cs="Times New Roman"/>
                <w:color w:val="000000"/>
                <w:spacing w:val="0"/>
                <w:kern w:val="0"/>
                <w:sz w:val="28"/>
                <w:szCs w:val="28"/>
                <w:shd w:val="clear" w:color="auto" w:fill="auto"/>
                <w:lang w:eastAsia="zh-CN"/>
              </w:rPr>
              <w:t>高速动车组塞拉门自引进以来核心技术全部掌握在欧洲和日本公司手里。公司采用自主研发及高校产学研相结合的模式，历时8年时间研发出达到国际先进水平的高速动车组塞拉门产品，打破了欧洲和日本公司的技术垄断。通过采用自主研发和产学研合作等方式，打破了欧洲 IFE 公司、虎伯拉公司、英国公司等在超塑气胀成型技术、风挡等轨道交通车辆核心技术方面的技术壁垒。</w:t>
            </w:r>
          </w:p>
          <w:p>
            <w:pPr>
              <w:keepNext w:val="0"/>
              <w:keepLines w:val="0"/>
              <w:pageBreakBefore w:val="0"/>
              <w:widowControl/>
              <w:kinsoku/>
              <w:wordWrap/>
              <w:overflowPunct/>
              <w:topLinePunct w:val="0"/>
              <w:autoSpaceDE/>
              <w:autoSpaceDN/>
              <w:bidi w:val="0"/>
              <w:adjustRightInd/>
              <w:snapToGrid/>
              <w:spacing w:line="360" w:lineRule="exact"/>
              <w:ind w:firstLine="560" w:firstLineChars="200"/>
              <w:jc w:val="left"/>
              <w:textAlignment w:val="auto"/>
              <w:rPr>
                <w:rFonts w:hint="default" w:ascii="Times New Roman" w:hAnsi="Times New Roman" w:eastAsia="仿宋_GB2312" w:cs="Times New Roman"/>
                <w:kern w:val="32"/>
                <w:sz w:val="28"/>
                <w:szCs w:val="28"/>
              </w:rPr>
            </w:pPr>
            <w:r>
              <w:rPr>
                <w:rFonts w:hint="default" w:ascii="Times New Roman" w:hAnsi="Times New Roman" w:eastAsia="仿宋_GB2312" w:cs="Times New Roman"/>
                <w:color w:val="000000"/>
                <w:spacing w:val="0"/>
                <w:kern w:val="0"/>
                <w:sz w:val="28"/>
                <w:szCs w:val="28"/>
                <w:shd w:val="clear" w:color="auto" w:fill="auto"/>
                <w:lang w:eastAsia="zh-CN"/>
              </w:rPr>
              <w:t>公司的核心技术使公司能够更好地满足轨道交通车辆装备市场的需求，国际市场目前公司是全球知名轨道交通车辆制造企业庞巴迪、阿尔斯通、西门子、日立等主机厂的战略合作供应商，产品销往澳大利亚、法国、英国、比利时、德国、 意大利、西班牙、美国、加拿大等国家和地区，国内市场公司是中车青岛四方股份、中车长客股份、中车唐山 股份、中车株洲股份、中车浦镇股份等主机厂的战略合作伙伴，产品市场占有率一直名列行业首位，近5年累计实现销售收入超150亿元。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8" w:hRule="atLeast"/>
        </w:trPr>
        <w:tc>
          <w:tcPr>
            <w:tcW w:w="320" w:type="pct"/>
            <w:vAlign w:val="center"/>
          </w:tcPr>
          <w:p>
            <w:pPr>
              <w:spacing w:line="540" w:lineRule="exact"/>
              <w:jc w:val="center"/>
              <w:rPr>
                <w:rFonts w:hint="default" w:ascii="Times New Roman" w:hAnsi="Times New Roman" w:eastAsia="仿宋_GB2312" w:cs="Times New Roman"/>
                <w:kern w:val="32"/>
                <w:sz w:val="28"/>
                <w:szCs w:val="28"/>
                <w:lang w:val="en-US" w:eastAsia="zh-CN"/>
              </w:rPr>
            </w:pPr>
            <w:r>
              <w:rPr>
                <w:rFonts w:hint="default" w:ascii="Times New Roman" w:hAnsi="Times New Roman" w:eastAsia="仿宋_GB2312" w:cs="Times New Roman"/>
                <w:kern w:val="32"/>
                <w:sz w:val="28"/>
                <w:szCs w:val="28"/>
                <w:lang w:val="en-US" w:eastAsia="zh-CN"/>
              </w:rPr>
              <w:t>8</w:t>
            </w:r>
          </w:p>
        </w:tc>
        <w:tc>
          <w:tcPr>
            <w:tcW w:w="673" w:type="pct"/>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color w:val="000000"/>
                <w:spacing w:val="0"/>
                <w:kern w:val="0"/>
                <w:sz w:val="28"/>
                <w:szCs w:val="28"/>
                <w:shd w:val="clear" w:color="auto" w:fill="auto"/>
                <w:lang w:val="en-US" w:eastAsia="zh-CN"/>
              </w:rPr>
            </w:pPr>
            <w:r>
              <w:rPr>
                <w:rFonts w:hint="default" w:ascii="Times New Roman" w:hAnsi="Times New Roman" w:eastAsia="仿宋_GB2312" w:cs="Times New Roman"/>
                <w:color w:val="000000"/>
                <w:spacing w:val="0"/>
                <w:kern w:val="0"/>
                <w:sz w:val="28"/>
                <w:szCs w:val="28"/>
                <w:shd w:val="clear" w:color="auto" w:fill="auto"/>
                <w:lang w:val="en-US" w:eastAsia="zh-CN"/>
              </w:rPr>
              <w:t>江苏高凯精密流体技术股份有限公司</w:t>
            </w:r>
          </w:p>
        </w:tc>
        <w:tc>
          <w:tcPr>
            <w:tcW w:w="4006" w:type="pct"/>
            <w:vAlign w:val="center"/>
          </w:tcPr>
          <w:p>
            <w:pPr>
              <w:keepNext w:val="0"/>
              <w:keepLines w:val="0"/>
              <w:pageBreakBefore w:val="0"/>
              <w:widowControl/>
              <w:kinsoku/>
              <w:wordWrap/>
              <w:overflowPunct/>
              <w:topLinePunct w:val="0"/>
              <w:autoSpaceDE/>
              <w:autoSpaceDN/>
              <w:bidi w:val="0"/>
              <w:adjustRightInd/>
              <w:snapToGrid/>
              <w:spacing w:line="360" w:lineRule="exact"/>
              <w:ind w:firstLine="560" w:firstLineChars="200"/>
              <w:jc w:val="left"/>
              <w:textAlignment w:val="auto"/>
              <w:rPr>
                <w:rFonts w:hint="default" w:ascii="Times New Roman" w:hAnsi="Times New Roman" w:eastAsia="仿宋_GB2312" w:cs="Times New Roman"/>
                <w:color w:val="000000"/>
                <w:spacing w:val="0"/>
                <w:kern w:val="0"/>
                <w:sz w:val="28"/>
                <w:szCs w:val="28"/>
                <w:shd w:val="clear" w:color="auto" w:fill="auto"/>
                <w:lang w:eastAsia="zh-CN"/>
              </w:rPr>
            </w:pPr>
            <w:r>
              <w:rPr>
                <w:rFonts w:hint="eastAsia" w:ascii="Times New Roman" w:hAnsi="Times New Roman" w:eastAsia="仿宋_GB2312" w:cs="Times New Roman"/>
                <w:color w:val="000000"/>
                <w:spacing w:val="0"/>
                <w:kern w:val="0"/>
                <w:sz w:val="28"/>
                <w:szCs w:val="28"/>
                <w:shd w:val="clear" w:color="auto" w:fill="auto"/>
                <w:lang w:eastAsia="zh-CN"/>
              </w:rPr>
              <w:t>该公司是全球精密流体控制领域的知名制造商，由多位吉林大学博士创立于</w:t>
            </w:r>
            <w:r>
              <w:rPr>
                <w:rFonts w:hint="default" w:ascii="Times New Roman" w:hAnsi="Times New Roman" w:eastAsia="仿宋_GB2312" w:cs="Times New Roman"/>
                <w:color w:val="000000"/>
                <w:spacing w:val="0"/>
                <w:kern w:val="0"/>
                <w:sz w:val="28"/>
                <w:szCs w:val="28"/>
                <w:shd w:val="clear" w:color="auto" w:fill="auto"/>
                <w:lang w:eastAsia="zh-CN"/>
              </w:rPr>
              <w:t>2013年，并拥有雄厚的风投基金和战略投资人的资金支持。公司现为上交所科创板拟上市企业，先后荣获国家高新技术企业、国家“专精特新”小巨人企业、江苏省工程技术研究中心、江苏潜在独角兽企业等荣誉称号，同时公司创始人荣获“科技部创新人才推进计划”。</w:t>
            </w:r>
          </w:p>
          <w:p>
            <w:pPr>
              <w:keepNext w:val="0"/>
              <w:keepLines w:val="0"/>
              <w:pageBreakBefore w:val="0"/>
              <w:widowControl/>
              <w:kinsoku/>
              <w:wordWrap/>
              <w:overflowPunct/>
              <w:topLinePunct w:val="0"/>
              <w:autoSpaceDE/>
              <w:autoSpaceDN/>
              <w:bidi w:val="0"/>
              <w:adjustRightInd/>
              <w:snapToGrid/>
              <w:spacing w:line="360" w:lineRule="exact"/>
              <w:ind w:firstLine="560" w:firstLineChars="200"/>
              <w:jc w:val="left"/>
              <w:textAlignment w:val="auto"/>
              <w:rPr>
                <w:rFonts w:hint="eastAsia" w:ascii="Times New Roman" w:hAnsi="Times New Roman" w:eastAsia="仿宋_GB2312" w:cs="Times New Roman"/>
                <w:color w:val="000000"/>
                <w:spacing w:val="0"/>
                <w:kern w:val="0"/>
                <w:sz w:val="28"/>
                <w:szCs w:val="28"/>
                <w:shd w:val="clear" w:color="auto" w:fill="auto"/>
                <w:lang w:eastAsia="zh-CN"/>
              </w:rPr>
            </w:pPr>
            <w:r>
              <w:rPr>
                <w:rFonts w:hint="eastAsia" w:ascii="Times New Roman" w:hAnsi="Times New Roman" w:eastAsia="仿宋_GB2312" w:cs="Times New Roman"/>
                <w:color w:val="000000"/>
                <w:spacing w:val="0"/>
                <w:kern w:val="0"/>
                <w:sz w:val="28"/>
                <w:szCs w:val="28"/>
                <w:shd w:val="clear" w:color="auto" w:fill="auto"/>
                <w:lang w:eastAsia="zh-CN"/>
              </w:rPr>
              <w:t>公司致力于压电驱动精密流体控制技术的自主研发和产业化应用，形成了以压电驱动与控制技术为基础，以精密流体控制为目标的核心技术体系，积累了丰富的创新技术研发及产业化经验。公司每年投入</w:t>
            </w:r>
            <w:r>
              <w:rPr>
                <w:rFonts w:hint="default" w:ascii="Times New Roman" w:hAnsi="Times New Roman" w:eastAsia="仿宋_GB2312" w:cs="Times New Roman"/>
                <w:color w:val="000000"/>
                <w:spacing w:val="0"/>
                <w:kern w:val="0"/>
                <w:sz w:val="28"/>
                <w:szCs w:val="28"/>
                <w:shd w:val="clear" w:color="auto" w:fill="auto"/>
                <w:lang w:eastAsia="zh-CN"/>
              </w:rPr>
              <w:t>15%的销售收入用于新产品开发，拥有各类专利技术128项，公司研发技术人员占比60%以上。公司产品成功应用在声学、光学、柔性电路板和整机组装等多个消费电子制造领域，以及新能源电池、光伏、半导体制造、工业控制等领域。目前公司与宁德时代、比亚迪、富士康、立讯精密、瑞声科技、歌尔声学、ATL、华天科技等各领域头部制造商达成深度合作。</w:t>
            </w:r>
          </w:p>
          <w:p>
            <w:pPr>
              <w:keepNext w:val="0"/>
              <w:keepLines w:val="0"/>
              <w:pageBreakBefore w:val="0"/>
              <w:widowControl/>
              <w:kinsoku/>
              <w:wordWrap/>
              <w:overflowPunct/>
              <w:topLinePunct w:val="0"/>
              <w:autoSpaceDE/>
              <w:autoSpaceDN/>
              <w:bidi w:val="0"/>
              <w:adjustRightInd/>
              <w:snapToGrid/>
              <w:spacing w:line="360" w:lineRule="exact"/>
              <w:ind w:firstLine="560" w:firstLineChars="200"/>
              <w:jc w:val="left"/>
              <w:textAlignment w:val="auto"/>
              <w:rPr>
                <w:rFonts w:hint="default" w:ascii="Times New Roman" w:hAnsi="Times New Roman" w:eastAsia="仿宋_GB2312" w:cs="Times New Roman"/>
                <w:color w:val="000000"/>
                <w:spacing w:val="0"/>
                <w:kern w:val="0"/>
                <w:sz w:val="28"/>
                <w:szCs w:val="28"/>
                <w:shd w:val="clear" w:color="auto" w:fill="auto"/>
                <w:lang w:eastAsia="zh-CN"/>
              </w:rPr>
            </w:pPr>
          </w:p>
        </w:tc>
      </w:tr>
    </w:tbl>
    <w:p>
      <w:pPr>
        <w:spacing w:line="540" w:lineRule="exact"/>
        <w:rPr>
          <w:rFonts w:hint="default" w:ascii="Times New Roman" w:hAnsi="Times New Roman" w:eastAsia="黑体" w:cs="Times New Roman"/>
          <w:kern w:val="32"/>
          <w:sz w:val="28"/>
          <w:szCs w:val="28"/>
        </w:rPr>
      </w:pPr>
      <w:r>
        <w:rPr>
          <w:rFonts w:hint="default" w:ascii="Times New Roman" w:hAnsi="Times New Roman" w:eastAsia="黑体" w:cs="Times New Roman"/>
          <w:kern w:val="32"/>
          <w:sz w:val="28"/>
          <w:szCs w:val="28"/>
        </w:rPr>
        <w:t>附件3</w:t>
      </w:r>
    </w:p>
    <w:p>
      <w:pPr>
        <w:spacing w:line="540" w:lineRule="exact"/>
        <w:jc w:val="center"/>
        <w:rPr>
          <w:rFonts w:hint="default" w:ascii="Times New Roman" w:hAnsi="Times New Roman" w:eastAsia="方正小标宋简体" w:cs="Times New Roman"/>
          <w:kern w:val="32"/>
          <w:sz w:val="32"/>
          <w:szCs w:val="32"/>
        </w:rPr>
      </w:pPr>
      <w:r>
        <w:rPr>
          <w:rFonts w:hint="default" w:ascii="Times New Roman" w:hAnsi="Times New Roman" w:eastAsia="方正小标宋简体" w:cs="Times New Roman"/>
          <w:kern w:val="32"/>
          <w:sz w:val="32"/>
          <w:szCs w:val="32"/>
        </w:rPr>
        <w:t>江苏省科技创新发展先进个人</w:t>
      </w:r>
      <w:r>
        <w:rPr>
          <w:rFonts w:hint="default" w:ascii="Times New Roman" w:hAnsi="Times New Roman" w:eastAsia="方正小标宋简体" w:cs="Times New Roman"/>
          <w:kern w:val="32"/>
          <w:sz w:val="32"/>
          <w:szCs w:val="32"/>
          <w:lang w:eastAsia="zh-CN"/>
        </w:rPr>
        <w:t>拟</w:t>
      </w:r>
      <w:r>
        <w:rPr>
          <w:rFonts w:hint="default" w:ascii="Times New Roman" w:hAnsi="Times New Roman" w:eastAsia="方正小标宋简体" w:cs="Times New Roman"/>
          <w:kern w:val="32"/>
          <w:sz w:val="32"/>
          <w:szCs w:val="32"/>
        </w:rPr>
        <w:t>推荐对象汇总表</w:t>
      </w:r>
    </w:p>
    <w:tbl>
      <w:tblPr>
        <w:tblStyle w:val="8"/>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3"/>
        <w:gridCol w:w="1209"/>
        <w:gridCol w:w="837"/>
        <w:gridCol w:w="2330"/>
        <w:gridCol w:w="90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305" w:type="pct"/>
            <w:vAlign w:val="center"/>
          </w:tcPr>
          <w:p>
            <w:pPr>
              <w:tabs>
                <w:tab w:val="left" w:pos="1050"/>
              </w:tabs>
              <w:spacing w:line="540" w:lineRule="exact"/>
              <w:jc w:val="center"/>
              <w:rPr>
                <w:rFonts w:hint="default" w:ascii="Times New Roman" w:hAnsi="Times New Roman" w:eastAsia="黑体" w:cs="Times New Roman"/>
                <w:kern w:val="32"/>
                <w:sz w:val="28"/>
                <w:szCs w:val="28"/>
              </w:rPr>
            </w:pPr>
            <w:r>
              <w:rPr>
                <w:rFonts w:hint="default" w:ascii="Times New Roman" w:hAnsi="Times New Roman" w:eastAsia="黑体" w:cs="Times New Roman"/>
                <w:kern w:val="32"/>
                <w:sz w:val="28"/>
                <w:szCs w:val="28"/>
              </w:rPr>
              <w:t>序号</w:t>
            </w:r>
          </w:p>
        </w:tc>
        <w:tc>
          <w:tcPr>
            <w:tcW w:w="422" w:type="pct"/>
            <w:vAlign w:val="center"/>
          </w:tcPr>
          <w:p>
            <w:pPr>
              <w:spacing w:line="540" w:lineRule="exact"/>
              <w:jc w:val="center"/>
              <w:rPr>
                <w:rFonts w:hint="default" w:ascii="Times New Roman" w:hAnsi="Times New Roman" w:eastAsia="黑体" w:cs="Times New Roman"/>
                <w:kern w:val="32"/>
                <w:sz w:val="28"/>
                <w:szCs w:val="28"/>
              </w:rPr>
            </w:pPr>
            <w:r>
              <w:rPr>
                <w:rFonts w:hint="default" w:ascii="Times New Roman" w:hAnsi="Times New Roman" w:eastAsia="黑体" w:cs="Times New Roman"/>
                <w:kern w:val="32"/>
                <w:sz w:val="28"/>
                <w:szCs w:val="28"/>
              </w:rPr>
              <w:t>姓名</w:t>
            </w:r>
          </w:p>
        </w:tc>
        <w:tc>
          <w:tcPr>
            <w:tcW w:w="292" w:type="pct"/>
            <w:vAlign w:val="center"/>
          </w:tcPr>
          <w:p>
            <w:pPr>
              <w:spacing w:line="540" w:lineRule="exact"/>
              <w:jc w:val="center"/>
              <w:rPr>
                <w:rFonts w:hint="default" w:ascii="Times New Roman" w:hAnsi="Times New Roman" w:eastAsia="黑体" w:cs="Times New Roman"/>
                <w:kern w:val="32"/>
                <w:sz w:val="28"/>
                <w:szCs w:val="28"/>
              </w:rPr>
            </w:pPr>
            <w:r>
              <w:rPr>
                <w:rFonts w:hint="default" w:ascii="Times New Roman" w:hAnsi="Times New Roman" w:eastAsia="黑体" w:cs="Times New Roman"/>
                <w:kern w:val="32"/>
                <w:sz w:val="28"/>
                <w:szCs w:val="28"/>
              </w:rPr>
              <w:t>性别</w:t>
            </w:r>
          </w:p>
        </w:tc>
        <w:tc>
          <w:tcPr>
            <w:tcW w:w="813" w:type="pct"/>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eastAsia="黑体" w:cs="Times New Roman"/>
                <w:kern w:val="32"/>
                <w:sz w:val="28"/>
                <w:szCs w:val="28"/>
                <w:lang w:eastAsia="zh-CN"/>
              </w:rPr>
            </w:pPr>
            <w:r>
              <w:rPr>
                <w:rFonts w:hint="default" w:ascii="Times New Roman" w:hAnsi="Times New Roman" w:eastAsia="黑体" w:cs="Times New Roman"/>
                <w:kern w:val="32"/>
                <w:sz w:val="28"/>
                <w:szCs w:val="28"/>
              </w:rPr>
              <w:t>工作单位</w:t>
            </w:r>
            <w:r>
              <w:rPr>
                <w:rFonts w:hint="default" w:ascii="Times New Roman" w:hAnsi="Times New Roman" w:eastAsia="黑体" w:cs="Times New Roman"/>
                <w:kern w:val="32"/>
                <w:sz w:val="28"/>
                <w:szCs w:val="28"/>
                <w:lang w:eastAsia="zh-CN"/>
              </w:rPr>
              <w:t>及职务职级</w:t>
            </w:r>
          </w:p>
        </w:tc>
        <w:tc>
          <w:tcPr>
            <w:tcW w:w="3166" w:type="pct"/>
            <w:vAlign w:val="center"/>
          </w:tcPr>
          <w:p>
            <w:pPr>
              <w:spacing w:line="540" w:lineRule="exact"/>
              <w:jc w:val="center"/>
              <w:rPr>
                <w:rFonts w:hint="default" w:ascii="Times New Roman" w:hAnsi="Times New Roman" w:eastAsia="黑体" w:cs="Times New Roman"/>
                <w:kern w:val="32"/>
                <w:sz w:val="28"/>
                <w:szCs w:val="28"/>
              </w:rPr>
            </w:pPr>
            <w:r>
              <w:rPr>
                <w:rFonts w:hint="default" w:ascii="Times New Roman" w:hAnsi="Times New Roman" w:eastAsia="黑体" w:cs="Times New Roman"/>
                <w:kern w:val="32"/>
                <w:sz w:val="28"/>
                <w:szCs w:val="28"/>
              </w:rPr>
              <w:t>主要事迹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1" w:hRule="atLeast"/>
        </w:trPr>
        <w:tc>
          <w:tcPr>
            <w:tcW w:w="305" w:type="pct"/>
            <w:vAlign w:val="center"/>
          </w:tcPr>
          <w:p>
            <w:pPr>
              <w:spacing w:line="540" w:lineRule="exact"/>
              <w:jc w:val="center"/>
              <w:rPr>
                <w:rFonts w:hint="default" w:ascii="Times New Roman" w:hAnsi="Times New Roman" w:eastAsia="仿宋_GB2312" w:cs="Times New Roman"/>
                <w:kern w:val="32"/>
                <w:sz w:val="28"/>
                <w:szCs w:val="28"/>
              </w:rPr>
            </w:pPr>
            <w:r>
              <w:rPr>
                <w:rFonts w:hint="default" w:ascii="Times New Roman" w:hAnsi="Times New Roman" w:eastAsia="仿宋_GB2312" w:cs="Times New Roman"/>
                <w:kern w:val="32"/>
                <w:sz w:val="28"/>
                <w:szCs w:val="28"/>
              </w:rPr>
              <w:t>1</w:t>
            </w:r>
          </w:p>
        </w:tc>
        <w:tc>
          <w:tcPr>
            <w:tcW w:w="422" w:type="pct"/>
            <w:vAlign w:val="center"/>
          </w:tcPr>
          <w:p>
            <w:pPr>
              <w:keepNext w:val="0"/>
              <w:keepLines w:val="0"/>
              <w:pageBreakBefore w:val="0"/>
              <w:widowControl/>
              <w:kinsoku/>
              <w:wordWrap/>
              <w:overflowPunct/>
              <w:topLinePunct w:val="0"/>
              <w:autoSpaceDE/>
              <w:autoSpaceDN/>
              <w:bidi w:val="0"/>
              <w:snapToGrid/>
              <w:spacing w:line="360" w:lineRule="exact"/>
              <w:jc w:val="center"/>
              <w:textAlignment w:val="auto"/>
              <w:rPr>
                <w:rFonts w:hint="default" w:ascii="Times New Roman" w:hAnsi="Times New Roman" w:eastAsia="仿宋_GB2312" w:cs="Times New Roman"/>
                <w:b w:val="0"/>
                <w:bCs/>
                <w:sz w:val="28"/>
                <w:szCs w:val="28"/>
                <w:lang w:val="en-US" w:eastAsia="zh-CN"/>
              </w:rPr>
            </w:pPr>
            <w:r>
              <w:rPr>
                <w:rFonts w:hint="default" w:ascii="Times New Roman" w:hAnsi="Times New Roman" w:eastAsia="仿宋_GB2312" w:cs="Times New Roman"/>
                <w:b w:val="0"/>
                <w:bCs/>
                <w:sz w:val="28"/>
                <w:szCs w:val="28"/>
                <w:lang w:val="en-US" w:eastAsia="zh-CN"/>
              </w:rPr>
              <w:t>徐守坤</w:t>
            </w:r>
          </w:p>
        </w:tc>
        <w:tc>
          <w:tcPr>
            <w:tcW w:w="292" w:type="pct"/>
            <w:vAlign w:val="center"/>
          </w:tcPr>
          <w:p>
            <w:pPr>
              <w:keepNext w:val="0"/>
              <w:keepLines w:val="0"/>
              <w:pageBreakBefore w:val="0"/>
              <w:widowControl/>
              <w:kinsoku/>
              <w:wordWrap/>
              <w:overflowPunct/>
              <w:topLinePunct w:val="0"/>
              <w:autoSpaceDE/>
              <w:autoSpaceDN/>
              <w:bidi w:val="0"/>
              <w:snapToGrid/>
              <w:spacing w:line="360" w:lineRule="exact"/>
              <w:jc w:val="center"/>
              <w:textAlignment w:val="auto"/>
              <w:rPr>
                <w:rFonts w:hint="default" w:ascii="Times New Roman" w:hAnsi="Times New Roman" w:eastAsia="仿宋_GB2312" w:cs="Times New Roman"/>
                <w:b w:val="0"/>
                <w:bCs/>
                <w:sz w:val="28"/>
                <w:szCs w:val="28"/>
                <w:lang w:val="en-US" w:eastAsia="zh-CN"/>
              </w:rPr>
            </w:pPr>
            <w:r>
              <w:rPr>
                <w:rFonts w:hint="default" w:ascii="Times New Roman" w:hAnsi="Times New Roman" w:eastAsia="仿宋_GB2312" w:cs="Times New Roman"/>
                <w:b w:val="0"/>
                <w:bCs/>
                <w:sz w:val="28"/>
                <w:szCs w:val="28"/>
                <w:lang w:val="en-US" w:eastAsia="zh-CN"/>
              </w:rPr>
              <w:t>男</w:t>
            </w:r>
          </w:p>
        </w:tc>
        <w:tc>
          <w:tcPr>
            <w:tcW w:w="813" w:type="pct"/>
            <w:vAlign w:val="center"/>
          </w:tcPr>
          <w:p>
            <w:pPr>
              <w:keepNext w:val="0"/>
              <w:keepLines w:val="0"/>
              <w:pageBreakBefore w:val="0"/>
              <w:widowControl/>
              <w:kinsoku/>
              <w:wordWrap/>
              <w:overflowPunct/>
              <w:topLinePunct w:val="0"/>
              <w:autoSpaceDE/>
              <w:autoSpaceDN/>
              <w:bidi w:val="0"/>
              <w:snapToGrid/>
              <w:spacing w:line="360" w:lineRule="exact"/>
              <w:jc w:val="center"/>
              <w:textAlignment w:val="auto"/>
              <w:rPr>
                <w:rFonts w:hint="default" w:ascii="Times New Roman" w:hAnsi="Times New Roman" w:eastAsia="仿宋_GB2312" w:cs="Times New Roman"/>
                <w:b w:val="0"/>
                <w:bCs/>
                <w:sz w:val="28"/>
                <w:szCs w:val="28"/>
                <w:lang w:val="en-US" w:eastAsia="zh-CN"/>
              </w:rPr>
            </w:pPr>
            <w:r>
              <w:rPr>
                <w:rFonts w:hint="default" w:ascii="Times New Roman" w:hAnsi="Times New Roman" w:eastAsia="仿宋_GB2312" w:cs="Times New Roman"/>
                <w:b w:val="0"/>
                <w:bCs/>
                <w:sz w:val="28"/>
                <w:szCs w:val="28"/>
                <w:lang w:val="en-US" w:eastAsia="zh-CN"/>
              </w:rPr>
              <w:t>常州大学，校长</w:t>
            </w:r>
          </w:p>
        </w:tc>
        <w:tc>
          <w:tcPr>
            <w:tcW w:w="3166" w:type="pct"/>
            <w:vAlign w:val="center"/>
          </w:tcPr>
          <w:p>
            <w:pPr>
              <w:keepNext w:val="0"/>
              <w:keepLines w:val="0"/>
              <w:pageBreakBefore w:val="0"/>
              <w:widowControl/>
              <w:kinsoku/>
              <w:wordWrap/>
              <w:overflowPunct/>
              <w:topLinePunct w:val="0"/>
              <w:autoSpaceDE/>
              <w:autoSpaceDN/>
              <w:bidi w:val="0"/>
              <w:adjustRightInd/>
              <w:snapToGrid/>
              <w:spacing w:line="360" w:lineRule="exact"/>
              <w:ind w:firstLine="560" w:firstLineChars="200"/>
              <w:textAlignment w:val="auto"/>
              <w:rPr>
                <w:rFonts w:hint="default" w:ascii="Times New Roman" w:hAnsi="Times New Roman" w:eastAsia="仿宋_GB2312" w:cs="Times New Roman"/>
                <w:kern w:val="32"/>
                <w:sz w:val="28"/>
                <w:szCs w:val="28"/>
              </w:rPr>
            </w:pPr>
            <w:r>
              <w:rPr>
                <w:rFonts w:hint="default" w:ascii="Times New Roman" w:hAnsi="Times New Roman" w:eastAsia="仿宋_GB2312" w:cs="Times New Roman"/>
                <w:color w:val="000000"/>
                <w:spacing w:val="0"/>
                <w:kern w:val="0"/>
                <w:sz w:val="28"/>
                <w:szCs w:val="28"/>
                <w:shd w:val="clear" w:color="auto" w:fill="auto"/>
                <w:lang w:val="en-US" w:eastAsia="zh-CN"/>
              </w:rPr>
              <w:t>（1）中国计算机学会（CCF）杰出会员，教育部高等教学评估中心审核评估专家、中国石化教育协会常务理事、江苏省“333工程”第二层次培养对象。（2）现为教育部首批现代产业学院建设负责人，国家级一流本科专业建设负责人，中国工程教育专业认证专业负责人，全国石油和化工教育“优秀教学团队”负责人，江苏省首批产教融合型品牌专业建设负责人，江苏高校优秀基层教学组织建设负责人，“十四五”江苏高校国际化人才培养品牌专业建设负责人。（3）创新科技管理模式，促进“教育-科技-人才”协同发展，推进“项目制”人才培养模式改革，破除“五唯”顽疾，创新科技人才评价改革，主持建设一批龙头企业引领的国家级和省级现代产业学院。主持参与教育部“新工科”研究与实践项目2项，省级教研课题5项，获国家教学成果二等奖1项，江苏省教学成果特等奖1项、二等奖4项，发表核心教研论文10余篇。（4）研究方向为石化行业智能信息处理，包括石油化工行业关键设备数字孪生技术、石油化工领域知识图谱构建算法以及非均衡分类算法研究等。发表SCI论文30余篇，授权发明专利20余件，省部级以上科技进步奖4项，主（参）编教材3部，制定江苏省地方标准2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98" w:hRule="atLeast"/>
        </w:trPr>
        <w:tc>
          <w:tcPr>
            <w:tcW w:w="305" w:type="pct"/>
            <w:vAlign w:val="center"/>
          </w:tcPr>
          <w:p>
            <w:pPr>
              <w:spacing w:line="540" w:lineRule="exact"/>
              <w:jc w:val="center"/>
              <w:rPr>
                <w:rFonts w:hint="default" w:ascii="Times New Roman" w:hAnsi="Times New Roman" w:eastAsia="仿宋_GB2312" w:cs="Times New Roman"/>
                <w:kern w:val="32"/>
                <w:sz w:val="28"/>
                <w:szCs w:val="28"/>
              </w:rPr>
            </w:pPr>
            <w:r>
              <w:rPr>
                <w:rFonts w:hint="default" w:ascii="Times New Roman" w:hAnsi="Times New Roman" w:eastAsia="仿宋_GB2312" w:cs="Times New Roman"/>
                <w:kern w:val="32"/>
                <w:sz w:val="28"/>
                <w:szCs w:val="28"/>
              </w:rPr>
              <w:t>2</w:t>
            </w:r>
          </w:p>
        </w:tc>
        <w:tc>
          <w:tcPr>
            <w:tcW w:w="422" w:type="pct"/>
            <w:vAlign w:val="center"/>
          </w:tcPr>
          <w:p>
            <w:pPr>
              <w:keepNext w:val="0"/>
              <w:keepLines w:val="0"/>
              <w:pageBreakBefore w:val="0"/>
              <w:kinsoku/>
              <w:wordWrap/>
              <w:overflowPunct/>
              <w:topLinePunct w:val="0"/>
              <w:autoSpaceDE/>
              <w:autoSpaceDN/>
              <w:bidi w:val="0"/>
              <w:snapToGrid/>
              <w:spacing w:line="360" w:lineRule="exact"/>
              <w:ind w:firstLine="0" w:firstLineChars="0"/>
              <w:jc w:val="center"/>
              <w:textAlignment w:val="auto"/>
              <w:rPr>
                <w:rFonts w:hint="default" w:ascii="Times New Roman" w:hAnsi="Times New Roman" w:eastAsia="仿宋_GB2312" w:cs="Times New Roman"/>
                <w:snapToGrid w:val="0"/>
                <w:kern w:val="0"/>
                <w:sz w:val="28"/>
                <w:szCs w:val="28"/>
                <w:lang w:val="en-US" w:eastAsia="zh-CN" w:bidi="ar-SA"/>
              </w:rPr>
            </w:pPr>
            <w:r>
              <w:rPr>
                <w:rFonts w:hint="default" w:ascii="Times New Roman" w:hAnsi="Times New Roman" w:eastAsia="仿宋_GB2312" w:cs="Times New Roman"/>
                <w:snapToGrid w:val="0"/>
                <w:kern w:val="0"/>
                <w:sz w:val="28"/>
                <w:szCs w:val="28"/>
                <w:lang w:val="en-US" w:eastAsia="zh-CN" w:bidi="ar-SA"/>
              </w:rPr>
              <w:t>周全法</w:t>
            </w:r>
          </w:p>
        </w:tc>
        <w:tc>
          <w:tcPr>
            <w:tcW w:w="292" w:type="pct"/>
            <w:vAlign w:val="center"/>
          </w:tcPr>
          <w:p>
            <w:pPr>
              <w:keepNext w:val="0"/>
              <w:keepLines w:val="0"/>
              <w:pageBreakBefore w:val="0"/>
              <w:kinsoku/>
              <w:wordWrap/>
              <w:overflowPunct/>
              <w:topLinePunct w:val="0"/>
              <w:autoSpaceDE/>
              <w:autoSpaceDN/>
              <w:bidi w:val="0"/>
              <w:snapToGrid/>
              <w:spacing w:line="360" w:lineRule="exact"/>
              <w:ind w:firstLine="0" w:firstLineChars="0"/>
              <w:jc w:val="center"/>
              <w:textAlignment w:val="auto"/>
              <w:rPr>
                <w:rFonts w:hint="default" w:ascii="Times New Roman" w:hAnsi="Times New Roman" w:eastAsia="仿宋_GB2312" w:cs="Times New Roman"/>
                <w:snapToGrid w:val="0"/>
                <w:kern w:val="0"/>
                <w:sz w:val="28"/>
                <w:szCs w:val="28"/>
                <w:lang w:val="en-US" w:eastAsia="zh-CN" w:bidi="ar-SA"/>
              </w:rPr>
            </w:pPr>
            <w:r>
              <w:rPr>
                <w:rFonts w:hint="default" w:ascii="Times New Roman" w:hAnsi="Times New Roman" w:eastAsia="仿宋_GB2312" w:cs="Times New Roman"/>
                <w:snapToGrid w:val="0"/>
                <w:kern w:val="0"/>
                <w:sz w:val="28"/>
                <w:szCs w:val="28"/>
                <w:lang w:val="en-US" w:eastAsia="zh-CN" w:bidi="ar-SA"/>
              </w:rPr>
              <w:t>男</w:t>
            </w:r>
          </w:p>
        </w:tc>
        <w:tc>
          <w:tcPr>
            <w:tcW w:w="813" w:type="pct"/>
            <w:vAlign w:val="center"/>
          </w:tcPr>
          <w:p>
            <w:pPr>
              <w:keepNext w:val="0"/>
              <w:keepLines w:val="0"/>
              <w:pageBreakBefore w:val="0"/>
              <w:kinsoku/>
              <w:wordWrap/>
              <w:overflowPunct/>
              <w:topLinePunct w:val="0"/>
              <w:autoSpaceDE/>
              <w:autoSpaceDN/>
              <w:bidi w:val="0"/>
              <w:snapToGrid/>
              <w:spacing w:line="360" w:lineRule="exact"/>
              <w:ind w:firstLine="0" w:firstLineChars="0"/>
              <w:jc w:val="center"/>
              <w:textAlignment w:val="auto"/>
              <w:rPr>
                <w:rFonts w:hint="default" w:ascii="Times New Roman" w:hAnsi="Times New Roman" w:eastAsia="仿宋_GB2312" w:cs="Times New Roman"/>
                <w:snapToGrid w:val="0"/>
                <w:kern w:val="0"/>
                <w:sz w:val="28"/>
                <w:szCs w:val="28"/>
                <w:lang w:val="en-US" w:eastAsia="zh-CN" w:bidi="ar-SA"/>
              </w:rPr>
            </w:pPr>
            <w:r>
              <w:rPr>
                <w:rFonts w:hint="default" w:ascii="Times New Roman" w:hAnsi="Times New Roman" w:eastAsia="仿宋_GB2312" w:cs="Times New Roman"/>
                <w:snapToGrid w:val="0"/>
                <w:kern w:val="0"/>
                <w:sz w:val="28"/>
                <w:szCs w:val="28"/>
                <w:lang w:val="en-US" w:eastAsia="zh-CN" w:bidi="ar-SA"/>
              </w:rPr>
              <w:t>常州工学院副书记、副院长，二级教授、俄罗斯自然科学院外籍院士</w:t>
            </w:r>
          </w:p>
        </w:tc>
        <w:tc>
          <w:tcPr>
            <w:tcW w:w="3166" w:type="pct"/>
            <w:vAlign w:val="center"/>
          </w:tcPr>
          <w:p>
            <w:pPr>
              <w:keepNext w:val="0"/>
              <w:keepLines w:val="0"/>
              <w:pageBreakBefore w:val="0"/>
              <w:kinsoku/>
              <w:wordWrap/>
              <w:overflowPunct/>
              <w:topLinePunct w:val="0"/>
              <w:autoSpaceDE/>
              <w:autoSpaceDN/>
              <w:bidi w:val="0"/>
              <w:snapToGrid/>
              <w:spacing w:line="360" w:lineRule="exact"/>
              <w:ind w:firstLine="640"/>
              <w:jc w:val="both"/>
              <w:textAlignment w:val="auto"/>
              <w:rPr>
                <w:rFonts w:hint="default" w:ascii="Times New Roman" w:hAnsi="Times New Roman" w:eastAsia="仿宋_GB2312" w:cs="Times New Roman"/>
                <w:kern w:val="32"/>
                <w:sz w:val="28"/>
                <w:szCs w:val="28"/>
              </w:rPr>
            </w:pPr>
            <w:r>
              <w:rPr>
                <w:rFonts w:hint="default" w:ascii="Times New Roman" w:hAnsi="Times New Roman" w:eastAsia="仿宋_GB2312" w:cs="Times New Roman"/>
                <w:snapToGrid w:val="0"/>
                <w:kern w:val="0"/>
                <w:sz w:val="28"/>
                <w:szCs w:val="28"/>
                <w:lang w:val="en-US" w:eastAsia="zh-CN" w:bidi="ar-SA"/>
              </w:rPr>
              <w:t>（1）在组织、推进科技创新，深化科技体制机制改革中实绩突出。围绕制造业绿色发展主线，构建了“源头绿色设计制造-过程污染控制-末端环境治理-资源循环利用”的常州工学院科技创新主线，组织实施了“一院一镇，百团百企”“引企入校”等行动计划，服务于56个乡镇街道和特色园区，形成了多学院（研究院）协同推进、产教可持续融合、产学研深度结合的“中国产教融合常工模板”；实现专利转让应用160多件，连续多年科技活动经费位列江苏省前茅；形成了一套行之有效的科研项目实施机制、科研成果快速产业化机制。（2）在制造业绿色发展领域重大项目中取得重大突破。打造了江苏省电子废弃物资源循环利用重点实验室等5个省级创新平台和3个全国性行业协会组织，起草颁布了中国再生资源利用产业“十二五”“十三五”“十四五”发展规划和产业技术路线图；主持国家科技支撑计划、国家重点研发专项课题等10项重大项目，获江苏省科技进步二等奖等省部级奖12项，以《电子废物资源综合利用技术》（国家重点出版物）等21部著作构建了我国电子废弃物处理处置关键技术和装备开发、二次污染减控和环境管理、产业化应用示范的较为完整的科技体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32" w:hRule="atLeast"/>
        </w:trPr>
        <w:tc>
          <w:tcPr>
            <w:tcW w:w="305" w:type="pct"/>
            <w:vAlign w:val="center"/>
          </w:tcPr>
          <w:p>
            <w:pPr>
              <w:spacing w:line="540" w:lineRule="exact"/>
              <w:jc w:val="center"/>
              <w:rPr>
                <w:rFonts w:hint="default" w:ascii="Times New Roman" w:hAnsi="Times New Roman" w:eastAsia="仿宋_GB2312" w:cs="Times New Roman"/>
                <w:kern w:val="32"/>
                <w:sz w:val="28"/>
                <w:szCs w:val="28"/>
                <w:lang w:val="en-US" w:eastAsia="zh-CN"/>
              </w:rPr>
            </w:pPr>
            <w:r>
              <w:rPr>
                <w:rFonts w:hint="default" w:ascii="Times New Roman" w:hAnsi="Times New Roman" w:eastAsia="仿宋_GB2312" w:cs="Times New Roman"/>
                <w:kern w:val="32"/>
                <w:sz w:val="28"/>
                <w:szCs w:val="28"/>
                <w:lang w:val="en-US" w:eastAsia="zh-CN"/>
              </w:rPr>
              <w:t>3</w:t>
            </w:r>
          </w:p>
        </w:tc>
        <w:tc>
          <w:tcPr>
            <w:tcW w:w="422" w:type="pct"/>
            <w:vAlign w:val="center"/>
          </w:tcPr>
          <w:p>
            <w:pPr>
              <w:keepNext w:val="0"/>
              <w:keepLines w:val="0"/>
              <w:pageBreakBefore w:val="0"/>
              <w:kinsoku/>
              <w:wordWrap/>
              <w:overflowPunct/>
              <w:topLinePunct w:val="0"/>
              <w:autoSpaceDE/>
              <w:autoSpaceDN/>
              <w:bidi w:val="0"/>
              <w:snapToGrid/>
              <w:spacing w:line="360" w:lineRule="exact"/>
              <w:ind w:firstLine="0" w:firstLineChars="0"/>
              <w:jc w:val="center"/>
              <w:textAlignment w:val="auto"/>
              <w:rPr>
                <w:rFonts w:hint="default" w:ascii="Times New Roman" w:hAnsi="Times New Roman" w:eastAsia="仿宋_GB2312" w:cs="Times New Roman"/>
                <w:snapToGrid w:val="0"/>
                <w:kern w:val="0"/>
                <w:sz w:val="28"/>
                <w:szCs w:val="28"/>
                <w:lang w:val="en-US" w:eastAsia="zh-CN" w:bidi="ar-SA"/>
              </w:rPr>
            </w:pPr>
            <w:r>
              <w:rPr>
                <w:rFonts w:hint="default" w:ascii="Times New Roman" w:hAnsi="Times New Roman" w:eastAsia="仿宋_GB2312" w:cs="Times New Roman"/>
                <w:snapToGrid w:val="0"/>
                <w:kern w:val="0"/>
                <w:sz w:val="28"/>
                <w:szCs w:val="28"/>
                <w:lang w:val="en-US" w:eastAsia="zh-CN" w:bidi="ar-SA"/>
              </w:rPr>
              <w:t>吴凡</w:t>
            </w:r>
          </w:p>
        </w:tc>
        <w:tc>
          <w:tcPr>
            <w:tcW w:w="292" w:type="pct"/>
            <w:vAlign w:val="center"/>
          </w:tcPr>
          <w:p>
            <w:pPr>
              <w:keepNext w:val="0"/>
              <w:keepLines w:val="0"/>
              <w:pageBreakBefore w:val="0"/>
              <w:kinsoku/>
              <w:wordWrap/>
              <w:overflowPunct/>
              <w:topLinePunct w:val="0"/>
              <w:autoSpaceDE/>
              <w:autoSpaceDN/>
              <w:bidi w:val="0"/>
              <w:snapToGrid/>
              <w:spacing w:line="360" w:lineRule="exact"/>
              <w:ind w:firstLine="0" w:firstLineChars="0"/>
              <w:jc w:val="center"/>
              <w:textAlignment w:val="auto"/>
              <w:rPr>
                <w:rFonts w:hint="default" w:ascii="Times New Roman" w:hAnsi="Times New Roman" w:eastAsia="仿宋_GB2312" w:cs="Times New Roman"/>
                <w:snapToGrid w:val="0"/>
                <w:kern w:val="0"/>
                <w:sz w:val="28"/>
                <w:szCs w:val="28"/>
                <w:lang w:val="en-US" w:eastAsia="zh-CN" w:bidi="ar-SA"/>
              </w:rPr>
            </w:pPr>
            <w:r>
              <w:rPr>
                <w:rFonts w:hint="default" w:ascii="Times New Roman" w:hAnsi="Times New Roman" w:eastAsia="仿宋_GB2312" w:cs="Times New Roman"/>
                <w:snapToGrid w:val="0"/>
                <w:kern w:val="0"/>
                <w:sz w:val="28"/>
                <w:szCs w:val="28"/>
                <w:lang w:val="en-US" w:eastAsia="zh-CN" w:bidi="ar-SA"/>
              </w:rPr>
              <w:t>男</w:t>
            </w:r>
          </w:p>
        </w:tc>
        <w:tc>
          <w:tcPr>
            <w:tcW w:w="813" w:type="pct"/>
            <w:vAlign w:val="center"/>
          </w:tcPr>
          <w:p>
            <w:pPr>
              <w:keepNext w:val="0"/>
              <w:keepLines w:val="0"/>
              <w:pageBreakBefore w:val="0"/>
              <w:kinsoku/>
              <w:wordWrap/>
              <w:overflowPunct/>
              <w:topLinePunct w:val="0"/>
              <w:autoSpaceDE/>
              <w:autoSpaceDN/>
              <w:bidi w:val="0"/>
              <w:snapToGrid/>
              <w:spacing w:line="360" w:lineRule="exact"/>
              <w:ind w:firstLine="0" w:firstLineChars="0"/>
              <w:jc w:val="center"/>
              <w:textAlignment w:val="auto"/>
              <w:rPr>
                <w:rFonts w:hint="default" w:ascii="Times New Roman" w:hAnsi="Times New Roman" w:eastAsia="仿宋_GB2312" w:cs="Times New Roman"/>
                <w:snapToGrid w:val="0"/>
                <w:kern w:val="0"/>
                <w:sz w:val="28"/>
                <w:szCs w:val="28"/>
                <w:lang w:val="en-US" w:eastAsia="zh-CN" w:bidi="ar-SA"/>
              </w:rPr>
            </w:pPr>
            <w:r>
              <w:rPr>
                <w:rFonts w:hint="default" w:ascii="Times New Roman" w:hAnsi="Times New Roman" w:eastAsia="仿宋_GB2312" w:cs="Times New Roman"/>
                <w:snapToGrid w:val="0"/>
                <w:kern w:val="0"/>
                <w:sz w:val="28"/>
                <w:szCs w:val="28"/>
                <w:lang w:val="en-US" w:eastAsia="zh-CN" w:bidi="ar-SA"/>
              </w:rPr>
              <w:t>长三角物理研究中心科学家工作室主任、中科院物理所博士生导师、中国科学院大学教授、共青团常州市委副书记。</w:t>
            </w:r>
          </w:p>
        </w:tc>
        <w:tc>
          <w:tcPr>
            <w:tcW w:w="3166" w:type="pct"/>
            <w:vAlign w:val="center"/>
          </w:tcPr>
          <w:p>
            <w:pPr>
              <w:keepNext w:val="0"/>
              <w:keepLines w:val="0"/>
              <w:pageBreakBefore w:val="0"/>
              <w:widowControl/>
              <w:kinsoku/>
              <w:wordWrap/>
              <w:overflowPunct/>
              <w:topLinePunct w:val="0"/>
              <w:autoSpaceDE/>
              <w:autoSpaceDN/>
              <w:bidi w:val="0"/>
              <w:adjustRightInd/>
              <w:snapToGrid/>
              <w:spacing w:line="360" w:lineRule="exact"/>
              <w:ind w:firstLine="560" w:firstLineChars="200"/>
              <w:textAlignment w:val="auto"/>
              <w:rPr>
                <w:rFonts w:hint="default" w:ascii="Times New Roman" w:hAnsi="Times New Roman" w:eastAsia="仿宋_GB2312" w:cs="Times New Roman"/>
                <w:kern w:val="32"/>
                <w:sz w:val="28"/>
                <w:szCs w:val="28"/>
                <w:highlight w:val="none"/>
              </w:rPr>
            </w:pPr>
            <w:r>
              <w:rPr>
                <w:rFonts w:hint="default" w:ascii="Times New Roman" w:hAnsi="Times New Roman" w:eastAsia="仿宋_GB2312" w:cs="Times New Roman"/>
                <w:snapToGrid w:val="0"/>
                <w:kern w:val="0"/>
                <w:sz w:val="28"/>
                <w:szCs w:val="28"/>
                <w:highlight w:val="none"/>
                <w:lang w:val="en-US" w:eastAsia="zh-CN" w:bidi="ar-SA"/>
              </w:rPr>
              <w:t>吴凡教授是矢志报国的海归赤子，他辞去哈佛职位，放弃美国绿卡，带领团队专注于硫化物全固态电池技术研发。</w:t>
            </w:r>
            <w:r>
              <w:rPr>
                <w:rFonts w:hint="eastAsia" w:ascii="Times New Roman" w:hAnsi="Times New Roman" w:eastAsia="仿宋_GB2312" w:cs="Times New Roman"/>
                <w:snapToGrid w:val="0"/>
                <w:kern w:val="0"/>
                <w:sz w:val="28"/>
                <w:szCs w:val="28"/>
                <w:highlight w:val="none"/>
                <w:lang w:val="en-US" w:eastAsia="zh-CN" w:bidi="ar-SA"/>
              </w:rPr>
              <w:t>荣获多项</w:t>
            </w:r>
            <w:r>
              <w:rPr>
                <w:rFonts w:hint="default" w:ascii="Times New Roman" w:hAnsi="Times New Roman" w:eastAsia="仿宋_GB2312" w:cs="Times New Roman"/>
                <w:snapToGrid w:val="0"/>
                <w:kern w:val="0"/>
                <w:sz w:val="28"/>
                <w:szCs w:val="28"/>
                <w:highlight w:val="none"/>
                <w:lang w:val="en-US" w:eastAsia="zh-CN" w:bidi="ar-SA"/>
              </w:rPr>
              <w:t>国家级、省部级人才</w:t>
            </w:r>
            <w:r>
              <w:rPr>
                <w:rFonts w:hint="eastAsia" w:ascii="Times New Roman" w:hAnsi="Times New Roman" w:eastAsia="仿宋_GB2312" w:cs="Times New Roman"/>
                <w:snapToGrid w:val="0"/>
                <w:kern w:val="0"/>
                <w:sz w:val="28"/>
                <w:szCs w:val="28"/>
                <w:highlight w:val="none"/>
                <w:lang w:val="en-US" w:eastAsia="zh-CN" w:bidi="ar-SA"/>
              </w:rPr>
              <w:t>荣誉</w:t>
            </w:r>
            <w:r>
              <w:rPr>
                <w:rFonts w:hint="default" w:ascii="Times New Roman" w:hAnsi="Times New Roman" w:eastAsia="仿宋_GB2312" w:cs="Times New Roman"/>
                <w:snapToGrid w:val="0"/>
                <w:kern w:val="0"/>
                <w:sz w:val="28"/>
                <w:szCs w:val="28"/>
                <w:highlight w:val="none"/>
                <w:lang w:val="en-US" w:eastAsia="zh-CN" w:bidi="ar-SA"/>
              </w:rPr>
              <w:t>，获工信部全国先进储能技术创新挑战赛二等奖、全国岗位能手、江苏青年五四奖章等。他是艰苦创业的追梦赤子，只身扎根溧阳和科研一线，全年无休从零开始，组建20余人博硕研发团队、硫化物固态电池实验室和材料中试放大基地，主持负责14项国家级、省部级重点项目，发表SCI论文80余篇、专著2部，申请60余项中国、美国和国际发明专利，授权10余项核心专利。他是勇攀高峰的科研赤子，在硫化物固态电解质材料的成本、空气稳定性、电化学稳定性、成膜工艺、全固态电池电化学性能等方面不断取得突破性进展。相关成果获中央电视台、新华日报等媒体多次专题报道，为我国争取下一代核心电池技术主动权做出了坚实的贡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2" w:hRule="atLeast"/>
        </w:trPr>
        <w:tc>
          <w:tcPr>
            <w:tcW w:w="305" w:type="pct"/>
            <w:vAlign w:val="center"/>
          </w:tcPr>
          <w:p>
            <w:pPr>
              <w:spacing w:line="540" w:lineRule="exact"/>
              <w:jc w:val="center"/>
              <w:rPr>
                <w:rFonts w:hint="default" w:ascii="Times New Roman" w:hAnsi="Times New Roman" w:eastAsia="仿宋_GB2312" w:cs="Times New Roman"/>
                <w:kern w:val="32"/>
                <w:sz w:val="28"/>
                <w:szCs w:val="28"/>
                <w:lang w:val="en-US" w:eastAsia="zh-CN"/>
              </w:rPr>
            </w:pPr>
            <w:r>
              <w:rPr>
                <w:rFonts w:hint="default" w:ascii="Times New Roman" w:hAnsi="Times New Roman" w:eastAsia="仿宋_GB2312" w:cs="Times New Roman"/>
                <w:kern w:val="32"/>
                <w:sz w:val="28"/>
                <w:szCs w:val="28"/>
                <w:lang w:val="en-US" w:eastAsia="zh-CN"/>
              </w:rPr>
              <w:t>4</w:t>
            </w:r>
          </w:p>
        </w:tc>
        <w:tc>
          <w:tcPr>
            <w:tcW w:w="422" w:type="pct"/>
            <w:vAlign w:val="center"/>
          </w:tcPr>
          <w:p>
            <w:pPr>
              <w:keepNext w:val="0"/>
              <w:keepLines w:val="0"/>
              <w:pageBreakBefore w:val="0"/>
              <w:kinsoku/>
              <w:wordWrap/>
              <w:overflowPunct/>
              <w:topLinePunct w:val="0"/>
              <w:autoSpaceDE/>
              <w:autoSpaceDN/>
              <w:bidi w:val="0"/>
              <w:snapToGrid/>
              <w:spacing w:line="360" w:lineRule="exact"/>
              <w:ind w:firstLine="0" w:firstLineChars="0"/>
              <w:jc w:val="center"/>
              <w:textAlignment w:val="auto"/>
              <w:rPr>
                <w:rFonts w:hint="default" w:ascii="Times New Roman" w:hAnsi="Times New Roman" w:eastAsia="仿宋_GB2312" w:cs="Times New Roman"/>
                <w:snapToGrid w:val="0"/>
                <w:kern w:val="0"/>
                <w:sz w:val="28"/>
                <w:szCs w:val="28"/>
                <w:lang w:val="en-US" w:eastAsia="zh-CN" w:bidi="ar-SA"/>
              </w:rPr>
            </w:pPr>
            <w:r>
              <w:rPr>
                <w:rFonts w:hint="default" w:ascii="Times New Roman" w:hAnsi="Times New Roman" w:eastAsia="仿宋_GB2312" w:cs="Times New Roman"/>
                <w:snapToGrid w:val="0"/>
                <w:kern w:val="0"/>
                <w:sz w:val="28"/>
                <w:szCs w:val="28"/>
                <w:lang w:val="en-US" w:eastAsia="zh-CN" w:bidi="ar-SA"/>
              </w:rPr>
              <w:t>谈昆伦</w:t>
            </w:r>
          </w:p>
        </w:tc>
        <w:tc>
          <w:tcPr>
            <w:tcW w:w="292" w:type="pct"/>
            <w:vAlign w:val="center"/>
          </w:tcPr>
          <w:p>
            <w:pPr>
              <w:keepNext w:val="0"/>
              <w:keepLines w:val="0"/>
              <w:pageBreakBefore w:val="0"/>
              <w:kinsoku/>
              <w:wordWrap/>
              <w:overflowPunct/>
              <w:topLinePunct w:val="0"/>
              <w:autoSpaceDE/>
              <w:autoSpaceDN/>
              <w:bidi w:val="0"/>
              <w:snapToGrid/>
              <w:spacing w:line="360" w:lineRule="exact"/>
              <w:ind w:firstLine="0" w:firstLineChars="0"/>
              <w:jc w:val="center"/>
              <w:textAlignment w:val="auto"/>
              <w:rPr>
                <w:rFonts w:hint="default" w:ascii="Times New Roman" w:hAnsi="Times New Roman" w:eastAsia="仿宋_GB2312" w:cs="Times New Roman"/>
                <w:snapToGrid w:val="0"/>
                <w:kern w:val="0"/>
                <w:sz w:val="28"/>
                <w:szCs w:val="28"/>
                <w:lang w:val="en-US" w:eastAsia="zh-CN" w:bidi="ar-SA"/>
              </w:rPr>
            </w:pPr>
            <w:r>
              <w:rPr>
                <w:rFonts w:hint="default" w:ascii="Times New Roman" w:hAnsi="Times New Roman" w:eastAsia="仿宋_GB2312" w:cs="Times New Roman"/>
                <w:snapToGrid w:val="0"/>
                <w:kern w:val="0"/>
                <w:sz w:val="28"/>
                <w:szCs w:val="28"/>
                <w:lang w:val="en-US" w:eastAsia="zh-CN" w:bidi="ar-SA"/>
              </w:rPr>
              <w:t>男</w:t>
            </w:r>
          </w:p>
        </w:tc>
        <w:tc>
          <w:tcPr>
            <w:tcW w:w="813" w:type="pct"/>
            <w:vAlign w:val="center"/>
          </w:tcPr>
          <w:p>
            <w:pPr>
              <w:keepNext w:val="0"/>
              <w:keepLines w:val="0"/>
              <w:pageBreakBefore w:val="0"/>
              <w:kinsoku/>
              <w:wordWrap/>
              <w:overflowPunct/>
              <w:topLinePunct w:val="0"/>
              <w:autoSpaceDE/>
              <w:autoSpaceDN/>
              <w:bidi w:val="0"/>
              <w:snapToGrid/>
              <w:spacing w:line="360" w:lineRule="exact"/>
              <w:ind w:firstLine="0" w:firstLineChars="0"/>
              <w:jc w:val="center"/>
              <w:textAlignment w:val="auto"/>
              <w:rPr>
                <w:rFonts w:hint="default" w:ascii="Times New Roman" w:hAnsi="Times New Roman" w:eastAsia="仿宋_GB2312" w:cs="Times New Roman"/>
                <w:snapToGrid w:val="0"/>
                <w:kern w:val="0"/>
                <w:sz w:val="28"/>
                <w:szCs w:val="28"/>
                <w:lang w:val="en-US" w:eastAsia="zh-CN" w:bidi="ar-SA"/>
              </w:rPr>
            </w:pPr>
            <w:r>
              <w:rPr>
                <w:rFonts w:hint="default" w:ascii="Times New Roman" w:hAnsi="Times New Roman" w:eastAsia="仿宋_GB2312" w:cs="Times New Roman"/>
                <w:snapToGrid w:val="0"/>
                <w:kern w:val="0"/>
                <w:sz w:val="28"/>
                <w:szCs w:val="28"/>
                <w:lang w:val="en-US" w:eastAsia="zh-CN" w:bidi="ar-SA"/>
              </w:rPr>
              <w:t>新创碳谷集团有限公司董事长，常州市宏发纵横新材料科技股份有限公司总经理，正高级工程师，高级经济师</w:t>
            </w:r>
          </w:p>
        </w:tc>
        <w:tc>
          <w:tcPr>
            <w:tcW w:w="3166" w:type="pct"/>
            <w:vAlign w:val="center"/>
          </w:tcPr>
          <w:p>
            <w:pPr>
              <w:keepNext w:val="0"/>
              <w:keepLines w:val="0"/>
              <w:pageBreakBefore w:val="0"/>
              <w:widowControl/>
              <w:kinsoku/>
              <w:wordWrap/>
              <w:overflowPunct/>
              <w:topLinePunct w:val="0"/>
              <w:autoSpaceDE/>
              <w:autoSpaceDN/>
              <w:bidi w:val="0"/>
              <w:adjustRightInd/>
              <w:snapToGrid/>
              <w:spacing w:line="360" w:lineRule="exact"/>
              <w:ind w:firstLine="641"/>
              <w:textAlignment w:val="auto"/>
              <w:rPr>
                <w:rFonts w:hint="default" w:ascii="Times New Roman" w:hAnsi="Times New Roman" w:eastAsia="仿宋_GB2312" w:cs="Times New Roman"/>
                <w:snapToGrid w:val="0"/>
                <w:kern w:val="0"/>
                <w:sz w:val="28"/>
                <w:szCs w:val="28"/>
                <w:lang w:val="en-US" w:eastAsia="zh-CN" w:bidi="ar-SA"/>
              </w:rPr>
            </w:pPr>
            <w:r>
              <w:rPr>
                <w:rFonts w:hint="default" w:ascii="Times New Roman" w:hAnsi="Times New Roman" w:eastAsia="仿宋_GB2312" w:cs="Times New Roman"/>
                <w:snapToGrid w:val="0"/>
                <w:kern w:val="0"/>
                <w:sz w:val="28"/>
                <w:szCs w:val="28"/>
                <w:lang w:val="en-US" w:eastAsia="zh-CN" w:bidi="ar-SA"/>
              </w:rPr>
              <w:t>“十三五”国家科技重点专项新材料专家组专家、江苏省有突出贡献的中青年专家、江苏省科技型企业家、江苏省劳动模范。他长期专注于碳纤维复合材料低成本、工业化制备与应用技术研究，是我国第一台高速玻纤多轴向经编机及高速碳纤多轴向经编机的主导设计者。作为项目负责人和核心技术骨干，他累计承担和参与“国家863计划”、科技支撑计划等省部级科研项目10项。荣获国家优秀专利奖3件，江苏省科技进步二等奖3件，河南省科技进步一等奖1件，中国纺织工业联合会科技进步一等奖1件、二等奖1件，拥有授权发明专利123件，主持和参与制订国家标准7项。</w:t>
            </w:r>
            <w:bookmarkStart w:id="0" w:name="_GoBack"/>
            <w:bookmarkEnd w:id="0"/>
          </w:p>
          <w:p>
            <w:pPr>
              <w:keepNext w:val="0"/>
              <w:keepLines w:val="0"/>
              <w:pageBreakBefore w:val="0"/>
              <w:widowControl/>
              <w:kinsoku/>
              <w:wordWrap/>
              <w:overflowPunct/>
              <w:topLinePunct w:val="0"/>
              <w:autoSpaceDE/>
              <w:autoSpaceDN/>
              <w:bidi w:val="0"/>
              <w:adjustRightInd/>
              <w:snapToGrid/>
              <w:spacing w:line="360" w:lineRule="exact"/>
              <w:ind w:firstLine="560" w:firstLineChars="200"/>
              <w:textAlignment w:val="auto"/>
              <w:rPr>
                <w:rFonts w:hint="default" w:ascii="Times New Roman" w:hAnsi="Times New Roman" w:eastAsia="仿宋_GB2312" w:cs="Times New Roman"/>
                <w:kern w:val="32"/>
                <w:sz w:val="28"/>
                <w:szCs w:val="28"/>
              </w:rPr>
            </w:pPr>
            <w:r>
              <w:rPr>
                <w:rFonts w:hint="default" w:ascii="Times New Roman" w:hAnsi="Times New Roman" w:eastAsia="仿宋_GB2312" w:cs="Times New Roman"/>
                <w:snapToGrid w:val="0"/>
                <w:kern w:val="0"/>
                <w:sz w:val="28"/>
                <w:szCs w:val="28"/>
                <w:lang w:val="en-US" w:eastAsia="zh-CN" w:bidi="ar-SA"/>
              </w:rPr>
              <w:t>为推动我国碳纤维复合材料行业发展，打造国内碳纤维复合材料产业新高地，引领上下游企业共同发展，2020年，他主导规划并启动了大丝束碳纤维复合材料生产基地建设。项目总投资50亿元，在常州高新区建设年产3.6万吨大丝束碳纤维及复合材料低成本、工业化生产线，优化“碳纤维-织物-制品-应用”产业链，建成全国</w:t>
            </w:r>
            <w:r>
              <w:rPr>
                <w:rFonts w:hint="eastAsia" w:ascii="Times New Roman" w:hAnsi="Times New Roman" w:eastAsia="仿宋_GB2312" w:cs="Times New Roman"/>
                <w:snapToGrid w:val="0"/>
                <w:kern w:val="0"/>
                <w:sz w:val="28"/>
                <w:szCs w:val="28"/>
                <w:lang w:val="en-US" w:eastAsia="zh-CN" w:bidi="ar-SA"/>
              </w:rPr>
              <w:t>单体</w:t>
            </w:r>
            <w:r>
              <w:rPr>
                <w:rFonts w:hint="default" w:ascii="Times New Roman" w:hAnsi="Times New Roman" w:eastAsia="仿宋_GB2312" w:cs="Times New Roman"/>
                <w:snapToGrid w:val="0"/>
                <w:kern w:val="0"/>
                <w:sz w:val="28"/>
                <w:szCs w:val="28"/>
                <w:lang w:val="en-US" w:eastAsia="zh-CN" w:bidi="ar-SA"/>
              </w:rPr>
              <w:t>规模最大的碳纤维及复合材料制品生产基地，形成年产值超百亿元的碳纤维复合材料产业园，带动上下游产业形成超千亿元的碳材料产业集群。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9" w:hRule="atLeast"/>
        </w:trPr>
        <w:tc>
          <w:tcPr>
            <w:tcW w:w="305" w:type="pct"/>
            <w:vAlign w:val="center"/>
          </w:tcPr>
          <w:p>
            <w:pPr>
              <w:spacing w:line="540" w:lineRule="exact"/>
              <w:jc w:val="center"/>
              <w:rPr>
                <w:rFonts w:hint="default" w:ascii="Times New Roman" w:hAnsi="Times New Roman" w:eastAsia="仿宋_GB2312" w:cs="Times New Roman"/>
                <w:kern w:val="32"/>
                <w:sz w:val="28"/>
                <w:szCs w:val="28"/>
                <w:lang w:val="en-US" w:eastAsia="zh-CN"/>
              </w:rPr>
            </w:pPr>
            <w:r>
              <w:rPr>
                <w:rFonts w:hint="default" w:ascii="Times New Roman" w:hAnsi="Times New Roman" w:eastAsia="仿宋_GB2312" w:cs="Times New Roman"/>
                <w:kern w:val="32"/>
                <w:sz w:val="28"/>
                <w:szCs w:val="28"/>
                <w:lang w:val="en-US" w:eastAsia="zh-CN"/>
              </w:rPr>
              <w:t>5</w:t>
            </w:r>
          </w:p>
        </w:tc>
        <w:tc>
          <w:tcPr>
            <w:tcW w:w="422" w:type="pct"/>
            <w:vAlign w:val="center"/>
          </w:tcPr>
          <w:p>
            <w:pPr>
              <w:keepNext w:val="0"/>
              <w:keepLines w:val="0"/>
              <w:pageBreakBefore w:val="0"/>
              <w:kinsoku/>
              <w:wordWrap/>
              <w:overflowPunct/>
              <w:topLinePunct w:val="0"/>
              <w:autoSpaceDE/>
              <w:autoSpaceDN/>
              <w:bidi w:val="0"/>
              <w:snapToGrid/>
              <w:spacing w:line="360" w:lineRule="exact"/>
              <w:ind w:firstLine="0" w:firstLineChars="0"/>
              <w:jc w:val="center"/>
              <w:textAlignment w:val="auto"/>
              <w:rPr>
                <w:rFonts w:hint="default" w:ascii="Times New Roman" w:hAnsi="Times New Roman" w:eastAsia="仿宋_GB2312" w:cs="Times New Roman"/>
                <w:snapToGrid w:val="0"/>
                <w:kern w:val="0"/>
                <w:sz w:val="28"/>
                <w:szCs w:val="28"/>
                <w:lang w:val="en-US" w:eastAsia="zh-CN" w:bidi="ar-SA"/>
              </w:rPr>
            </w:pPr>
            <w:r>
              <w:rPr>
                <w:rFonts w:hint="default" w:ascii="Times New Roman" w:hAnsi="Times New Roman" w:eastAsia="仿宋_GB2312" w:cs="Times New Roman"/>
                <w:snapToGrid w:val="0"/>
                <w:kern w:val="0"/>
                <w:sz w:val="28"/>
                <w:szCs w:val="28"/>
                <w:lang w:val="en-US" w:eastAsia="zh-CN" w:bidi="ar-SA"/>
              </w:rPr>
              <w:t>林金汉</w:t>
            </w:r>
          </w:p>
        </w:tc>
        <w:tc>
          <w:tcPr>
            <w:tcW w:w="292" w:type="pct"/>
            <w:vAlign w:val="center"/>
          </w:tcPr>
          <w:p>
            <w:pPr>
              <w:keepNext w:val="0"/>
              <w:keepLines w:val="0"/>
              <w:pageBreakBefore w:val="0"/>
              <w:kinsoku/>
              <w:wordWrap/>
              <w:overflowPunct/>
              <w:topLinePunct w:val="0"/>
              <w:autoSpaceDE/>
              <w:autoSpaceDN/>
              <w:bidi w:val="0"/>
              <w:snapToGrid/>
              <w:spacing w:line="360" w:lineRule="exact"/>
              <w:ind w:firstLine="0" w:firstLineChars="0"/>
              <w:jc w:val="center"/>
              <w:textAlignment w:val="auto"/>
              <w:rPr>
                <w:rFonts w:hint="default" w:ascii="Times New Roman" w:hAnsi="Times New Roman" w:eastAsia="仿宋_GB2312" w:cs="Times New Roman"/>
                <w:snapToGrid w:val="0"/>
                <w:kern w:val="0"/>
                <w:sz w:val="28"/>
                <w:szCs w:val="28"/>
                <w:lang w:val="en-US" w:eastAsia="zh-CN" w:bidi="ar-SA"/>
              </w:rPr>
            </w:pPr>
            <w:r>
              <w:rPr>
                <w:rFonts w:hint="default" w:ascii="Times New Roman" w:hAnsi="Times New Roman" w:eastAsia="仿宋_GB2312" w:cs="Times New Roman"/>
                <w:snapToGrid w:val="0"/>
                <w:kern w:val="0"/>
                <w:sz w:val="28"/>
                <w:szCs w:val="28"/>
                <w:lang w:val="en-US" w:eastAsia="zh-CN" w:bidi="ar-SA"/>
              </w:rPr>
              <w:t>男</w:t>
            </w:r>
          </w:p>
        </w:tc>
        <w:tc>
          <w:tcPr>
            <w:tcW w:w="813" w:type="pct"/>
            <w:vAlign w:val="center"/>
          </w:tcPr>
          <w:p>
            <w:pPr>
              <w:keepNext w:val="0"/>
              <w:keepLines w:val="0"/>
              <w:pageBreakBefore w:val="0"/>
              <w:kinsoku/>
              <w:wordWrap/>
              <w:overflowPunct/>
              <w:topLinePunct w:val="0"/>
              <w:autoSpaceDE/>
              <w:autoSpaceDN/>
              <w:bidi w:val="0"/>
              <w:snapToGrid/>
              <w:spacing w:line="360" w:lineRule="exact"/>
              <w:ind w:firstLine="0" w:firstLineChars="0"/>
              <w:jc w:val="center"/>
              <w:textAlignment w:val="auto"/>
              <w:rPr>
                <w:rFonts w:hint="default" w:ascii="Times New Roman" w:hAnsi="Times New Roman" w:eastAsia="仿宋_GB2312" w:cs="Times New Roman"/>
                <w:snapToGrid w:val="0"/>
                <w:kern w:val="0"/>
                <w:sz w:val="28"/>
                <w:szCs w:val="28"/>
                <w:lang w:val="en-US" w:eastAsia="zh-CN" w:bidi="ar-SA"/>
              </w:rPr>
            </w:pPr>
            <w:r>
              <w:rPr>
                <w:rFonts w:hint="default" w:ascii="Times New Roman" w:hAnsi="Times New Roman" w:eastAsia="仿宋_GB2312" w:cs="Times New Roman"/>
                <w:snapToGrid w:val="0"/>
                <w:kern w:val="0"/>
                <w:sz w:val="28"/>
                <w:szCs w:val="28"/>
                <w:lang w:val="en-US" w:eastAsia="zh-CN" w:bidi="ar-SA"/>
              </w:rPr>
              <w:t>常州亚玛顿股份有限公司总经理</w:t>
            </w:r>
          </w:p>
        </w:tc>
        <w:tc>
          <w:tcPr>
            <w:tcW w:w="3166" w:type="pct"/>
            <w:vAlign w:val="center"/>
          </w:tcPr>
          <w:p>
            <w:pPr>
              <w:keepNext w:val="0"/>
              <w:keepLines w:val="0"/>
              <w:pageBreakBefore w:val="0"/>
              <w:widowControl/>
              <w:kinsoku/>
              <w:wordWrap/>
              <w:overflowPunct/>
              <w:topLinePunct w:val="0"/>
              <w:autoSpaceDE/>
              <w:autoSpaceDN/>
              <w:bidi w:val="0"/>
              <w:adjustRightInd/>
              <w:snapToGrid/>
              <w:spacing w:line="360" w:lineRule="exact"/>
              <w:ind w:firstLine="560" w:firstLineChars="200"/>
              <w:textAlignment w:val="auto"/>
              <w:rPr>
                <w:rFonts w:hint="default" w:ascii="Times New Roman" w:hAnsi="Times New Roman" w:eastAsia="仿宋_GB2312" w:cs="Times New Roman"/>
                <w:snapToGrid w:val="0"/>
                <w:kern w:val="0"/>
                <w:sz w:val="28"/>
                <w:szCs w:val="28"/>
                <w:lang w:val="en-US" w:eastAsia="zh-CN" w:bidi="ar-SA"/>
              </w:rPr>
            </w:pPr>
            <w:r>
              <w:rPr>
                <w:rFonts w:hint="default" w:ascii="Times New Roman" w:hAnsi="Times New Roman" w:eastAsia="仿宋_GB2312" w:cs="Times New Roman"/>
                <w:snapToGrid w:val="0"/>
                <w:kern w:val="0"/>
                <w:sz w:val="28"/>
                <w:szCs w:val="28"/>
                <w:lang w:val="en-US" w:eastAsia="zh-CN" w:bidi="ar-SA"/>
              </w:rPr>
              <w:t>二十多年来一直从事新材料领域的产品研发工作，从97年以来，主持利用纳米材料技术对传统的精细化工及涂料等产品进行了升级换代，由其主持的高性能汽车涂料项目多次获得了上海市科技进步一等奖和中国石油和化工工业协会科技进步一等奖。</w:t>
            </w:r>
          </w:p>
          <w:p>
            <w:pPr>
              <w:keepNext w:val="0"/>
              <w:keepLines w:val="0"/>
              <w:pageBreakBefore w:val="0"/>
              <w:widowControl/>
              <w:kinsoku/>
              <w:wordWrap/>
              <w:overflowPunct/>
              <w:topLinePunct w:val="0"/>
              <w:autoSpaceDE/>
              <w:autoSpaceDN/>
              <w:bidi w:val="0"/>
              <w:adjustRightInd/>
              <w:snapToGrid/>
              <w:spacing w:line="360" w:lineRule="exact"/>
              <w:ind w:firstLine="560" w:firstLineChars="200"/>
              <w:textAlignment w:val="auto"/>
              <w:rPr>
                <w:rFonts w:hint="default" w:ascii="Times New Roman" w:hAnsi="Times New Roman" w:eastAsia="仿宋_GB2312" w:cs="Times New Roman"/>
                <w:snapToGrid w:val="0"/>
                <w:kern w:val="0"/>
                <w:sz w:val="28"/>
                <w:szCs w:val="28"/>
                <w:lang w:val="en-US" w:eastAsia="zh-CN" w:bidi="ar-SA"/>
              </w:rPr>
            </w:pPr>
            <w:r>
              <w:rPr>
                <w:rFonts w:hint="default" w:ascii="Times New Roman" w:hAnsi="Times New Roman" w:eastAsia="仿宋_GB2312" w:cs="Times New Roman"/>
                <w:snapToGrid w:val="0"/>
                <w:kern w:val="0"/>
                <w:sz w:val="28"/>
                <w:szCs w:val="28"/>
                <w:lang w:val="en-US" w:eastAsia="zh-CN" w:bidi="ar-SA"/>
              </w:rPr>
              <w:t>2006年，创办亚玛顿公司后，由其主导研发的“高效减反射增透功能性纳米材料”在亚玛顿公司成功实现产业化。产品属于国内首创，填补了光伏镀膜玻璃领域的技术空白。这项首创技术在给企业带来良好经济和社会效益的同时，也推动了企业上市的步伐，在成立短短5年内，于2011年就在深交所上市。</w:t>
            </w:r>
          </w:p>
          <w:p>
            <w:pPr>
              <w:keepNext w:val="0"/>
              <w:keepLines w:val="0"/>
              <w:pageBreakBefore w:val="0"/>
              <w:widowControl/>
              <w:kinsoku/>
              <w:wordWrap/>
              <w:overflowPunct/>
              <w:topLinePunct w:val="0"/>
              <w:autoSpaceDE/>
              <w:autoSpaceDN/>
              <w:bidi w:val="0"/>
              <w:adjustRightInd/>
              <w:snapToGrid/>
              <w:spacing w:line="360" w:lineRule="exact"/>
              <w:ind w:firstLine="560" w:firstLineChars="200"/>
              <w:textAlignment w:val="auto"/>
              <w:rPr>
                <w:rFonts w:hint="default" w:ascii="Times New Roman" w:hAnsi="Times New Roman" w:eastAsia="仿宋_GB2312" w:cs="Times New Roman"/>
                <w:snapToGrid w:val="0"/>
                <w:kern w:val="0"/>
                <w:sz w:val="28"/>
                <w:szCs w:val="28"/>
                <w:lang w:val="en-US" w:eastAsia="zh-CN" w:bidi="ar-SA"/>
              </w:rPr>
            </w:pPr>
            <w:r>
              <w:rPr>
                <w:rFonts w:hint="default" w:ascii="Times New Roman" w:hAnsi="Times New Roman" w:eastAsia="仿宋_GB2312" w:cs="Times New Roman"/>
                <w:snapToGrid w:val="0"/>
                <w:kern w:val="0"/>
                <w:sz w:val="28"/>
                <w:szCs w:val="28"/>
                <w:lang w:val="en-US" w:eastAsia="zh-CN" w:bidi="ar-SA"/>
              </w:rPr>
              <w:t>里程碑式的发展后，林金汉带领研发团队继续在玻璃深加工领域潜心研发。2012年，成功研发了超薄（厚度≤2.0mm）物理钢化玻璃，突破物理钢化玻璃极限，成功应用于太阳能超薄双玻组件。2020年，林金汉作为项目主导人，获得江苏省科学技术一等奖。</w:t>
            </w:r>
          </w:p>
          <w:p>
            <w:pPr>
              <w:keepNext w:val="0"/>
              <w:keepLines w:val="0"/>
              <w:pageBreakBefore w:val="0"/>
              <w:widowControl/>
              <w:kinsoku/>
              <w:wordWrap/>
              <w:overflowPunct/>
              <w:topLinePunct w:val="0"/>
              <w:autoSpaceDE/>
              <w:autoSpaceDN/>
              <w:bidi w:val="0"/>
              <w:adjustRightInd/>
              <w:snapToGrid/>
              <w:spacing w:line="360" w:lineRule="exact"/>
              <w:ind w:firstLine="560" w:firstLineChars="200"/>
              <w:textAlignment w:val="auto"/>
              <w:rPr>
                <w:rFonts w:hint="default" w:ascii="Times New Roman" w:hAnsi="Times New Roman" w:eastAsia="仿宋_GB2312" w:cs="Times New Roman"/>
                <w:kern w:val="32"/>
                <w:sz w:val="28"/>
                <w:szCs w:val="28"/>
              </w:rPr>
            </w:pPr>
            <w:r>
              <w:rPr>
                <w:rFonts w:hint="default" w:ascii="Times New Roman" w:hAnsi="Times New Roman" w:eastAsia="仿宋_GB2312" w:cs="Times New Roman"/>
                <w:snapToGrid w:val="0"/>
                <w:kern w:val="0"/>
                <w:sz w:val="28"/>
                <w:szCs w:val="28"/>
                <w:lang w:val="en-US" w:eastAsia="zh-CN" w:bidi="ar-SA"/>
              </w:rPr>
              <w:t>作为一名研发型的科技企业家，2019年，林金汉携手北京化工大学两位教授创办汉韦聚合物有限公司。成功研发出被国外垄断的高分子原材料，并实现量产。公司成立以来荣获“创业江苏”科技创业大赛成长企业组一等奖；第十届中国创新创业大赛全国总决赛三等奖（成长组）等多项国家、省市创新创业大赛奖项，并获得苏南国家自主创新示范区潜在独角兽企业等称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8" w:hRule="atLeast"/>
        </w:trPr>
        <w:tc>
          <w:tcPr>
            <w:tcW w:w="305" w:type="pct"/>
            <w:vAlign w:val="center"/>
          </w:tcPr>
          <w:p>
            <w:pPr>
              <w:spacing w:line="540" w:lineRule="exact"/>
              <w:jc w:val="center"/>
              <w:rPr>
                <w:rFonts w:hint="default" w:ascii="Times New Roman" w:hAnsi="Times New Roman" w:eastAsia="仿宋_GB2312" w:cs="Times New Roman"/>
                <w:kern w:val="32"/>
                <w:sz w:val="28"/>
                <w:szCs w:val="28"/>
                <w:lang w:val="en-US" w:eastAsia="zh-CN"/>
              </w:rPr>
            </w:pPr>
            <w:r>
              <w:rPr>
                <w:rFonts w:hint="default" w:ascii="Times New Roman" w:hAnsi="Times New Roman" w:eastAsia="仿宋_GB2312" w:cs="Times New Roman"/>
                <w:kern w:val="32"/>
                <w:sz w:val="28"/>
                <w:szCs w:val="28"/>
                <w:lang w:val="en-US" w:eastAsia="zh-CN"/>
              </w:rPr>
              <w:t>6</w:t>
            </w:r>
          </w:p>
        </w:tc>
        <w:tc>
          <w:tcPr>
            <w:tcW w:w="422" w:type="pct"/>
            <w:vAlign w:val="center"/>
          </w:tcPr>
          <w:p>
            <w:pPr>
              <w:keepNext w:val="0"/>
              <w:keepLines w:val="0"/>
              <w:pageBreakBefore w:val="0"/>
              <w:kinsoku/>
              <w:wordWrap/>
              <w:overflowPunct/>
              <w:topLinePunct w:val="0"/>
              <w:autoSpaceDE/>
              <w:autoSpaceDN/>
              <w:bidi w:val="0"/>
              <w:snapToGrid/>
              <w:spacing w:line="360" w:lineRule="exact"/>
              <w:ind w:firstLine="0" w:firstLineChars="0"/>
              <w:jc w:val="center"/>
              <w:textAlignment w:val="auto"/>
              <w:rPr>
                <w:rFonts w:hint="default" w:ascii="Times New Roman" w:hAnsi="Times New Roman" w:eastAsia="仿宋_GB2312" w:cs="Times New Roman"/>
                <w:snapToGrid w:val="0"/>
                <w:kern w:val="0"/>
                <w:sz w:val="28"/>
                <w:szCs w:val="28"/>
                <w:lang w:val="en-US" w:eastAsia="zh-CN" w:bidi="ar-SA"/>
              </w:rPr>
            </w:pPr>
            <w:r>
              <w:rPr>
                <w:rFonts w:hint="default" w:ascii="Times New Roman" w:hAnsi="Times New Roman" w:eastAsia="仿宋_GB2312" w:cs="Times New Roman"/>
                <w:snapToGrid w:val="0"/>
                <w:kern w:val="0"/>
                <w:sz w:val="28"/>
                <w:szCs w:val="28"/>
                <w:lang w:val="en-US" w:eastAsia="zh-CN" w:bidi="ar-SA"/>
              </w:rPr>
              <w:t>赵暖</w:t>
            </w:r>
          </w:p>
        </w:tc>
        <w:tc>
          <w:tcPr>
            <w:tcW w:w="292" w:type="pct"/>
            <w:vAlign w:val="center"/>
          </w:tcPr>
          <w:p>
            <w:pPr>
              <w:keepNext w:val="0"/>
              <w:keepLines w:val="0"/>
              <w:pageBreakBefore w:val="0"/>
              <w:kinsoku/>
              <w:wordWrap/>
              <w:overflowPunct/>
              <w:topLinePunct w:val="0"/>
              <w:autoSpaceDE/>
              <w:autoSpaceDN/>
              <w:bidi w:val="0"/>
              <w:snapToGrid/>
              <w:spacing w:line="360" w:lineRule="exact"/>
              <w:ind w:firstLine="0" w:firstLineChars="0"/>
              <w:jc w:val="center"/>
              <w:textAlignment w:val="auto"/>
              <w:rPr>
                <w:rFonts w:hint="default" w:ascii="Times New Roman" w:hAnsi="Times New Roman" w:eastAsia="仿宋_GB2312" w:cs="Times New Roman"/>
                <w:snapToGrid w:val="0"/>
                <w:kern w:val="0"/>
                <w:sz w:val="28"/>
                <w:szCs w:val="28"/>
                <w:lang w:val="en-US" w:eastAsia="zh-CN" w:bidi="ar-SA"/>
              </w:rPr>
            </w:pPr>
            <w:r>
              <w:rPr>
                <w:rFonts w:hint="default" w:ascii="Times New Roman" w:hAnsi="Times New Roman" w:eastAsia="仿宋_GB2312" w:cs="Times New Roman"/>
                <w:snapToGrid w:val="0"/>
                <w:kern w:val="0"/>
                <w:sz w:val="28"/>
                <w:szCs w:val="28"/>
                <w:lang w:val="en-US" w:eastAsia="zh-CN" w:bidi="ar-SA"/>
              </w:rPr>
              <w:t>女</w:t>
            </w:r>
          </w:p>
        </w:tc>
        <w:tc>
          <w:tcPr>
            <w:tcW w:w="813" w:type="pct"/>
            <w:vAlign w:val="center"/>
          </w:tcPr>
          <w:p>
            <w:pPr>
              <w:keepNext w:val="0"/>
              <w:keepLines w:val="0"/>
              <w:pageBreakBefore w:val="0"/>
              <w:kinsoku/>
              <w:wordWrap/>
              <w:overflowPunct/>
              <w:topLinePunct w:val="0"/>
              <w:autoSpaceDE/>
              <w:autoSpaceDN/>
              <w:bidi w:val="0"/>
              <w:snapToGrid/>
              <w:spacing w:line="360" w:lineRule="exact"/>
              <w:ind w:firstLine="0" w:firstLineChars="0"/>
              <w:jc w:val="center"/>
              <w:textAlignment w:val="auto"/>
              <w:rPr>
                <w:rFonts w:hint="default" w:ascii="Times New Roman" w:hAnsi="Times New Roman" w:eastAsia="仿宋_GB2312" w:cs="Times New Roman"/>
                <w:snapToGrid w:val="0"/>
                <w:kern w:val="0"/>
                <w:sz w:val="28"/>
                <w:szCs w:val="28"/>
                <w:lang w:val="en-US" w:eastAsia="zh-CN" w:bidi="ar-SA"/>
              </w:rPr>
            </w:pPr>
            <w:r>
              <w:rPr>
                <w:rFonts w:hint="default" w:ascii="Times New Roman" w:hAnsi="Times New Roman" w:eastAsia="仿宋_GB2312" w:cs="Times New Roman"/>
                <w:snapToGrid w:val="0"/>
                <w:kern w:val="0"/>
                <w:sz w:val="28"/>
                <w:szCs w:val="28"/>
                <w:lang w:val="en-US" w:eastAsia="zh-CN" w:bidi="ar-SA"/>
              </w:rPr>
              <w:t>常州市科学技术局高新技术处处长</w:t>
            </w:r>
          </w:p>
        </w:tc>
        <w:tc>
          <w:tcPr>
            <w:tcW w:w="3166" w:type="pct"/>
            <w:vAlign w:val="center"/>
          </w:tcPr>
          <w:p>
            <w:pPr>
              <w:keepNext w:val="0"/>
              <w:keepLines w:val="0"/>
              <w:pageBreakBefore w:val="0"/>
              <w:kinsoku/>
              <w:wordWrap/>
              <w:overflowPunct/>
              <w:topLinePunct w:val="0"/>
              <w:autoSpaceDE/>
              <w:autoSpaceDN/>
              <w:bidi w:val="0"/>
              <w:snapToGrid/>
              <w:spacing w:line="360" w:lineRule="exact"/>
              <w:ind w:firstLine="640"/>
              <w:jc w:val="both"/>
              <w:textAlignment w:val="auto"/>
              <w:rPr>
                <w:rFonts w:hint="default" w:ascii="Times New Roman" w:hAnsi="Times New Roman" w:eastAsia="仿宋_GB2312" w:cs="Times New Roman"/>
                <w:kern w:val="32"/>
                <w:sz w:val="28"/>
                <w:szCs w:val="28"/>
              </w:rPr>
            </w:pPr>
            <w:r>
              <w:rPr>
                <w:rFonts w:hint="default" w:ascii="Times New Roman" w:hAnsi="Times New Roman" w:eastAsia="仿宋_GB2312" w:cs="Times New Roman"/>
                <w:sz w:val="28"/>
                <w:szCs w:val="28"/>
                <w:lang w:val="en-US" w:eastAsia="zh-CN"/>
              </w:rPr>
              <w:t>该同志</w:t>
            </w:r>
            <w:r>
              <w:rPr>
                <w:rFonts w:hint="default" w:ascii="Times New Roman" w:hAnsi="Times New Roman" w:eastAsia="仿宋_GB2312" w:cs="Times New Roman"/>
                <w:b w:val="0"/>
                <w:bCs w:val="0"/>
                <w:sz w:val="28"/>
                <w:szCs w:val="28"/>
                <w:highlight w:val="none"/>
                <w:lang w:val="en-US" w:eastAsia="zh-CN"/>
              </w:rPr>
              <w:t>自2020年任高新处处长以来，始终</w:t>
            </w:r>
            <w:r>
              <w:rPr>
                <w:rFonts w:hint="default" w:ascii="Times New Roman" w:hAnsi="Times New Roman" w:eastAsia="仿宋_GB2312" w:cs="Times New Roman"/>
                <w:b w:val="0"/>
                <w:bCs w:val="0"/>
                <w:color w:val="000000"/>
                <w:sz w:val="28"/>
                <w:szCs w:val="28"/>
              </w:rPr>
              <w:t>开拓进取、求真务实，</w:t>
            </w:r>
            <w:r>
              <w:rPr>
                <w:rFonts w:hint="default" w:ascii="Times New Roman" w:hAnsi="Times New Roman" w:eastAsia="仿宋_GB2312" w:cs="Times New Roman"/>
                <w:b w:val="0"/>
                <w:bCs w:val="0"/>
                <w:color w:val="000000"/>
                <w:sz w:val="28"/>
                <w:szCs w:val="28"/>
                <w:lang w:val="en-US" w:eastAsia="zh-CN"/>
              </w:rPr>
              <w:t>带领局高新处</w:t>
            </w:r>
            <w:r>
              <w:rPr>
                <w:rFonts w:hint="default" w:ascii="Times New Roman" w:hAnsi="Times New Roman" w:eastAsia="仿宋_GB2312" w:cs="Times New Roman"/>
                <w:b w:val="0"/>
                <w:bCs w:val="0"/>
                <w:color w:val="000000"/>
                <w:sz w:val="28"/>
                <w:szCs w:val="28"/>
              </w:rPr>
              <w:t>积极有效地开展各项工作，</w:t>
            </w:r>
            <w:r>
              <w:rPr>
                <w:rFonts w:hint="default" w:ascii="Times New Roman" w:hAnsi="Times New Roman" w:eastAsia="仿宋_GB2312" w:cs="Times New Roman"/>
                <w:b w:val="0"/>
                <w:bCs w:val="0"/>
                <w:color w:val="000000"/>
                <w:sz w:val="28"/>
                <w:szCs w:val="28"/>
                <w:lang w:val="en-US" w:eastAsia="zh-CN"/>
              </w:rPr>
              <w:t>2022年</w:t>
            </w:r>
            <w:r>
              <w:rPr>
                <w:rFonts w:hint="default" w:ascii="Times New Roman" w:hAnsi="Times New Roman" w:eastAsia="仿宋_GB2312" w:cs="Times New Roman"/>
                <w:b w:val="0"/>
                <w:bCs w:val="0"/>
                <w:color w:val="000000"/>
                <w:sz w:val="28"/>
                <w:szCs w:val="28"/>
              </w:rPr>
              <w:t>较好地完成了各项目标任务</w:t>
            </w:r>
            <w:r>
              <w:rPr>
                <w:rFonts w:hint="default" w:ascii="Times New Roman" w:hAnsi="Times New Roman" w:eastAsia="仿宋_GB2312" w:cs="Times New Roman"/>
                <w:b w:val="0"/>
                <w:bCs w:val="0"/>
                <w:color w:val="000000"/>
                <w:sz w:val="28"/>
                <w:szCs w:val="28"/>
                <w:lang w:eastAsia="zh-CN"/>
              </w:rPr>
              <w:t>。</w:t>
            </w:r>
            <w:r>
              <w:rPr>
                <w:rFonts w:hint="default" w:ascii="Times New Roman" w:hAnsi="Times New Roman" w:eastAsia="仿宋_GB2312" w:cs="Times New Roman"/>
                <w:b w:val="0"/>
                <w:bCs w:val="0"/>
                <w:sz w:val="28"/>
                <w:szCs w:val="28"/>
                <w:highlight w:val="none"/>
              </w:rPr>
              <w:t>一是创新型领军企业加快培育。新增20家省科技企业上市培育入库企业，19家企业入选省新一轮创新型领军企业培育库，均列全省第三。二是打好高企培育攻坚战。聚焦高企培育“四个维度”，强化源头挖掘、辅导培训、服务机制、政策兑现，通过大数据挖掘形成摸排清单；组织高企培训、辅导等各类活动超40场；建立高企培育工作挂钩联系制度</w:t>
            </w:r>
            <w:r>
              <w:rPr>
                <w:rFonts w:hint="default" w:ascii="Times New Roman" w:hAnsi="Times New Roman" w:eastAsia="仿宋_GB2312" w:cs="Times New Roman"/>
                <w:b w:val="0"/>
                <w:bCs w:val="0"/>
                <w:kern w:val="0"/>
                <w:sz w:val="28"/>
                <w:szCs w:val="28"/>
                <w:highlight w:val="none"/>
              </w:rPr>
              <w:t>；</w:t>
            </w:r>
            <w:r>
              <w:rPr>
                <w:rFonts w:hint="default" w:ascii="Times New Roman" w:hAnsi="Times New Roman" w:eastAsia="仿宋_GB2312" w:cs="Times New Roman"/>
                <w:b w:val="0"/>
                <w:bCs w:val="0"/>
                <w:sz w:val="28"/>
                <w:szCs w:val="28"/>
                <w:highlight w:val="none"/>
              </w:rPr>
              <w:t>净增</w:t>
            </w:r>
            <w:r>
              <w:rPr>
                <w:rFonts w:hint="default" w:ascii="Times New Roman" w:hAnsi="Times New Roman" w:eastAsia="仿宋_GB2312" w:cs="Times New Roman"/>
                <w:b w:val="0"/>
                <w:bCs w:val="0"/>
                <w:sz w:val="28"/>
                <w:szCs w:val="28"/>
                <w:highlight w:val="none"/>
                <w:lang w:eastAsia="zh-CN"/>
              </w:rPr>
              <w:t>高企</w:t>
            </w:r>
            <w:r>
              <w:rPr>
                <w:rFonts w:hint="default" w:ascii="Times New Roman" w:hAnsi="Times New Roman" w:eastAsia="仿宋_GB2312" w:cs="Times New Roman"/>
                <w:b w:val="0"/>
                <w:bCs w:val="0"/>
                <w:sz w:val="28"/>
                <w:szCs w:val="28"/>
                <w:highlight w:val="none"/>
              </w:rPr>
              <w:t>765家</w:t>
            </w:r>
            <w:r>
              <w:rPr>
                <w:rFonts w:hint="default" w:ascii="Times New Roman" w:hAnsi="Times New Roman" w:eastAsia="仿宋_GB2312" w:cs="Times New Roman"/>
                <w:b w:val="0"/>
                <w:bCs w:val="0"/>
                <w:sz w:val="28"/>
                <w:szCs w:val="28"/>
                <w:highlight w:val="none"/>
                <w:lang w:eastAsia="zh-CN"/>
              </w:rPr>
              <w:t>，</w:t>
            </w:r>
            <w:r>
              <w:rPr>
                <w:rFonts w:hint="default" w:ascii="Times New Roman" w:hAnsi="Times New Roman" w:eastAsia="仿宋_GB2312" w:cs="Times New Roman"/>
                <w:b w:val="0"/>
                <w:bCs w:val="0"/>
                <w:sz w:val="28"/>
                <w:szCs w:val="28"/>
                <w:highlight w:val="none"/>
              </w:rPr>
              <w:t>有效高企数达3680家</w:t>
            </w:r>
            <w:r>
              <w:rPr>
                <w:rFonts w:hint="default" w:ascii="Times New Roman" w:hAnsi="Times New Roman" w:eastAsia="仿宋_GB2312" w:cs="Times New Roman"/>
                <w:b w:val="0"/>
                <w:bCs w:val="0"/>
                <w:sz w:val="28"/>
                <w:szCs w:val="28"/>
                <w:highlight w:val="none"/>
                <w:lang w:eastAsia="zh-CN"/>
              </w:rPr>
              <w:t>；</w:t>
            </w:r>
            <w:r>
              <w:rPr>
                <w:rFonts w:hint="default" w:ascii="Times New Roman" w:hAnsi="Times New Roman" w:eastAsia="仿宋_GB2312" w:cs="Times New Roman"/>
                <w:b w:val="0"/>
                <w:bCs w:val="0"/>
                <w:sz w:val="28"/>
                <w:szCs w:val="28"/>
                <w:highlight w:val="none"/>
              </w:rPr>
              <w:t>2022年有效高企数增幅26.24%，增幅全省第二，苏南第一。</w:t>
            </w:r>
            <w:r>
              <w:rPr>
                <w:rFonts w:hint="default" w:ascii="Times New Roman" w:hAnsi="Times New Roman" w:eastAsia="仿宋_GB2312" w:cs="Times New Roman"/>
                <w:b w:val="0"/>
                <w:bCs w:val="0"/>
                <w:sz w:val="28"/>
                <w:szCs w:val="28"/>
                <w:highlight w:val="none"/>
                <w:lang w:val="en-US" w:eastAsia="zh-CN"/>
              </w:rPr>
              <w:t>三</w:t>
            </w:r>
            <w:r>
              <w:rPr>
                <w:rFonts w:hint="default" w:ascii="Times New Roman" w:hAnsi="Times New Roman" w:eastAsia="仿宋_GB2312" w:cs="Times New Roman"/>
                <w:b w:val="0"/>
                <w:bCs w:val="0"/>
                <w:sz w:val="28"/>
                <w:szCs w:val="28"/>
                <w:highlight w:val="none"/>
              </w:rPr>
              <w:t>是双创载体建设稳中有进。出台《常州市科创综合体暨人才综合体建设推进三年行动计划（2022</w:t>
            </w:r>
            <w:r>
              <w:rPr>
                <w:rFonts w:hint="default" w:ascii="Times New Roman" w:hAnsi="Times New Roman" w:eastAsia="仿宋_GB2312" w:cs="Times New Roman"/>
                <w:b w:val="0"/>
                <w:bCs w:val="0"/>
                <w:sz w:val="28"/>
                <w:szCs w:val="28"/>
                <w:highlight w:val="none"/>
                <w:lang w:val="en-US" w:eastAsia="zh-CN"/>
              </w:rPr>
              <w:t>—</w:t>
            </w:r>
            <w:r>
              <w:rPr>
                <w:rFonts w:hint="default" w:ascii="Times New Roman" w:hAnsi="Times New Roman" w:eastAsia="仿宋_GB2312" w:cs="Times New Roman"/>
                <w:b w:val="0"/>
                <w:bCs w:val="0"/>
                <w:sz w:val="28"/>
                <w:szCs w:val="28"/>
                <w:highlight w:val="none"/>
              </w:rPr>
              <w:t>2024年）》，按照“六度创新空间”理念，首批10家综合体获认定。新获认定国家级科技企业孵化器3家，</w:t>
            </w:r>
            <w:r>
              <w:rPr>
                <w:rFonts w:hint="default" w:ascii="Times New Roman" w:hAnsi="Times New Roman" w:eastAsia="仿宋_GB2312" w:cs="Times New Roman"/>
                <w:b w:val="0"/>
                <w:bCs w:val="0"/>
                <w:sz w:val="28"/>
                <w:szCs w:val="28"/>
                <w:highlight w:val="none"/>
                <w:lang w:val="en-US" w:eastAsia="zh-CN"/>
              </w:rPr>
              <w:t>省级7家。</w:t>
            </w:r>
            <w:r>
              <w:rPr>
                <w:rFonts w:hint="default" w:ascii="Times New Roman" w:hAnsi="Times New Roman" w:eastAsia="仿宋_GB2312" w:cs="Times New Roman"/>
                <w:b w:val="0"/>
                <w:bCs w:val="0"/>
                <w:sz w:val="28"/>
                <w:szCs w:val="28"/>
                <w:highlight w:val="none"/>
              </w:rPr>
              <w:t>全市省级以上科技企业孵化器达68家，新增数与总数均居全省第三。四是创新创业大赛成效突出</w:t>
            </w:r>
            <w:r>
              <w:rPr>
                <w:rFonts w:hint="default" w:ascii="Times New Roman" w:hAnsi="Times New Roman" w:eastAsia="仿宋_GB2312" w:cs="Times New Roman"/>
                <w:b w:val="0"/>
                <w:bCs w:val="0"/>
                <w:kern w:val="0"/>
                <w:sz w:val="28"/>
                <w:szCs w:val="28"/>
                <w:highlight w:val="none"/>
                <w:shd w:val="clear" w:color="auto" w:fill="FFFFFF"/>
                <w:lang w:bidi="ar"/>
              </w:rPr>
              <w:t>。</w:t>
            </w:r>
            <w:r>
              <w:rPr>
                <w:rFonts w:hint="default" w:ascii="Times New Roman" w:hAnsi="Times New Roman" w:eastAsia="仿宋_GB2312" w:cs="Times New Roman"/>
                <w:b w:val="0"/>
                <w:bCs w:val="0"/>
                <w:sz w:val="28"/>
                <w:szCs w:val="28"/>
                <w:highlight w:val="none"/>
              </w:rPr>
              <w:t>成功</w:t>
            </w:r>
            <w:r>
              <w:rPr>
                <w:rFonts w:hint="default" w:ascii="Times New Roman" w:hAnsi="Times New Roman" w:eastAsia="仿宋_GB2312" w:cs="Times New Roman"/>
                <w:b w:val="0"/>
                <w:bCs w:val="0"/>
                <w:sz w:val="28"/>
                <w:szCs w:val="28"/>
                <w:highlight w:val="none"/>
                <w:lang w:val="en-US" w:eastAsia="zh-CN"/>
              </w:rPr>
              <w:t>承</w:t>
            </w:r>
            <w:r>
              <w:rPr>
                <w:rFonts w:hint="default" w:ascii="Times New Roman" w:hAnsi="Times New Roman" w:eastAsia="仿宋_GB2312" w:cs="Times New Roman"/>
                <w:b w:val="0"/>
                <w:bCs w:val="0"/>
                <w:sz w:val="28"/>
                <w:szCs w:val="28"/>
                <w:highlight w:val="none"/>
              </w:rPr>
              <w:t>办第十一届中国创新创业大赛高端装备制造、新材料全国赛，</w:t>
            </w:r>
            <w:r>
              <w:rPr>
                <w:rFonts w:hint="default" w:ascii="Times New Roman" w:hAnsi="Times New Roman" w:eastAsia="仿宋_GB2312" w:cs="Times New Roman"/>
                <w:b w:val="0"/>
                <w:bCs w:val="0"/>
                <w:sz w:val="28"/>
                <w:szCs w:val="28"/>
                <w:highlight w:val="none"/>
                <w:lang w:val="en-US" w:eastAsia="zh-CN"/>
              </w:rPr>
              <w:t>举办</w:t>
            </w:r>
            <w:r>
              <w:rPr>
                <w:rFonts w:hint="default" w:ascii="Times New Roman" w:hAnsi="Times New Roman" w:eastAsia="仿宋_GB2312" w:cs="Times New Roman"/>
                <w:b w:val="0"/>
                <w:bCs w:val="0"/>
                <w:sz w:val="28"/>
                <w:szCs w:val="28"/>
                <w:highlight w:val="none"/>
              </w:rPr>
              <w:t>2022年常州“国际智造”创新创业大赛</w:t>
            </w:r>
            <w:r>
              <w:rPr>
                <w:rFonts w:hint="default" w:ascii="Times New Roman" w:hAnsi="Times New Roman" w:eastAsia="仿宋_GB2312" w:cs="Times New Roman"/>
                <w:b w:val="0"/>
                <w:bCs w:val="0"/>
                <w:sz w:val="28"/>
                <w:szCs w:val="28"/>
                <w:highlight w:val="none"/>
                <w:lang w:eastAsia="zh-CN"/>
              </w:rPr>
              <w:t>，</w:t>
            </w:r>
            <w:r>
              <w:rPr>
                <w:rFonts w:hint="default" w:ascii="Times New Roman" w:hAnsi="Times New Roman" w:eastAsia="仿宋_GB2312" w:cs="Times New Roman"/>
                <w:b w:val="0"/>
                <w:bCs w:val="0"/>
                <w:sz w:val="28"/>
                <w:szCs w:val="28"/>
                <w:highlight w:val="none"/>
              </w:rPr>
              <w:t>积极开展创新环境推介以及“双招双引”工作；我市共有19家企业晋级第十一届中国创新创业大赛全国赛</w:t>
            </w:r>
            <w:r>
              <w:rPr>
                <w:rFonts w:hint="default" w:ascii="Times New Roman" w:hAnsi="Times New Roman" w:eastAsia="仿宋_GB2312" w:cs="Times New Roman"/>
                <w:b w:val="0"/>
                <w:bCs w:val="0"/>
                <w:sz w:val="28"/>
                <w:szCs w:val="28"/>
                <w:highlight w:val="none"/>
                <w:lang w:eastAsia="zh-CN"/>
              </w:rPr>
              <w:t>，</w:t>
            </w:r>
            <w:r>
              <w:rPr>
                <w:rFonts w:hint="default" w:ascii="Times New Roman" w:hAnsi="Times New Roman" w:eastAsia="仿宋_GB2312" w:cs="Times New Roman"/>
                <w:b w:val="0"/>
                <w:bCs w:val="0"/>
                <w:sz w:val="28"/>
                <w:szCs w:val="28"/>
                <w:highlight w:val="none"/>
              </w:rPr>
              <w:t>2家企业分别获成长企业组二等奖和三等奖，获奖总数占江苏赛区50%，居全省第一</w:t>
            </w:r>
            <w:r>
              <w:rPr>
                <w:rFonts w:hint="default" w:ascii="Times New Roman" w:hAnsi="Times New Roman" w:eastAsia="仿宋_GB2312" w:cs="Times New Roman"/>
                <w:b w:val="0"/>
                <w:bCs w:val="0"/>
                <w:sz w:val="28"/>
                <w:szCs w:val="28"/>
                <w:highlight w:val="none"/>
                <w:lang w:eastAsia="zh-CN"/>
              </w:rPr>
              <w:t>；</w:t>
            </w:r>
            <w:r>
              <w:rPr>
                <w:rFonts w:hint="default" w:ascii="Times New Roman" w:hAnsi="Times New Roman" w:eastAsia="仿宋_GB2312" w:cs="Times New Roman"/>
                <w:b w:val="0"/>
                <w:bCs w:val="0"/>
                <w:sz w:val="28"/>
                <w:szCs w:val="28"/>
                <w:highlight w:val="none"/>
              </w:rPr>
              <w:t>3家成长组企业获全国“创新企业50强”，位列全省第一。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72" w:hRule="atLeast"/>
        </w:trPr>
        <w:tc>
          <w:tcPr>
            <w:tcW w:w="305" w:type="pct"/>
            <w:vAlign w:val="center"/>
          </w:tcPr>
          <w:p>
            <w:pPr>
              <w:spacing w:line="540" w:lineRule="exact"/>
              <w:jc w:val="center"/>
              <w:rPr>
                <w:rFonts w:hint="default" w:ascii="Times New Roman" w:hAnsi="Times New Roman" w:eastAsia="仿宋_GB2312" w:cs="Times New Roman"/>
                <w:kern w:val="32"/>
                <w:sz w:val="28"/>
                <w:szCs w:val="28"/>
                <w:lang w:val="en-US" w:eastAsia="zh-CN"/>
              </w:rPr>
            </w:pPr>
            <w:r>
              <w:rPr>
                <w:rFonts w:hint="default" w:ascii="Times New Roman" w:hAnsi="Times New Roman" w:eastAsia="仿宋_GB2312" w:cs="Times New Roman"/>
                <w:kern w:val="32"/>
                <w:sz w:val="28"/>
                <w:szCs w:val="28"/>
                <w:lang w:val="en-US" w:eastAsia="zh-CN"/>
              </w:rPr>
              <w:t>7</w:t>
            </w:r>
          </w:p>
        </w:tc>
        <w:tc>
          <w:tcPr>
            <w:tcW w:w="422" w:type="pct"/>
            <w:vAlign w:val="center"/>
          </w:tcPr>
          <w:p>
            <w:pPr>
              <w:keepNext w:val="0"/>
              <w:keepLines w:val="0"/>
              <w:pageBreakBefore w:val="0"/>
              <w:kinsoku/>
              <w:wordWrap/>
              <w:overflowPunct/>
              <w:topLinePunct w:val="0"/>
              <w:autoSpaceDE/>
              <w:autoSpaceDN/>
              <w:bidi w:val="0"/>
              <w:snapToGrid/>
              <w:spacing w:line="360" w:lineRule="exact"/>
              <w:ind w:firstLine="0" w:firstLineChars="0"/>
              <w:jc w:val="center"/>
              <w:textAlignment w:val="auto"/>
              <w:rPr>
                <w:rFonts w:hint="default" w:ascii="Times New Roman" w:hAnsi="Times New Roman" w:eastAsia="仿宋_GB2312" w:cs="Times New Roman"/>
                <w:snapToGrid w:val="0"/>
                <w:kern w:val="0"/>
                <w:sz w:val="28"/>
                <w:szCs w:val="28"/>
                <w:lang w:val="en-US" w:eastAsia="zh-CN" w:bidi="ar-SA"/>
              </w:rPr>
            </w:pPr>
            <w:r>
              <w:rPr>
                <w:rFonts w:hint="default" w:ascii="Times New Roman" w:hAnsi="Times New Roman" w:eastAsia="仿宋_GB2312" w:cs="Times New Roman"/>
                <w:snapToGrid w:val="0"/>
                <w:kern w:val="0"/>
                <w:sz w:val="28"/>
                <w:szCs w:val="28"/>
                <w:lang w:val="en-US" w:eastAsia="zh-CN" w:bidi="ar-SA"/>
              </w:rPr>
              <w:t>李强</w:t>
            </w:r>
          </w:p>
        </w:tc>
        <w:tc>
          <w:tcPr>
            <w:tcW w:w="292" w:type="pct"/>
            <w:vAlign w:val="center"/>
          </w:tcPr>
          <w:p>
            <w:pPr>
              <w:keepNext w:val="0"/>
              <w:keepLines w:val="0"/>
              <w:pageBreakBefore w:val="0"/>
              <w:kinsoku/>
              <w:wordWrap/>
              <w:overflowPunct/>
              <w:topLinePunct w:val="0"/>
              <w:autoSpaceDE/>
              <w:autoSpaceDN/>
              <w:bidi w:val="0"/>
              <w:snapToGrid/>
              <w:spacing w:line="360" w:lineRule="exact"/>
              <w:ind w:firstLine="0" w:firstLineChars="0"/>
              <w:jc w:val="center"/>
              <w:textAlignment w:val="auto"/>
              <w:rPr>
                <w:rFonts w:hint="default" w:ascii="Times New Roman" w:hAnsi="Times New Roman" w:eastAsia="仿宋_GB2312" w:cs="Times New Roman"/>
                <w:snapToGrid w:val="0"/>
                <w:kern w:val="0"/>
                <w:sz w:val="28"/>
                <w:szCs w:val="28"/>
                <w:lang w:val="en-US" w:eastAsia="zh-CN" w:bidi="ar-SA"/>
              </w:rPr>
            </w:pPr>
            <w:r>
              <w:rPr>
                <w:rFonts w:hint="default" w:ascii="Times New Roman" w:hAnsi="Times New Roman" w:eastAsia="仿宋_GB2312" w:cs="Times New Roman"/>
                <w:snapToGrid w:val="0"/>
                <w:kern w:val="0"/>
                <w:sz w:val="28"/>
                <w:szCs w:val="28"/>
                <w:lang w:val="en-US" w:eastAsia="zh-CN" w:bidi="ar-SA"/>
              </w:rPr>
              <w:t>男</w:t>
            </w:r>
          </w:p>
        </w:tc>
        <w:tc>
          <w:tcPr>
            <w:tcW w:w="813" w:type="pct"/>
            <w:vAlign w:val="center"/>
          </w:tcPr>
          <w:p>
            <w:pPr>
              <w:keepNext w:val="0"/>
              <w:keepLines w:val="0"/>
              <w:pageBreakBefore w:val="0"/>
              <w:kinsoku/>
              <w:wordWrap/>
              <w:overflowPunct/>
              <w:topLinePunct w:val="0"/>
              <w:autoSpaceDE/>
              <w:autoSpaceDN/>
              <w:bidi w:val="0"/>
              <w:snapToGrid/>
              <w:spacing w:line="360" w:lineRule="exact"/>
              <w:ind w:firstLine="0" w:firstLineChars="0"/>
              <w:jc w:val="center"/>
              <w:textAlignment w:val="auto"/>
              <w:rPr>
                <w:rFonts w:hint="default" w:ascii="Times New Roman" w:hAnsi="Times New Roman" w:eastAsia="仿宋_GB2312" w:cs="Times New Roman"/>
                <w:snapToGrid w:val="0"/>
                <w:kern w:val="0"/>
                <w:sz w:val="28"/>
                <w:szCs w:val="28"/>
                <w:lang w:val="en-US" w:eastAsia="zh-CN" w:bidi="ar-SA"/>
              </w:rPr>
            </w:pPr>
            <w:r>
              <w:rPr>
                <w:rFonts w:hint="default" w:ascii="Times New Roman" w:hAnsi="Times New Roman" w:eastAsia="仿宋_GB2312" w:cs="Times New Roman"/>
                <w:snapToGrid w:val="0"/>
                <w:kern w:val="0"/>
                <w:sz w:val="28"/>
                <w:szCs w:val="28"/>
                <w:lang w:val="en-US" w:eastAsia="zh-CN" w:bidi="ar-SA"/>
              </w:rPr>
              <w:t>常州科教城投资控股集团党委副书记、总经理</w:t>
            </w:r>
          </w:p>
        </w:tc>
        <w:tc>
          <w:tcPr>
            <w:tcW w:w="3166" w:type="pct"/>
            <w:vAlign w:val="center"/>
          </w:tcPr>
          <w:p>
            <w:pPr>
              <w:keepNext w:val="0"/>
              <w:keepLines w:val="0"/>
              <w:pageBreakBefore w:val="0"/>
              <w:kinsoku/>
              <w:wordWrap/>
              <w:overflowPunct/>
              <w:topLinePunct w:val="0"/>
              <w:autoSpaceDE/>
              <w:autoSpaceDN/>
              <w:bidi w:val="0"/>
              <w:snapToGrid/>
              <w:spacing w:line="360" w:lineRule="exact"/>
              <w:ind w:firstLine="640"/>
              <w:jc w:val="both"/>
              <w:textAlignment w:val="auto"/>
              <w:rPr>
                <w:rFonts w:hint="default" w:ascii="Times New Roman" w:hAnsi="Times New Roman" w:eastAsia="仿宋_GB2312" w:cs="Times New Roman"/>
                <w:b w:val="0"/>
                <w:bCs w:val="0"/>
                <w:sz w:val="28"/>
                <w:szCs w:val="28"/>
                <w:highlight w:val="none"/>
              </w:rPr>
            </w:pPr>
            <w:r>
              <w:rPr>
                <w:rFonts w:hint="default" w:ascii="Times New Roman" w:hAnsi="Times New Roman" w:eastAsia="仿宋_GB2312" w:cs="Times New Roman"/>
                <w:b w:val="0"/>
                <w:bCs w:val="0"/>
                <w:sz w:val="28"/>
                <w:szCs w:val="28"/>
                <w:highlight w:val="none"/>
              </w:rPr>
              <w:t>该同志长期从事科技、知识产权与科技成果转化平台管理和运营，善于结合商业模式、投资和金融手段高效率转化科技成果，熟悉全链条的科技创新管理工作。在大连理工大学江苏研究院工作期间，建设了国家级孵化器、国家中小企业公共服务平台，推动学校团队和地方企业技术合作解决行业卡脖子问题并获批国家科技进步二等奖，主导孵化了一批高水平的项目，其中江苏易电行成为纳斯达克上市企业，常州夸克涂层和常州翊迈新成为解决行业关键技术的高科技公司，技术孵化公司的纳税总额超过研究院获得政府支持资金总额，将研究院从连续五年亏损到连续五年盈利。在服务企业工作中，该同志提出“技术创新开发商”的成果转化模式，商业化转化了一批科技成果；提出了“科技创新资源管理”的理论和标准化实践体系，成功帮助了三十多家企业提升创新管理能力。2022年1月，入职常州科教城投控集团后，围绕“一楼一产业一平台一服务链”创新高科技企业孵化新模式，将产业需求、研发平台支撑、高科技企业培育和综合孵化服务的深度融合，全力培育未来产业。在负责常州市智能制造龙城实验室筹建期间，主要负责龙城实验室筹建方案，推动与大连理工大学以及中国机械研究总院集团的合作共建，推动一流科学家队伍入驻龙城实验室，实验室各项工作得到快速推进。</w:t>
            </w:r>
          </w:p>
          <w:p>
            <w:pPr>
              <w:keepNext w:val="0"/>
              <w:keepLines w:val="0"/>
              <w:pageBreakBefore w:val="0"/>
              <w:kinsoku/>
              <w:wordWrap/>
              <w:overflowPunct/>
              <w:topLinePunct w:val="0"/>
              <w:autoSpaceDE/>
              <w:autoSpaceDN/>
              <w:bidi w:val="0"/>
              <w:snapToGrid/>
              <w:spacing w:line="360" w:lineRule="exact"/>
              <w:ind w:firstLine="640"/>
              <w:jc w:val="both"/>
              <w:textAlignment w:val="auto"/>
              <w:rPr>
                <w:rFonts w:hint="default" w:ascii="Times New Roman" w:hAnsi="Times New Roman" w:eastAsia="仿宋_GB2312" w:cs="Times New Roman"/>
                <w:kern w:val="32"/>
                <w:sz w:val="28"/>
                <w:szCs w:val="28"/>
              </w:rPr>
            </w:pPr>
            <w:r>
              <w:rPr>
                <w:rFonts w:hint="default" w:ascii="Times New Roman" w:hAnsi="Times New Roman" w:eastAsia="仿宋_GB2312" w:cs="Times New Roman"/>
                <w:b w:val="0"/>
                <w:bCs w:val="0"/>
                <w:sz w:val="28"/>
                <w:szCs w:val="28"/>
                <w:highlight w:val="none"/>
              </w:rPr>
              <w:t>该同志深耕科技条线10多年，先后荣获“全国专利信息实务人才”“江苏省知识产权领军人才”“常州市五一劳动奖章”“大连理工大学校外研究院工作突出贡献奖”等荣誉。</w:t>
            </w:r>
          </w:p>
        </w:tc>
      </w:tr>
    </w:tbl>
    <w:p>
      <w:pPr>
        <w:spacing w:line="540" w:lineRule="exact"/>
        <w:rPr>
          <w:rFonts w:hint="default" w:ascii="Times New Roman" w:hAnsi="Times New Roman" w:eastAsia="仿宋_GB2312" w:cs="Times New Roman"/>
          <w:kern w:val="32"/>
          <w:sz w:val="32"/>
          <w:szCs w:val="32"/>
        </w:rPr>
      </w:pPr>
    </w:p>
    <w:sectPr>
      <w:headerReference r:id="rId3" w:type="default"/>
      <w:footerReference r:id="rId4" w:type="default"/>
      <w:pgSz w:w="16838" w:h="11906" w:orient="landscape"/>
      <w:pgMar w:top="1531" w:right="1361" w:bottom="1531" w:left="1361" w:header="851" w:footer="510" w:gutter="0"/>
      <w:pgNumType w:fmt="decimal"/>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Arial Unicode MS"/>
    <w:panose1 w:val="00000000000000000000"/>
    <w:charset w:val="86"/>
    <w:family w:val="script"/>
    <w:pitch w:val="default"/>
    <w:sig w:usb0="00000000" w:usb1="00000000" w:usb2="0000001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42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UyYmZhZjI3NmJhYjUzMjBiYmZkMWZmNGM5NTk2NDIifQ=="/>
  </w:docVars>
  <w:rsids>
    <w:rsidRoot w:val="003C079C"/>
    <w:rsid w:val="00054425"/>
    <w:rsid w:val="00056CB0"/>
    <w:rsid w:val="00064A7A"/>
    <w:rsid w:val="000B2223"/>
    <w:rsid w:val="000D5063"/>
    <w:rsid w:val="000E55F9"/>
    <w:rsid w:val="000E6673"/>
    <w:rsid w:val="00112C80"/>
    <w:rsid w:val="001202D8"/>
    <w:rsid w:val="00135EB1"/>
    <w:rsid w:val="00136871"/>
    <w:rsid w:val="0014239A"/>
    <w:rsid w:val="0016248D"/>
    <w:rsid w:val="00163FD0"/>
    <w:rsid w:val="00164E7C"/>
    <w:rsid w:val="001837C3"/>
    <w:rsid w:val="00183E00"/>
    <w:rsid w:val="001954E4"/>
    <w:rsid w:val="001B4BAB"/>
    <w:rsid w:val="001C2C31"/>
    <w:rsid w:val="001D2195"/>
    <w:rsid w:val="001D2B9F"/>
    <w:rsid w:val="001F6578"/>
    <w:rsid w:val="00214571"/>
    <w:rsid w:val="0021620B"/>
    <w:rsid w:val="00256A3D"/>
    <w:rsid w:val="00261F54"/>
    <w:rsid w:val="00286FF7"/>
    <w:rsid w:val="002E5D53"/>
    <w:rsid w:val="002E6358"/>
    <w:rsid w:val="0031497F"/>
    <w:rsid w:val="003219D2"/>
    <w:rsid w:val="0035732F"/>
    <w:rsid w:val="00362C9C"/>
    <w:rsid w:val="0037700A"/>
    <w:rsid w:val="00386952"/>
    <w:rsid w:val="00390507"/>
    <w:rsid w:val="003A0DAB"/>
    <w:rsid w:val="003B21EB"/>
    <w:rsid w:val="003C079C"/>
    <w:rsid w:val="004009D7"/>
    <w:rsid w:val="00405F06"/>
    <w:rsid w:val="004225B9"/>
    <w:rsid w:val="00455446"/>
    <w:rsid w:val="004963DC"/>
    <w:rsid w:val="004A0A4C"/>
    <w:rsid w:val="004A39B3"/>
    <w:rsid w:val="004C6F6F"/>
    <w:rsid w:val="004E6F73"/>
    <w:rsid w:val="004F7A36"/>
    <w:rsid w:val="00504773"/>
    <w:rsid w:val="005360BF"/>
    <w:rsid w:val="005504D8"/>
    <w:rsid w:val="00554737"/>
    <w:rsid w:val="00584012"/>
    <w:rsid w:val="005A01BE"/>
    <w:rsid w:val="005A118D"/>
    <w:rsid w:val="005C3000"/>
    <w:rsid w:val="005D2243"/>
    <w:rsid w:val="005E21B7"/>
    <w:rsid w:val="005E571C"/>
    <w:rsid w:val="005F2A9C"/>
    <w:rsid w:val="005F5854"/>
    <w:rsid w:val="005F598A"/>
    <w:rsid w:val="00613B05"/>
    <w:rsid w:val="00625D66"/>
    <w:rsid w:val="006529C1"/>
    <w:rsid w:val="006638A6"/>
    <w:rsid w:val="00665BAD"/>
    <w:rsid w:val="0068191E"/>
    <w:rsid w:val="00690CE4"/>
    <w:rsid w:val="00693B76"/>
    <w:rsid w:val="006A71DA"/>
    <w:rsid w:val="006B4DE1"/>
    <w:rsid w:val="006C779B"/>
    <w:rsid w:val="006D098C"/>
    <w:rsid w:val="006F4F38"/>
    <w:rsid w:val="0071476F"/>
    <w:rsid w:val="0072551F"/>
    <w:rsid w:val="0074297C"/>
    <w:rsid w:val="0077587C"/>
    <w:rsid w:val="00790770"/>
    <w:rsid w:val="007B27BD"/>
    <w:rsid w:val="007C2ED4"/>
    <w:rsid w:val="007C3EB8"/>
    <w:rsid w:val="007F086F"/>
    <w:rsid w:val="008028F8"/>
    <w:rsid w:val="00804219"/>
    <w:rsid w:val="00807D48"/>
    <w:rsid w:val="00810696"/>
    <w:rsid w:val="00812F9B"/>
    <w:rsid w:val="00827D80"/>
    <w:rsid w:val="008302A9"/>
    <w:rsid w:val="00854659"/>
    <w:rsid w:val="008A647C"/>
    <w:rsid w:val="008B34F6"/>
    <w:rsid w:val="008F18C9"/>
    <w:rsid w:val="00902414"/>
    <w:rsid w:val="00922443"/>
    <w:rsid w:val="00931572"/>
    <w:rsid w:val="00934A47"/>
    <w:rsid w:val="00951A45"/>
    <w:rsid w:val="009706F9"/>
    <w:rsid w:val="009A42FB"/>
    <w:rsid w:val="009B0D0A"/>
    <w:rsid w:val="009B22A8"/>
    <w:rsid w:val="00A25AC8"/>
    <w:rsid w:val="00A3638E"/>
    <w:rsid w:val="00A84635"/>
    <w:rsid w:val="00A93398"/>
    <w:rsid w:val="00A965F9"/>
    <w:rsid w:val="00AA0C5E"/>
    <w:rsid w:val="00AA7BCA"/>
    <w:rsid w:val="00AB0C15"/>
    <w:rsid w:val="00AC2037"/>
    <w:rsid w:val="00AD6DFC"/>
    <w:rsid w:val="00AE39F7"/>
    <w:rsid w:val="00AF1CD2"/>
    <w:rsid w:val="00B1015C"/>
    <w:rsid w:val="00B217F9"/>
    <w:rsid w:val="00B23368"/>
    <w:rsid w:val="00B40FC4"/>
    <w:rsid w:val="00B46FE8"/>
    <w:rsid w:val="00B66C6D"/>
    <w:rsid w:val="00B72E90"/>
    <w:rsid w:val="00B84F68"/>
    <w:rsid w:val="00B91FE3"/>
    <w:rsid w:val="00BC5D81"/>
    <w:rsid w:val="00BE584A"/>
    <w:rsid w:val="00BF2EEA"/>
    <w:rsid w:val="00C01B23"/>
    <w:rsid w:val="00C07EE1"/>
    <w:rsid w:val="00C202F1"/>
    <w:rsid w:val="00C269DE"/>
    <w:rsid w:val="00C26B89"/>
    <w:rsid w:val="00C41115"/>
    <w:rsid w:val="00C41518"/>
    <w:rsid w:val="00C4468C"/>
    <w:rsid w:val="00C54E93"/>
    <w:rsid w:val="00C63EFA"/>
    <w:rsid w:val="00C742BB"/>
    <w:rsid w:val="00C91952"/>
    <w:rsid w:val="00CA1E59"/>
    <w:rsid w:val="00CA32AA"/>
    <w:rsid w:val="00CA7829"/>
    <w:rsid w:val="00CB713B"/>
    <w:rsid w:val="00CD0F94"/>
    <w:rsid w:val="00CD2AF3"/>
    <w:rsid w:val="00CE7833"/>
    <w:rsid w:val="00D17B97"/>
    <w:rsid w:val="00D214F9"/>
    <w:rsid w:val="00D256AE"/>
    <w:rsid w:val="00D4346D"/>
    <w:rsid w:val="00D51443"/>
    <w:rsid w:val="00DD2050"/>
    <w:rsid w:val="00DD7F92"/>
    <w:rsid w:val="00E070B6"/>
    <w:rsid w:val="00E07EB3"/>
    <w:rsid w:val="00E476A2"/>
    <w:rsid w:val="00E625D3"/>
    <w:rsid w:val="00E86074"/>
    <w:rsid w:val="00E86616"/>
    <w:rsid w:val="00E875B1"/>
    <w:rsid w:val="00E930D0"/>
    <w:rsid w:val="00EA75CC"/>
    <w:rsid w:val="00EC4343"/>
    <w:rsid w:val="00EE0503"/>
    <w:rsid w:val="00EF6B03"/>
    <w:rsid w:val="00F04016"/>
    <w:rsid w:val="00F04F5C"/>
    <w:rsid w:val="00F30B94"/>
    <w:rsid w:val="00F35265"/>
    <w:rsid w:val="00F77FF9"/>
    <w:rsid w:val="00F925A2"/>
    <w:rsid w:val="00FB0EC5"/>
    <w:rsid w:val="00FB19E3"/>
    <w:rsid w:val="00FD287B"/>
    <w:rsid w:val="00FF709F"/>
    <w:rsid w:val="00FF75D2"/>
    <w:rsid w:val="09764939"/>
    <w:rsid w:val="19427FB4"/>
    <w:rsid w:val="1ADF05DE"/>
    <w:rsid w:val="20A83220"/>
    <w:rsid w:val="3C0707B9"/>
    <w:rsid w:val="54A24167"/>
    <w:rsid w:val="557C1E7F"/>
    <w:rsid w:val="597436C4"/>
    <w:rsid w:val="5E377FA8"/>
    <w:rsid w:val="62CC4571"/>
    <w:rsid w:val="68A57EC6"/>
    <w:rsid w:val="71C46E9E"/>
    <w:rsid w:val="774D69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Theme="minorHAnsi" w:hAnsiTheme="minorHAnsi" w:eastAsiaTheme="minorEastAsia" w:cstheme="minorBidi"/>
      <w:kern w:val="2"/>
      <w:sz w:val="21"/>
      <w:szCs w:val="22"/>
      <w:lang w:val="en-US" w:eastAsia="zh-CN" w:bidi="ar-SA"/>
    </w:rPr>
  </w:style>
  <w:style w:type="paragraph" w:styleId="3">
    <w:name w:val="heading 2"/>
    <w:basedOn w:val="1"/>
    <w:next w:val="1"/>
    <w:link w:val="14"/>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1"/>
    <w:pPr>
      <w:autoSpaceDE w:val="0"/>
      <w:autoSpaceDN w:val="0"/>
      <w:adjustRightInd w:val="0"/>
      <w:snapToGrid w:val="0"/>
      <w:spacing w:beforeLines="50" w:afterLines="50" w:line="600" w:lineRule="exact"/>
      <w:ind w:firstLine="624"/>
    </w:pPr>
    <w:rPr>
      <w:rFonts w:ascii="Times New Roman" w:hAnsi="Times New Roman" w:eastAsia="黑体" w:cs="Times New Roman"/>
      <w:snapToGrid w:val="0"/>
      <w:kern w:val="0"/>
      <w:sz w:val="32"/>
      <w:szCs w:val="32"/>
    </w:rPr>
  </w:style>
  <w:style w:type="paragraph" w:styleId="4">
    <w:name w:val="Balloon Text"/>
    <w:basedOn w:val="1"/>
    <w:link w:val="13"/>
    <w:semiHidden/>
    <w:unhideWhenUsed/>
    <w:qFormat/>
    <w:uiPriority w:val="99"/>
    <w:rPr>
      <w:sz w:val="18"/>
      <w:szCs w:val="18"/>
    </w:rPr>
  </w:style>
  <w:style w:type="paragraph" w:styleId="5">
    <w:name w:val="footer"/>
    <w:basedOn w:val="1"/>
    <w:link w:val="11"/>
    <w:unhideWhenUsed/>
    <w:qFormat/>
    <w:uiPriority w:val="99"/>
    <w:pPr>
      <w:tabs>
        <w:tab w:val="center" w:pos="4153"/>
        <w:tab w:val="right" w:pos="8306"/>
      </w:tabs>
      <w:snapToGrid w:val="0"/>
      <w:spacing w:line="240" w:lineRule="atLeas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table" w:styleId="8">
    <w:name w:val="Table Grid"/>
    <w:basedOn w:val="7"/>
    <w:qFormat/>
    <w:uiPriority w:val="39"/>
    <w:rPr>
      <w:rFonts w:ascii="Times New Roman" w:hAnsi="Times New Roman" w:eastAsia="方正小标宋_GBK"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0">
    <w:name w:val="页眉 Char"/>
    <w:basedOn w:val="9"/>
    <w:link w:val="6"/>
    <w:qFormat/>
    <w:uiPriority w:val="99"/>
    <w:rPr>
      <w:sz w:val="18"/>
      <w:szCs w:val="18"/>
    </w:rPr>
  </w:style>
  <w:style w:type="character" w:customStyle="1" w:styleId="11">
    <w:name w:val="页脚 Char"/>
    <w:basedOn w:val="9"/>
    <w:link w:val="5"/>
    <w:qFormat/>
    <w:uiPriority w:val="99"/>
    <w:rPr>
      <w:sz w:val="18"/>
      <w:szCs w:val="18"/>
    </w:rPr>
  </w:style>
  <w:style w:type="character" w:customStyle="1" w:styleId="12">
    <w:name w:val="Intense Reference"/>
    <w:basedOn w:val="9"/>
    <w:qFormat/>
    <w:uiPriority w:val="32"/>
    <w:rPr>
      <w:b/>
      <w:bCs/>
      <w:smallCaps/>
      <w:color w:val="C0504D" w:themeColor="accent2"/>
      <w:spacing w:val="5"/>
      <w:u w:val="single"/>
      <w14:textFill>
        <w14:solidFill>
          <w14:schemeClr w14:val="accent2"/>
        </w14:solidFill>
      </w14:textFill>
    </w:rPr>
  </w:style>
  <w:style w:type="character" w:customStyle="1" w:styleId="13">
    <w:name w:val="批注框文本 Char"/>
    <w:basedOn w:val="9"/>
    <w:link w:val="4"/>
    <w:semiHidden/>
    <w:qFormat/>
    <w:uiPriority w:val="99"/>
    <w:rPr>
      <w:sz w:val="18"/>
      <w:szCs w:val="18"/>
    </w:rPr>
  </w:style>
  <w:style w:type="character" w:customStyle="1" w:styleId="14">
    <w:name w:val="标题 2 Char"/>
    <w:link w:val="3"/>
    <w:qFormat/>
    <w:uiPriority w:val="0"/>
    <w:rPr>
      <w:rFonts w:ascii="Arial" w:hAnsi="Arial" w:eastAsia="黑体"/>
      <w:b/>
      <w:sz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B2E0F87-460C-4B47-BE43-038160EFE611}">
  <ds:schemaRefs/>
</ds:datastoreItem>
</file>

<file path=docProps/app.xml><?xml version="1.0" encoding="utf-8"?>
<Properties xmlns="http://schemas.openxmlformats.org/officeDocument/2006/extended-properties" xmlns:vt="http://schemas.openxmlformats.org/officeDocument/2006/docPropsVTypes">
  <Template>Normal</Template>
  <Company>MS</Company>
  <Pages>12</Pages>
  <Words>780</Words>
  <Characters>4446</Characters>
  <Lines>37</Lines>
  <Paragraphs>10</Paragraphs>
  <TotalTime>20</TotalTime>
  <ScaleCrop>false</ScaleCrop>
  <LinksUpToDate>false</LinksUpToDate>
  <CharactersWithSpaces>5216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2021-03-08T06:24:00Z</dcterms:created>
  <dc:creator>方素娟</dc:creator>
  <cp:lastModifiedBy>定一</cp:lastModifiedBy>
  <cp:lastPrinted>2023-06-09T03:29:00Z</cp:lastPrinted>
  <dcterms:modified xsi:type="dcterms:W3CDTF">2023-06-09T04:42:26Z</dcterms:modified>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7A1FB328DE64407080CE1ACE4A0EFAF8_12</vt:lpwstr>
  </property>
</Properties>
</file>