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巫陈妤</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w:t>
      </w:r>
      <w:r>
        <w:rPr>
          <w:rFonts w:hint="eastAsia" w:ascii="Times New Roman" w:hAnsi="Times New Roman" w:eastAsia="仿宋_GB2312"/>
          <w:snapToGrid w:val="0"/>
          <w:sz w:val="28"/>
          <w:szCs w:val="28"/>
          <w:u w:val="single"/>
        </w:rPr>
        <w:t>苏</w:t>
      </w:r>
      <w:r>
        <w:rPr>
          <w:rFonts w:ascii="Times New Roman" w:hAnsi="Times New Roman" w:eastAsia="仿宋_GB2312"/>
          <w:snapToGrid w:val="0"/>
          <w:sz w:val="28"/>
          <w:szCs w:val="28"/>
          <w:u w:val="single"/>
        </w:rPr>
        <w:t>D</w:t>
      </w:r>
      <w:r>
        <w:rPr>
          <w:rFonts w:hint="eastAsia" w:ascii="Times New Roman" w:hAnsi="Times New Roman" w:eastAsia="仿宋_GB2312"/>
          <w:snapToGrid w:val="0"/>
          <w:sz w:val="28"/>
          <w:szCs w:val="28"/>
          <w:u w:val="single"/>
        </w:rPr>
        <w:t>9NG6*(车辆识别代号：</w:t>
      </w:r>
      <w:r>
        <w:rPr>
          <w:rFonts w:ascii="Times New Roman" w:hAnsi="Times New Roman" w:eastAsia="仿宋_GB2312"/>
          <w:snapToGrid w:val="0"/>
          <w:sz w:val="28"/>
          <w:szCs w:val="28"/>
          <w:u w:val="single"/>
        </w:rPr>
        <w:t>LFPH4BCPXJ2L00842</w:t>
      </w:r>
      <w:r>
        <w:rPr>
          <w:rFonts w:hint="eastAsia" w:ascii="Times New Roman" w:hAnsi="Times New Roman" w:eastAsia="仿宋_GB2312"/>
          <w:snapToGrid w:val="0"/>
          <w:sz w:val="28"/>
          <w:szCs w:val="28"/>
          <w:u w:val="single"/>
        </w:rPr>
        <w:t>)</w:t>
      </w:r>
      <w:r>
        <w:rPr>
          <w:rFonts w:hint="eastAsia" w:ascii="Times New Roman" w:hAnsi="Times New Roman" w:eastAsia="仿宋_GB2312"/>
          <w:snapToGrid w:val="0"/>
          <w:sz w:val="28"/>
          <w:szCs w:val="28"/>
        </w:rPr>
        <w:t>的红旗牌，已有36起未处理道路交通安全违法行为。本大队于2023年6月25日作出的编号为320401600000149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（太湖大道）学府东路口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澄江路—济川路口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沪陕高速安徽段568公里20米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驾驶中型以上载客载货汽车、校车、危险物品运输车辆以外的其他机动车在高速公路上行驶超过规定时速20%以上未达到50%的</w:t>
      </w:r>
      <w:r>
        <w:rPr>
          <w:rFonts w:hint="eastAsia" w:ascii="Times New Roman" w:hAnsi="Times New Roman" w:eastAsia="仿宋_GB2312"/>
          <w:snapToGrid w:val="0"/>
          <w:sz w:val="28"/>
          <w:szCs w:val="28"/>
        </w:rPr>
        <w:t>违法行为（代码1636B），违反了《中华人民共和国道路交通安全法》第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612省道与睢河路交叉路口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淮徐高速18公里730米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612省道与睢河路交叉路口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高港大道疏港一路路口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612省道与睢河路交叉路口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G2513淮徐高速101km+200m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232省道(S504省道)珊七线路口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33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龙江路高架2汉江西路入口至飞龙西路入口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香樟路路段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阜兴泰高速142公里550米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泰兴高速30公里700米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46</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镇海路北延（泰兴北互通S334连接线)南向北测速点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04</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香樟路路段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劳动路五星路口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东环二路与供电东路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机动车违反规定停放、临时停车驾驶人虽在现场拒绝立即驶离，妨碍其他车辆、行人通行的</w:t>
      </w:r>
      <w:r>
        <w:rPr>
          <w:rFonts w:hint="eastAsia"/>
        </w:rPr>
        <w:t>，</w:t>
      </w:r>
      <w:r>
        <w:rPr>
          <w:rFonts w:hint="eastAsia" w:ascii="Times New Roman" w:hAnsi="Times New Roman" w:eastAsia="仿宋_GB2312"/>
          <w:snapToGrid w:val="0"/>
          <w:sz w:val="28"/>
          <w:szCs w:val="28"/>
        </w:rPr>
        <w:t>违法行为（代码10394），违反了《中华人民共和国道路交通安全法》第五十六条、《中华人民共和国道路交通安全法实施条例》第六十三条的规定，依据《中华人民共和国道路交通安全法》第九十三条第二款、《江苏省道路交通安全条例》第五十八条第二十六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11</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邹傅路(怀德南路到梅庄路段)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金坛大道与钱家路十字路口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天潜高速184公里400米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在高速公路上骑、轧车行道分界线的</w:t>
      </w:r>
      <w:r>
        <w:rPr>
          <w:rFonts w:hint="eastAsia" w:ascii="Times New Roman" w:hAnsi="Times New Roman" w:eastAsia="仿宋_GB2312"/>
          <w:snapToGrid w:val="0"/>
          <w:sz w:val="28"/>
          <w:szCs w:val="28"/>
        </w:rPr>
        <w:t>违法行为（代码4010），违反了《中华人民共和国道路交通安全法实施条例》第八十二条第三项的规定，依据《中华人民共和国道路交通安全法》第一百一十四条、第九十条、《安徽省实施&lt;中华人民共和国道路交通安全法&gt;办法》第六十五条第二款，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长江路(中吴大桥北灯到勤业路段)</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蚌合高速61公里000米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分在</w:t>
      </w:r>
      <w:r>
        <w:rPr>
          <w:rFonts w:hint="eastAsia" w:ascii="仿宋_GB2312" w:eastAsia="仿宋_GB2312"/>
          <w:color w:val="000000"/>
          <w:sz w:val="28"/>
          <w:szCs w:val="28"/>
          <w:u w:val="single"/>
        </w:rPr>
        <w:t>常合高速165公里120米至常合高速164公里500米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分在</w:t>
      </w:r>
      <w:r>
        <w:rPr>
          <w:rFonts w:hint="eastAsia" w:ascii="仿宋_GB2312" w:eastAsia="仿宋_GB2312"/>
          <w:color w:val="000000"/>
          <w:sz w:val="28"/>
          <w:szCs w:val="28"/>
          <w:u w:val="single"/>
        </w:rPr>
        <w:t>北外环与王小楼村部路口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30</w:t>
      </w:r>
      <w:r>
        <w:rPr>
          <w:rFonts w:hint="eastAsia" w:ascii="仿宋_GB2312" w:eastAsia="仿宋_GB2312"/>
          <w:color w:val="000000"/>
          <w:sz w:val="28"/>
          <w:szCs w:val="28"/>
        </w:rPr>
        <w:t>分在</w:t>
      </w:r>
      <w:r>
        <w:rPr>
          <w:rFonts w:hint="eastAsia" w:ascii="仿宋_GB2312" w:eastAsia="仿宋_GB2312"/>
          <w:color w:val="000000"/>
          <w:sz w:val="28"/>
          <w:szCs w:val="28"/>
          <w:u w:val="single"/>
        </w:rPr>
        <w:t>北外环与王小楼村部路口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驾车时有其他妨碍安全行车的行为的</w:t>
      </w:r>
      <w:r>
        <w:rPr>
          <w:rFonts w:hint="eastAsia" w:ascii="Times New Roman" w:hAnsi="Times New Roman" w:eastAsia="仿宋_GB2312"/>
          <w:snapToGrid w:val="0"/>
          <w:sz w:val="28"/>
          <w:szCs w:val="28"/>
        </w:rPr>
        <w:t>违法行为（代码1225），违反了《中华人民共和国道路交通安全法道路交通安全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镇海路北延（泰兴北互通S334连接线)北向南测速点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分在</w:t>
      </w:r>
      <w:r>
        <w:rPr>
          <w:rFonts w:hint="eastAsia" w:ascii="仿宋_GB2312" w:eastAsia="仿宋_GB2312"/>
          <w:color w:val="000000"/>
          <w:sz w:val="28"/>
          <w:szCs w:val="28"/>
          <w:u w:val="single"/>
        </w:rPr>
        <w:t>镇海路北延（泰兴北互通S334连接线)南向北测速点</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28</w:t>
      </w:r>
      <w:r>
        <w:rPr>
          <w:rFonts w:hint="eastAsia" w:ascii="仿宋_GB2312" w:eastAsia="仿宋_GB2312"/>
          <w:color w:val="000000"/>
          <w:sz w:val="28"/>
          <w:szCs w:val="28"/>
        </w:rPr>
        <w:t>分在</w:t>
      </w:r>
      <w:r>
        <w:rPr>
          <w:rFonts w:hint="eastAsia" w:ascii="仿宋_GB2312" w:eastAsia="仿宋_GB2312"/>
          <w:color w:val="000000"/>
          <w:sz w:val="28"/>
          <w:szCs w:val="28"/>
          <w:u w:val="single"/>
        </w:rPr>
        <w:t>合肥绕城高速76公里900米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分在</w:t>
      </w:r>
      <w:r>
        <w:rPr>
          <w:rFonts w:hint="eastAsia" w:ascii="仿宋_GB2312" w:eastAsia="仿宋_GB2312"/>
          <w:color w:val="000000"/>
          <w:sz w:val="28"/>
          <w:szCs w:val="28"/>
          <w:u w:val="single"/>
        </w:rPr>
        <w:t>沪蓉高速608公里550米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分在</w:t>
      </w:r>
      <w:r>
        <w:rPr>
          <w:rFonts w:hint="eastAsia" w:ascii="仿宋_GB2312" w:eastAsia="仿宋_GB2312"/>
          <w:color w:val="000000"/>
          <w:sz w:val="28"/>
          <w:szCs w:val="28"/>
          <w:u w:val="single"/>
        </w:rPr>
        <w:t>沪蓉高速683公里</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hint="eastAsia" w:ascii="Times New Roman" w:hAnsi="Times New Roman" w:eastAsia="仿宋_GB2312"/>
          <w:snapToGrid w:val="0"/>
          <w:sz w:val="28"/>
          <w:szCs w:val="28"/>
        </w:rPr>
      </w:pPr>
      <w:r>
        <w:rPr>
          <w:rFonts w:hint="eastAsia" w:ascii="Times New Roman" w:hAnsi="Times New Roman" w:eastAsia="仿宋_GB2312"/>
          <w:snapToGrid w:val="0"/>
          <w:sz w:val="28"/>
          <w:szCs w:val="28"/>
        </w:rPr>
        <w:t>三十六、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分在</w:t>
      </w:r>
      <w:r>
        <w:rPr>
          <w:rFonts w:hint="eastAsia" w:ascii="仿宋_GB2312" w:eastAsia="仿宋_GB2312"/>
          <w:color w:val="000000"/>
          <w:sz w:val="28"/>
          <w:szCs w:val="28"/>
          <w:u w:val="single"/>
        </w:rPr>
        <w:t>和富路(中吴大道至光华路段)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7月26日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4E7C6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13</Pages>
  <Words>6948</Words>
  <Characters>7602</Characters>
  <Lines>54</Lines>
  <Paragraphs>15</Paragraphs>
  <TotalTime>157</TotalTime>
  <ScaleCrop>false</ScaleCrop>
  <LinksUpToDate>false</LinksUpToDate>
  <CharactersWithSpaces>7675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2023-07-26T07:48:12Z</dcterms:modified>
  <cp:revision>65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07D46D2451A64C1FAA191F709A55C928_13</vt:lpwstr>
  </property>
</Properties>
</file>