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082"/>
      </w:tblGrid>
      <w:tr w:rsidR="00A01E05">
        <w:trPr>
          <w:trHeight w:val="1548"/>
        </w:trPr>
        <w:tc>
          <w:tcPr>
            <w:tcW w:w="10402" w:type="dxa"/>
            <w:tcBorders>
              <w:top w:val="nil"/>
              <w:left w:val="nil"/>
              <w:bottom w:val="nil"/>
              <w:right w:val="nil"/>
            </w:tcBorders>
          </w:tcPr>
          <w:p w:rsidR="00A01E05" w:rsidRDefault="00A01E05">
            <w:pPr>
              <w:pStyle w:val="a4"/>
              <w:spacing w:line="550" w:lineRule="exact"/>
              <w:rPr>
                <w:rFonts w:ascii="仿宋" w:eastAsia="仿宋" w:hAnsi="仿宋" w:cs="仿宋"/>
                <w:b/>
                <w:bCs/>
                <w:color w:val="FF0000"/>
                <w:sz w:val="22"/>
                <w:szCs w:val="22"/>
              </w:rPr>
            </w:pPr>
          </w:p>
        </w:tc>
      </w:tr>
      <w:tr w:rsidR="00A01E05">
        <w:trPr>
          <w:trHeight w:val="4945"/>
        </w:trPr>
        <w:tc>
          <w:tcPr>
            <w:tcW w:w="10402" w:type="dxa"/>
            <w:tcBorders>
              <w:top w:val="nil"/>
              <w:left w:val="nil"/>
              <w:bottom w:val="nil"/>
              <w:right w:val="nil"/>
            </w:tcBorders>
            <w:vAlign w:val="center"/>
          </w:tcPr>
          <w:p w:rsidR="00A01E05" w:rsidRDefault="00C32B94">
            <w:pPr>
              <w:ind w:rightChars="129" w:right="284"/>
              <w:jc w:val="center"/>
              <w:rPr>
                <w:rFonts w:ascii="仿宋" w:eastAsia="仿宋" w:hAnsi="仿宋" w:cs="仿宋"/>
                <w:b/>
                <w:bCs/>
                <w:color w:val="FF0000"/>
              </w:rPr>
            </w:pPr>
            <w:r>
              <w:rPr>
                <w:rFonts w:ascii="宋体" w:eastAsia="宋体" w:hAnsi="宋体" w:cs="宋体"/>
                <w:b/>
                <w:sz w:val="52"/>
              </w:rPr>
              <w:t>2023</w:t>
            </w:r>
            <w:r>
              <w:rPr>
                <w:rFonts w:ascii="宋体" w:eastAsia="宋体" w:hAnsi="宋体" w:cs="宋体"/>
                <w:b/>
                <w:sz w:val="52"/>
              </w:rPr>
              <w:t>年度</w:t>
            </w:r>
            <w:r>
              <w:rPr>
                <w:rFonts w:ascii="宋体" w:eastAsia="宋体" w:hAnsi="宋体" w:cs="宋体"/>
                <w:b/>
                <w:sz w:val="52"/>
              </w:rPr>
              <w:cr/>
            </w:r>
            <w:r>
              <w:rPr>
                <w:rFonts w:ascii="宋体" w:eastAsia="宋体" w:hAnsi="宋体" w:cs="宋体"/>
                <w:b/>
                <w:sz w:val="52"/>
              </w:rPr>
              <w:br/>
            </w:r>
            <w:r>
              <w:rPr>
                <w:rFonts w:ascii="宋体" w:eastAsia="宋体" w:hAnsi="宋体" w:cs="宋体"/>
                <w:b/>
                <w:sz w:val="52"/>
              </w:rPr>
              <w:t>常州市工业和信息化局</w:t>
            </w:r>
            <w:r>
              <w:rPr>
                <w:rFonts w:ascii="宋体" w:eastAsia="宋体" w:hAnsi="宋体" w:cs="宋体"/>
                <w:b/>
                <w:sz w:val="52"/>
              </w:rPr>
              <w:cr/>
            </w:r>
            <w:r>
              <w:rPr>
                <w:rFonts w:ascii="宋体" w:eastAsia="宋体" w:hAnsi="宋体" w:cs="宋体"/>
                <w:b/>
                <w:sz w:val="52"/>
              </w:rPr>
              <w:br/>
            </w:r>
            <w:r>
              <w:rPr>
                <w:rFonts w:ascii="宋体" w:eastAsia="宋体" w:hAnsi="宋体" w:cs="宋体"/>
                <w:b/>
                <w:sz w:val="52"/>
              </w:rPr>
              <w:t>部门预算公开</w:t>
            </w:r>
          </w:p>
        </w:tc>
      </w:tr>
    </w:tbl>
    <w:p w:rsidR="00A01E05" w:rsidRDefault="00A01E05">
      <w:pPr>
        <w:ind w:rightChars="129" w:right="284"/>
        <w:jc w:val="both"/>
        <w:rPr>
          <w:rFonts w:ascii="宋体" w:eastAsia="宋体" w:hAnsi="宋体" w:cs="宋体"/>
          <w:b/>
          <w:bCs/>
          <w:sz w:val="52"/>
          <w:szCs w:val="52"/>
        </w:rPr>
        <w:sectPr w:rsidR="00A01E05">
          <w:headerReference w:type="even" r:id="rId7"/>
          <w:headerReference w:type="default" r:id="rId8"/>
          <w:footerReference w:type="even" r:id="rId9"/>
          <w:footerReference w:type="default" r:id="rId10"/>
          <w:headerReference w:type="first" r:id="rId11"/>
          <w:footerReference w:type="first" r:id="rId12"/>
          <w:pgSz w:w="11906" w:h="16838"/>
          <w:pgMar w:top="1580" w:right="1020" w:bottom="770" w:left="1020" w:header="170" w:footer="280" w:gutter="0"/>
          <w:cols w:space="720"/>
          <w:formProt w:val="0"/>
          <w:titlePg/>
          <w:docGrid w:linePitch="100"/>
        </w:sectPr>
      </w:pPr>
    </w:p>
    <w:p w:rsidR="00A01E05" w:rsidRDefault="00A01E05">
      <w:pPr>
        <w:pStyle w:val="a4"/>
        <w:spacing w:before="4"/>
        <w:rPr>
          <w:rFonts w:ascii="华文仿宋" w:eastAsia="华文仿宋" w:hAnsi="华文仿宋" w:cs="仿宋"/>
          <w:sz w:val="10"/>
        </w:rPr>
      </w:pPr>
    </w:p>
    <w:p w:rsidR="00A01E05" w:rsidRDefault="00C32B94">
      <w:pPr>
        <w:pStyle w:val="2"/>
        <w:tabs>
          <w:tab w:val="left" w:pos="880"/>
        </w:tabs>
        <w:snapToGrid w:val="0"/>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A01E05" w:rsidRDefault="00A01E05">
      <w:pPr>
        <w:pStyle w:val="a4"/>
        <w:snapToGrid w:val="0"/>
        <w:spacing w:before="7"/>
        <w:rPr>
          <w:rFonts w:ascii="仿宋" w:eastAsia="仿宋" w:hAnsi="仿宋" w:cs="仿宋"/>
          <w:sz w:val="27"/>
        </w:rPr>
      </w:pP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b/>
          <w:bCs/>
        </w:rPr>
        <w:t>第一部分</w:t>
      </w:r>
      <w:r>
        <w:rPr>
          <w:rFonts w:ascii="仿宋" w:eastAsia="仿宋" w:hAnsi="仿宋" w:cs="仿宋" w:hint="eastAsia"/>
          <w:b/>
          <w:bCs/>
        </w:rPr>
        <w:t xml:space="preserve"> </w:t>
      </w:r>
      <w:r>
        <w:rPr>
          <w:rFonts w:ascii="仿宋" w:eastAsia="仿宋" w:hAnsi="仿宋" w:cs="仿宋" w:hint="eastAsia"/>
          <w:b/>
          <w:bCs/>
          <w:lang w:val="en-US"/>
        </w:rPr>
        <w:t>部门</w:t>
      </w:r>
      <w:r>
        <w:rPr>
          <w:rFonts w:ascii="仿宋" w:eastAsia="仿宋" w:hAnsi="仿宋" w:cs="仿宋" w:hint="eastAsia"/>
          <w:b/>
          <w:bCs/>
        </w:rPr>
        <w:t>概况</w:t>
      </w:r>
    </w:p>
    <w:p w:rsidR="00A01E05" w:rsidRDefault="00C32B94">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一、主要职能</w:t>
      </w:r>
    </w:p>
    <w:p w:rsidR="00A01E05" w:rsidRDefault="00C32B94">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机构设置及预算单位构成情况</w:t>
      </w:r>
    </w:p>
    <w:p w:rsidR="00A01E05" w:rsidRDefault="00C32B94">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2023</w:t>
      </w:r>
      <w:r>
        <w:rPr>
          <w:rFonts w:ascii="仿宋" w:eastAsia="仿宋" w:hAnsi="仿宋" w:cs="仿宋" w:hint="eastAsia"/>
        </w:rPr>
        <w:t>年度</w:t>
      </w:r>
      <w:r>
        <w:rPr>
          <w:rFonts w:ascii="仿宋" w:eastAsia="仿宋" w:hAnsi="仿宋" w:cs="仿宋" w:hint="eastAsia"/>
          <w:lang w:val="en-US"/>
        </w:rPr>
        <w:t>部门</w:t>
      </w:r>
      <w:r>
        <w:rPr>
          <w:rFonts w:ascii="仿宋" w:eastAsia="仿宋" w:hAnsi="仿宋" w:cs="仿宋" w:hint="eastAsia"/>
        </w:rPr>
        <w:t>主要工作任务及目标</w:t>
      </w:r>
    </w:p>
    <w:p w:rsidR="00A01E05" w:rsidRDefault="00C32B94">
      <w:pPr>
        <w:pStyle w:val="a4"/>
        <w:snapToGrid w:val="0"/>
        <w:spacing w:line="312" w:lineRule="auto"/>
        <w:ind w:leftChars="300" w:left="671" w:hanging="11"/>
        <w:jc w:val="both"/>
        <w:rPr>
          <w:rFonts w:ascii="仿宋" w:eastAsia="仿宋" w:hAnsi="仿宋" w:cs="仿宋"/>
          <w:b/>
          <w:bCs/>
        </w:rPr>
      </w:pPr>
      <w:r>
        <w:rPr>
          <w:rFonts w:ascii="仿宋" w:eastAsia="仿宋" w:hAnsi="仿宋" w:cs="仿宋" w:hint="eastAsia"/>
          <w:b/>
          <w:bCs/>
          <w:lang w:val="en-US"/>
        </w:rPr>
        <w:t>第二部分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rPr>
        <w:t>2023</w:t>
      </w:r>
      <w:r>
        <w:rPr>
          <w:rFonts w:ascii="仿宋" w:eastAsia="仿宋" w:hAnsi="仿宋" w:cs="仿宋" w:hint="eastAsia"/>
          <w:b/>
          <w:bCs/>
          <w:lang w:val="en-US"/>
        </w:rPr>
        <w:t>年度</w:t>
      </w:r>
      <w:r>
        <w:rPr>
          <w:rFonts w:ascii="仿宋" w:eastAsia="仿宋" w:hAnsi="仿宋" w:cs="仿宋"/>
          <w:b/>
        </w:rPr>
        <w:t>部门预算表</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一、收支总表</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二、收入总表</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三、支出总表</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四、财政拨款收支总表</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五、财政拨款支出表（功能科目）</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六、财政拨款基本支出表（经济科目）</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七、一般公共预算支出表</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八、一般公共预算基本支出表</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九、一般公共预算“三公”经费、会议费、培训费支出表</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十、政府性基金预算支出表</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w:t>
      </w:r>
      <w:r>
        <w:rPr>
          <w:rFonts w:ascii="仿宋" w:eastAsia="仿宋" w:hAnsi="仿宋" w:cs="仿宋" w:hint="eastAsia"/>
          <w:lang w:val="en-US"/>
        </w:rPr>
        <w:t>预算</w:t>
      </w:r>
      <w:r>
        <w:rPr>
          <w:rFonts w:ascii="仿宋" w:eastAsia="仿宋" w:hAnsi="仿宋" w:cs="仿宋" w:hint="eastAsia"/>
        </w:rPr>
        <w:t>表</w:t>
      </w:r>
    </w:p>
    <w:p w:rsidR="00A01E05" w:rsidRDefault="00C32B94">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rsidR="00A01E05" w:rsidRDefault="00C32B94">
      <w:pPr>
        <w:pStyle w:val="a4"/>
        <w:snapToGrid w:val="0"/>
        <w:spacing w:line="312" w:lineRule="auto"/>
        <w:ind w:leftChars="300" w:left="671" w:right="506"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第三部分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rPr>
        <w:t>2023</w:t>
      </w:r>
      <w:r>
        <w:rPr>
          <w:rFonts w:ascii="仿宋" w:eastAsia="仿宋" w:hAnsi="仿宋" w:cs="仿宋" w:hint="eastAsia"/>
          <w:b/>
          <w:bCs/>
          <w:color w:val="000000"/>
          <w:sz w:val="30"/>
          <w:szCs w:val="30"/>
          <w:lang w:val="en-US"/>
        </w:rPr>
        <w:t>年度</w:t>
      </w:r>
      <w:r>
        <w:rPr>
          <w:rFonts w:ascii="仿宋" w:eastAsia="仿宋" w:hAnsi="仿宋" w:cs="仿宋"/>
          <w:b/>
          <w:color w:val="000000"/>
          <w:sz w:val="30"/>
        </w:rPr>
        <w:t>部门</w:t>
      </w:r>
      <w:r>
        <w:rPr>
          <w:rFonts w:ascii="仿宋" w:eastAsia="仿宋" w:hAnsi="仿宋" w:cs="仿宋" w:hint="eastAsia"/>
          <w:b/>
          <w:bCs/>
          <w:color w:val="000000"/>
          <w:sz w:val="30"/>
          <w:szCs w:val="30"/>
          <w:lang w:val="en-US"/>
        </w:rPr>
        <w:t>预算</w:t>
      </w:r>
      <w:r>
        <w:rPr>
          <w:rFonts w:ascii="仿宋" w:eastAsia="仿宋" w:hAnsi="仿宋" w:cs="仿宋" w:hint="eastAsia"/>
          <w:b/>
          <w:bCs/>
          <w:color w:val="000000"/>
          <w:sz w:val="30"/>
          <w:szCs w:val="30"/>
          <w:lang w:val="en-US"/>
        </w:rPr>
        <w:t>情况说明</w:t>
      </w:r>
    </w:p>
    <w:p w:rsidR="00A01E05" w:rsidRDefault="00C32B94">
      <w:pPr>
        <w:pStyle w:val="a4"/>
        <w:snapToGrid w:val="0"/>
        <w:spacing w:line="312" w:lineRule="auto"/>
        <w:ind w:leftChars="300" w:left="671" w:right="2575"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w:t>
      </w:r>
      <w:r>
        <w:rPr>
          <w:rFonts w:ascii="仿宋" w:eastAsia="仿宋" w:hAnsi="仿宋" w:cs="仿宋" w:hint="eastAsia"/>
          <w:b/>
          <w:bCs/>
          <w:lang w:val="en-US"/>
        </w:rPr>
        <w:t>四</w:t>
      </w:r>
      <w:r>
        <w:rPr>
          <w:rFonts w:ascii="仿宋" w:eastAsia="仿宋" w:hAnsi="仿宋" w:cs="仿宋" w:hint="eastAsia"/>
          <w:b/>
          <w:bCs/>
          <w:lang w:val="en-US"/>
        </w:rPr>
        <w:t>部分</w:t>
      </w:r>
      <w:r>
        <w:rPr>
          <w:rFonts w:ascii="仿宋" w:eastAsia="仿宋" w:hAnsi="仿宋" w:cs="仿宋" w:hint="eastAsia"/>
          <w:b/>
          <w:bCs/>
          <w:lang w:val="en-US"/>
        </w:rPr>
        <w:t xml:space="preserve"> </w:t>
      </w:r>
      <w:r>
        <w:rPr>
          <w:rFonts w:ascii="仿宋" w:eastAsia="仿宋" w:hAnsi="仿宋" w:cs="仿宋" w:hint="eastAsia"/>
          <w:b/>
          <w:bCs/>
          <w:lang w:val="en-US"/>
        </w:rPr>
        <w:t>名词解释</w:t>
      </w:r>
    </w:p>
    <w:p w:rsidR="00A01E05" w:rsidRDefault="00A01E05">
      <w:pPr>
        <w:pStyle w:val="a4"/>
        <w:snapToGrid w:val="0"/>
        <w:spacing w:line="312" w:lineRule="auto"/>
        <w:ind w:leftChars="300" w:left="669" w:right="2414" w:hanging="9"/>
        <w:jc w:val="both"/>
        <w:rPr>
          <w:rFonts w:ascii="仿宋" w:eastAsia="仿宋" w:hAnsi="仿宋" w:cs="仿宋"/>
        </w:rPr>
        <w:sectPr w:rsidR="00A01E05">
          <w:footerReference w:type="default" r:id="rId13"/>
          <w:pgSz w:w="11906" w:h="16838"/>
          <w:pgMar w:top="1580" w:right="1020" w:bottom="770" w:left="1020" w:header="170" w:footer="280" w:gutter="0"/>
          <w:pgNumType w:fmt="numberInDash" w:start="1"/>
          <w:cols w:space="720"/>
          <w:formProt w:val="0"/>
          <w:docGrid w:linePitch="100"/>
        </w:sectPr>
      </w:pPr>
    </w:p>
    <w:p w:rsidR="00A01E05" w:rsidRDefault="00A01E05">
      <w:pPr>
        <w:pStyle w:val="a4"/>
        <w:spacing w:before="1"/>
        <w:rPr>
          <w:rFonts w:ascii="华文仿宋" w:eastAsia="华文仿宋" w:hAnsi="华文仿宋" w:cs="仿宋"/>
          <w:sz w:val="14"/>
        </w:rPr>
      </w:pPr>
    </w:p>
    <w:p w:rsidR="00A01E05" w:rsidRDefault="00C32B94">
      <w:pPr>
        <w:pStyle w:val="4"/>
        <w:tabs>
          <w:tab w:val="left" w:pos="4395"/>
        </w:tabs>
        <w:spacing w:line="606" w:lineRule="exact"/>
        <w:ind w:rightChars="229" w:right="504"/>
        <w:rPr>
          <w:rFonts w:ascii="仿宋" w:eastAsia="仿宋" w:hAnsi="仿宋" w:cs="仿宋"/>
          <w:b/>
          <w:bCs/>
        </w:rPr>
      </w:pPr>
      <w:r>
        <w:rPr>
          <w:rFonts w:ascii="仿宋" w:eastAsia="仿宋" w:hAnsi="仿宋" w:cs="仿宋" w:hint="eastAsia"/>
          <w:b/>
          <w:bCs/>
        </w:rPr>
        <w:t>第一部分部门概况</w:t>
      </w:r>
    </w:p>
    <w:p w:rsidR="00A01E05" w:rsidRDefault="00A01E05">
      <w:pPr>
        <w:ind w:rightChars="229" w:right="504"/>
        <w:jc w:val="both"/>
      </w:pPr>
    </w:p>
    <w:p w:rsidR="00A01E05" w:rsidRDefault="00C32B94">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一、主要职能</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贯彻执行党和国家有关工业和信息化工作的方针政策、法律法规以及省、市决策部署，统筹协调全市工业和信息化工作，对工业和信息化发展的重大问题进行研究分析并提出意见和建议，依法组织起草有关地方性法规、规章草案和政策并督促实施。</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推进全市工业和信息化高质量发展。根据全市经济社会发展总体规划，制定实施工业和信息化高质量发展的产业政策、发展规划，提出优化产业布局、调整产业结构、推动产业转型升级的政策建议，推进信息化与工业化深度融合。按分工承担供给侧结构性改革任务。</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推进制造强市建设。贯彻实施新型工业化发展战略，统筹推进制造强市建设，培育先进制造业集群。推动全市工业和信息化领域的战略性新兴产业发展，牵头推进重大项目建设，培育新产业、新技术、新业态、新模式。</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负责全市工业和信息化运行监测协调。制订并实施近期工业、信息化运行调控目标、政策措施，开展企业信息采集、行业统计分析和产业发展报告等工作，进行监测预警、预期引导，协调解决运行发展中的重大问题。</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（五）负责全市工业和信息化领域的投资和技术改造相关工作。提出全市工业和信息化领域固定资产投资方向和规模，</w:t>
      </w:r>
      <w:r>
        <w:rPr>
          <w:rFonts w:ascii="仿宋" w:eastAsia="仿宋" w:hAnsi="仿宋" w:cs="仿宋"/>
        </w:rPr>
        <w:lastRenderedPageBreak/>
        <w:t>按规定权限</w:t>
      </w:r>
      <w:r>
        <w:rPr>
          <w:rFonts w:ascii="仿宋" w:eastAsia="仿宋" w:hAnsi="仿宋" w:cs="仿宋"/>
        </w:rPr>
        <w:t>管理工业和信息化领域固定资产投资项目。制订并实施推进企业技术改造的有关政策，按规定负责企业技术改造项目的核准备案等工作。</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全市自主可控的先进制造业体系建设。推动提升关键技术的控制力、产业集群的带动力、产业链条的整合力、信息化的引领力和标准的主导力。推动工业和信息化领域技术创新，推进产业创新体系和能力建设。组织实施重大技术装备攻关。推广应用新技术、新材料、新工艺，促进产学研用结合和技术成果转化。协同推进工业和信息化领域品牌、质量、标准、知识产权等工作。</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（七）推进全市有关生产性服务业发展。制订并实施</w:t>
      </w:r>
      <w:r>
        <w:rPr>
          <w:rFonts w:ascii="仿宋" w:eastAsia="仿宋" w:hAnsi="仿宋" w:cs="仿宋"/>
        </w:rPr>
        <w:t>服务型制造、工业和信息化领域生产性服务业发展政策，推动先进制造业和现代服务业深度融合。推动工业设计、现代物流、会展业等发展，负责工业遗产保护、工业文化建设和工业、信息产品市场建设。</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负责全市工业和信息化领域的行业管理。研究提出推动行业发展、加强行业管理的政策建议，制订并实施行业发展规划、准入标准，协调解决行业发展中重大问题。负责全市盐业专营工作和全市盐业行业管理。指导相关行业安全生产工作。负责工业和信息化应急管理、产业安全和国防动员有关工作。指导工业和信息化领域的对外交流与合作。做好央企对接服务工作。</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（九）统筹推进全市信息化发展。协调推进经济社会信息</w:t>
      </w:r>
      <w:r>
        <w:rPr>
          <w:rFonts w:ascii="仿宋" w:eastAsia="仿宋" w:hAnsi="仿宋" w:cs="仿宋"/>
        </w:rPr>
        <w:lastRenderedPageBreak/>
        <w:t>化发展，深化信息技术应用。协调重大信息基础设施建设，协调信息服务业领域涉及公共社会利益的重大事项，推动跨行业、跨部门的</w:t>
      </w:r>
      <w:r w:rsidR="00552142" w:rsidRPr="00552142">
        <w:rPr>
          <w:rFonts w:ascii="仿宋" w:eastAsia="仿宋" w:hAnsi="仿宋" w:cs="仿宋" w:hint="eastAsia"/>
        </w:rPr>
        <w:t>互联互通</w:t>
      </w:r>
      <w:r>
        <w:rPr>
          <w:rFonts w:ascii="仿宋" w:eastAsia="仿宋" w:hAnsi="仿宋" w:cs="仿宋"/>
        </w:rPr>
        <w:t>。负责全市无线电管理。</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（十）负责推进工业化和信息化融合发展。指导推进</w:t>
      </w:r>
      <w:r>
        <w:rPr>
          <w:rFonts w:ascii="仿宋" w:eastAsia="仿宋" w:hAnsi="仿宋" w:cs="仿宋"/>
        </w:rPr>
        <w:t>“</w:t>
      </w:r>
      <w:r>
        <w:rPr>
          <w:rFonts w:ascii="仿宋" w:eastAsia="仿宋" w:hAnsi="仿宋" w:cs="仿宋"/>
        </w:rPr>
        <w:t>互联网＋先进制造业</w:t>
      </w:r>
      <w:r>
        <w:rPr>
          <w:rFonts w:ascii="仿宋" w:eastAsia="仿宋" w:hAnsi="仿宋" w:cs="仿宋"/>
        </w:rPr>
        <w:t>”</w:t>
      </w:r>
      <w:r>
        <w:rPr>
          <w:rFonts w:ascii="仿宋" w:eastAsia="仿宋" w:hAnsi="仿宋" w:cs="仿宋"/>
        </w:rPr>
        <w:t>、人工智能与制造业融合创新应用、智能制造发展和产业数字化转型。指导推进工业信息安全保障工作。</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（十一）制订并实施促进工业和信息化领域数字经济和大数据产业发展的战略、规划和政策措施。推进信息产业发展和结构调整，培育推广云计算、物联网、人工智能等</w:t>
      </w:r>
      <w:r>
        <w:rPr>
          <w:rFonts w:ascii="仿宋" w:eastAsia="仿宋" w:hAnsi="仿宋" w:cs="仿宋"/>
        </w:rPr>
        <w:t>产业。</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二）综合协调全社会节能工作。制订并实施全社会工业节能规划和工业和信息化领域循环经济发展、清洁生产、资源综合利用规划及促进政策，实施能耗强度管理，承担节能监督管理、工业技改项目能评管理工作。组织协调节能改造和绿色制造示范工程，指导节能环保产业发展。指导全市墙体材料革新和发展散装水泥工作。</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三）培育发展全市大企业大集团和龙头骨干企业。制订并实施培育发展大企业大集团、龙头骨干企业的政策措施。推动企业管理创新和建立现代企业制度，推动企业家队伍建设和产业人才开发，组织指导企业经营管理人才教育培训。协调</w:t>
      </w:r>
      <w:r>
        <w:rPr>
          <w:rFonts w:ascii="仿宋" w:eastAsia="仿宋" w:hAnsi="仿宋" w:cs="仿宋"/>
        </w:rPr>
        <w:t>企业重大资产重组项目。牵头推进企业减负降本。</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（十四）负责全市中小企业和民营经济发展的宏观指导和服务。会同有关部门制订并组织实施促进中小企业和民营经济发展政策，协调解决发展中的有关重大问题。负责中小企业公</w:t>
      </w:r>
      <w:r>
        <w:rPr>
          <w:rFonts w:ascii="仿宋" w:eastAsia="仿宋" w:hAnsi="仿宋" w:cs="仿宋"/>
        </w:rPr>
        <w:lastRenderedPageBreak/>
        <w:t>共服务平台和社会化服务体系建设。开展中小企业梯次培育，推进中小企业专精特新发展，培育</w:t>
      </w:r>
      <w:r>
        <w:rPr>
          <w:rFonts w:ascii="仿宋" w:eastAsia="仿宋" w:hAnsi="仿宋" w:cs="仿宋"/>
        </w:rPr>
        <w:t>“</w:t>
      </w:r>
      <w:r>
        <w:rPr>
          <w:rFonts w:ascii="仿宋" w:eastAsia="仿宋" w:hAnsi="仿宋" w:cs="仿宋"/>
        </w:rPr>
        <w:t>隐形冠军</w:t>
      </w:r>
      <w:r>
        <w:rPr>
          <w:rFonts w:ascii="仿宋" w:eastAsia="仿宋" w:hAnsi="仿宋" w:cs="仿宋"/>
        </w:rPr>
        <w:t>”</w:t>
      </w:r>
      <w:r>
        <w:rPr>
          <w:rFonts w:ascii="仿宋" w:eastAsia="仿宋" w:hAnsi="仿宋" w:cs="仿宋"/>
        </w:rPr>
        <w:t>企业，促进中小企业与大企业融通发展。</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（十五）组织拟订全市国防科技工业规划。协助省国防科技工业办公室做好军工能力调整、资产重组、军品科研及生产、固定资产投资管理、武器装备科研生产许可、保密认证以及军工统计等工作。</w:t>
      </w:r>
      <w:r>
        <w:rPr>
          <w:rFonts w:ascii="仿宋" w:eastAsia="仿宋" w:hAnsi="仿宋" w:cs="仿宋"/>
        </w:rPr>
        <w:t>配合上级部门做好民用爆破器材生产和流通的行业管理。负责军工系统安全生产标准化达标建设推进工作和全市国防科技工业保密监督管理工作。负责军民两用技术双向转移等相关工作。配合上级部门做好全市船舶行业管理。</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（十六）完成市委、市政府交办的其他任务。</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七）职能转变。深化供给侧结构性改革，推动信息化和工业化、先进制造业和现代服务业深度融合发展，打造自主可控的先进制造业体系，建设制造强市、网络强市。强化战略规划、政策标准的引领和约束作用，提升工业和信息化运行监测、预测预警和预期引导能力，推动工业和信息化高质量发展。优</w:t>
      </w:r>
      <w:r>
        <w:rPr>
          <w:rFonts w:ascii="仿宋" w:eastAsia="仿宋" w:hAnsi="仿宋" w:cs="仿宋"/>
        </w:rPr>
        <w:t>化产行业管理，逐步减少微观管理事务，最大程度减少对工业和信息化领域市场资源的直接配置，进一步激发市场活力，创造良好营商环境。</w:t>
      </w:r>
    </w:p>
    <w:p w:rsidR="00A01E05" w:rsidRDefault="00C32B94">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二、</w:t>
      </w:r>
      <w:r>
        <w:rPr>
          <w:rFonts w:ascii="仿宋" w:eastAsia="仿宋" w:hAnsi="仿宋" w:cs="仿宋"/>
          <w:b/>
        </w:rPr>
        <w:t>部门</w:t>
      </w:r>
      <w:r>
        <w:rPr>
          <w:rFonts w:ascii="仿宋" w:eastAsia="仿宋" w:hAnsi="仿宋" w:cs="仿宋" w:hint="eastAsia"/>
          <w:b/>
          <w:bCs/>
        </w:rPr>
        <w:t>机构设置及预算单位构成情况</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1.</w:t>
      </w:r>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本部门内设机构包括：（一）办公室（财务处）。（二）组织人事处。</w:t>
      </w:r>
      <w:r>
        <w:rPr>
          <w:rFonts w:ascii="仿宋" w:eastAsia="仿宋" w:hAnsi="仿宋" w:cs="仿宋"/>
        </w:rPr>
        <w:t>(</w:t>
      </w:r>
      <w:r>
        <w:rPr>
          <w:rFonts w:ascii="仿宋" w:eastAsia="仿宋" w:hAnsi="仿宋" w:cs="仿宋"/>
        </w:rPr>
        <w:t>三）综合规划处。（四）法规处（行政服务处）。（五）先进制造业推进处（新兴产业</w:t>
      </w:r>
      <w:r>
        <w:rPr>
          <w:rFonts w:ascii="仿宋" w:eastAsia="仿宋" w:hAnsi="仿宋" w:cs="仿宋"/>
        </w:rPr>
        <w:lastRenderedPageBreak/>
        <w:t>处）。（六）产业政策处（市汽车工业办公室）。（七）运行监测协调处（市减轻企业负担工作办公室）。（八）投资与技术改造处。（九）技术创新处。（十）节能与综合利用处。（十一）产业人才与合作处。（十二）生产服务业处。（十三）装备工业处。</w:t>
      </w:r>
      <w:r>
        <w:rPr>
          <w:rFonts w:ascii="仿宋" w:eastAsia="仿宋" w:hAnsi="仿宋" w:cs="仿宋"/>
        </w:rPr>
        <w:t>(</w:t>
      </w:r>
      <w:r>
        <w:rPr>
          <w:rFonts w:ascii="仿宋" w:eastAsia="仿宋" w:hAnsi="仿宋" w:cs="仿宋"/>
        </w:rPr>
        <w:t>十四）材料工业处（市履行《禁止化学武器公约》工作办公室）。（十五）墙体材料和散装水泥管理处。（十六）消费品工业处。（十七）信息化发展处（工业信</w:t>
      </w:r>
      <w:r>
        <w:rPr>
          <w:rFonts w:ascii="仿宋" w:eastAsia="仿宋" w:hAnsi="仿宋" w:cs="仿宋"/>
        </w:rPr>
        <w:t>息安全处）。（十八）电子软件与信息服务业处（互联网产业管理处）。（十九）两化融合推进处（工业互联网办公室）。（二十）无线电管理监督处（江苏省工业和信息化厅常州市无线电管理处）。（二十一）中小企业促进处。（二十二）服务体系建设处。（二十三）国防科技工业办公室。</w:t>
      </w:r>
      <w:r>
        <w:rPr>
          <w:rFonts w:ascii="仿宋" w:eastAsia="仿宋" w:hAnsi="仿宋" w:cs="仿宋"/>
        </w:rPr>
        <w:t>(</w:t>
      </w:r>
      <w:r>
        <w:rPr>
          <w:rFonts w:ascii="仿宋" w:eastAsia="仿宋" w:hAnsi="仿宋" w:cs="仿宋"/>
        </w:rPr>
        <w:t>二十四）机关党委。本部门下属单位包括</w:t>
      </w:r>
      <w:r>
        <w:rPr>
          <w:rFonts w:ascii="仿宋" w:eastAsia="仿宋" w:hAnsi="仿宋" w:cs="仿宋"/>
        </w:rPr>
        <w:t>:</w:t>
      </w:r>
      <w:r>
        <w:rPr>
          <w:rFonts w:ascii="仿宋" w:eastAsia="仿宋" w:hAnsi="仿宋" w:cs="仿宋"/>
        </w:rPr>
        <w:t>常州市无线电管理监测站，常州市工信综合行政执法支队。</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2.</w:t>
      </w:r>
      <w:r>
        <w:rPr>
          <w:rFonts w:ascii="仿宋" w:eastAsia="仿宋" w:hAnsi="仿宋" w:cs="仿宋" w:hint="eastAsia"/>
        </w:rPr>
        <w:t>从</w:t>
      </w:r>
      <w:r>
        <w:rPr>
          <w:rFonts w:ascii="仿宋" w:eastAsia="仿宋" w:hAnsi="仿宋" w:cs="仿宋" w:hint="eastAsia"/>
        </w:rPr>
        <w:t>预算</w:t>
      </w:r>
      <w:r>
        <w:rPr>
          <w:rFonts w:ascii="仿宋" w:eastAsia="仿宋" w:hAnsi="仿宋" w:cs="仿宋" w:hint="eastAsia"/>
        </w:rPr>
        <w:t>单位构成看，纳入本</w:t>
      </w:r>
      <w:r>
        <w:rPr>
          <w:rFonts w:ascii="仿宋" w:eastAsia="仿宋" w:hAnsi="仿宋" w:cs="仿宋" w:hint="eastAsia"/>
          <w:lang w:val="en-US"/>
        </w:rPr>
        <w:t>部门</w:t>
      </w:r>
      <w:r>
        <w:rPr>
          <w:rFonts w:ascii="仿宋" w:eastAsia="仿宋" w:hAnsi="仿宋" w:cs="仿宋" w:hint="eastAsia"/>
        </w:rPr>
        <w:t>2023</w:t>
      </w:r>
      <w:r>
        <w:rPr>
          <w:rFonts w:ascii="仿宋" w:eastAsia="仿宋" w:hAnsi="仿宋" w:cs="仿宋" w:hint="eastAsia"/>
        </w:rPr>
        <w:t>年</w:t>
      </w:r>
      <w:r>
        <w:rPr>
          <w:rFonts w:ascii="仿宋" w:eastAsia="仿宋" w:hAnsi="仿宋" w:cs="仿宋" w:hint="eastAsia"/>
          <w:lang w:val="en-US"/>
        </w:rPr>
        <w:t>部门</w:t>
      </w:r>
      <w:r>
        <w:rPr>
          <w:rFonts w:ascii="仿宋" w:eastAsia="仿宋" w:hAnsi="仿宋" w:cs="仿宋" w:hint="eastAsia"/>
        </w:rPr>
        <w:t>汇总</w:t>
      </w:r>
      <w:r>
        <w:rPr>
          <w:rFonts w:ascii="仿宋" w:eastAsia="仿宋" w:hAnsi="仿宋" w:cs="仿宋" w:hint="eastAsia"/>
        </w:rPr>
        <w:t>预算</w:t>
      </w:r>
      <w:r>
        <w:rPr>
          <w:rFonts w:ascii="仿宋" w:eastAsia="仿宋" w:hAnsi="仿宋" w:cs="仿宋" w:hint="eastAsia"/>
        </w:rPr>
        <w:t>编制范围的预算单位共计</w:t>
      </w:r>
      <w:r>
        <w:rPr>
          <w:rFonts w:ascii="仿宋" w:eastAsia="仿宋" w:hAnsi="仿宋" w:cs="仿宋"/>
        </w:rPr>
        <w:t>3</w:t>
      </w:r>
      <w:r>
        <w:rPr>
          <w:rFonts w:ascii="仿宋" w:eastAsia="仿宋" w:hAnsi="仿宋" w:cs="仿宋" w:hint="eastAsia"/>
        </w:rPr>
        <w:t>家，具体包括：</w:t>
      </w:r>
      <w:r>
        <w:rPr>
          <w:rFonts w:ascii="仿宋" w:eastAsia="仿宋" w:hAnsi="仿宋" w:cs="仿宋"/>
        </w:rPr>
        <w:t>常州市工业和信息化局，常州市无线电管理监测站，常州市工信综合行政执法</w:t>
      </w:r>
      <w:r>
        <w:rPr>
          <w:rFonts w:ascii="仿宋" w:eastAsia="仿宋" w:hAnsi="仿宋" w:cs="仿宋"/>
        </w:rPr>
        <w:t>支队。</w:t>
      </w:r>
    </w:p>
    <w:p w:rsidR="00A01E05" w:rsidRDefault="00C32B94">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三、</w:t>
      </w:r>
      <w:r>
        <w:rPr>
          <w:rFonts w:ascii="仿宋" w:eastAsia="仿宋" w:hAnsi="仿宋" w:cs="仿宋" w:hint="eastAsia"/>
          <w:b/>
          <w:bCs/>
        </w:rPr>
        <w:t>2023</w:t>
      </w:r>
      <w:r>
        <w:rPr>
          <w:rFonts w:ascii="仿宋" w:eastAsia="仿宋" w:hAnsi="仿宋" w:cs="仿宋" w:hint="eastAsia"/>
          <w:b/>
          <w:bCs/>
        </w:rPr>
        <w:t>年度</w:t>
      </w:r>
      <w:r>
        <w:rPr>
          <w:rFonts w:ascii="仿宋" w:eastAsia="仿宋" w:hAnsi="仿宋" w:cs="仿宋"/>
          <w:b/>
        </w:rPr>
        <w:t>部门主要工作任务及目标</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主要年度目标是：</w:t>
      </w:r>
      <w:r>
        <w:rPr>
          <w:rFonts w:ascii="仿宋" w:eastAsia="仿宋" w:hAnsi="仿宋" w:cs="仿宋"/>
        </w:rPr>
        <w:t>2023</w:t>
      </w:r>
      <w:r>
        <w:rPr>
          <w:rFonts w:ascii="仿宋" w:eastAsia="仿宋" w:hAnsi="仿宋" w:cs="仿宋"/>
        </w:rPr>
        <w:t>年规模以上工业增加值增长</w:t>
      </w:r>
      <w:r>
        <w:rPr>
          <w:rFonts w:ascii="仿宋" w:eastAsia="仿宋" w:hAnsi="仿宋" w:cs="仿宋"/>
        </w:rPr>
        <w:t>7%</w:t>
      </w:r>
      <w:r>
        <w:rPr>
          <w:rFonts w:ascii="仿宋" w:eastAsia="仿宋" w:hAnsi="仿宋" w:cs="仿宋"/>
        </w:rPr>
        <w:t>左右，工业投资增长</w:t>
      </w:r>
      <w:r>
        <w:rPr>
          <w:rFonts w:ascii="仿宋" w:eastAsia="仿宋" w:hAnsi="仿宋" w:cs="仿宋"/>
        </w:rPr>
        <w:t>8%</w:t>
      </w:r>
      <w:r>
        <w:rPr>
          <w:rFonts w:ascii="仿宋" w:eastAsia="仿宋" w:hAnsi="仿宋" w:cs="仿宋"/>
        </w:rPr>
        <w:t>左右。重点做好以下八方面工作：</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（一）全力稳定增长，推动规模化升级。一是强化运行监测。及时掌握工业经济运行的新情况、新苗头，落实难题会办工作机制，帮助企业纾困解难，精心培育</w:t>
      </w:r>
      <w:r>
        <w:rPr>
          <w:rFonts w:ascii="仿宋" w:eastAsia="仿宋" w:hAnsi="仿宋" w:cs="仿宋"/>
        </w:rPr>
        <w:t>200</w:t>
      </w:r>
      <w:r>
        <w:rPr>
          <w:rFonts w:ascii="仿宋" w:eastAsia="仿宋" w:hAnsi="仿宋" w:cs="仿宋"/>
        </w:rPr>
        <w:t>个工业经济新增</w:t>
      </w:r>
      <w:r>
        <w:rPr>
          <w:rFonts w:ascii="仿宋" w:eastAsia="仿宋" w:hAnsi="仿宋" w:cs="仿宋"/>
        </w:rPr>
        <w:lastRenderedPageBreak/>
        <w:t>点，强化支撑作用。二是稳定工业投资。帮助企业把握产业政策导向，协调要素保障，提振投资信心。三是全力保障</w:t>
      </w:r>
      <w:r>
        <w:rPr>
          <w:rFonts w:ascii="仿宋" w:eastAsia="仿宋" w:hAnsi="仿宋" w:cs="仿宋"/>
        </w:rPr>
        <w:t>“</w:t>
      </w:r>
      <w:r>
        <w:rPr>
          <w:rFonts w:ascii="仿宋" w:eastAsia="仿宋" w:hAnsi="仿宋" w:cs="仿宋"/>
        </w:rPr>
        <w:t>双链</w:t>
      </w:r>
      <w:r>
        <w:rPr>
          <w:rFonts w:ascii="仿宋" w:eastAsia="仿宋" w:hAnsi="仿宋" w:cs="仿宋"/>
        </w:rPr>
        <w:t>”</w:t>
      </w:r>
      <w:r>
        <w:rPr>
          <w:rFonts w:ascii="仿宋" w:eastAsia="仿宋" w:hAnsi="仿宋" w:cs="仿宋"/>
        </w:rPr>
        <w:t>。多措并举解决产业链供应链</w:t>
      </w:r>
      <w:r>
        <w:rPr>
          <w:rFonts w:ascii="仿宋" w:eastAsia="仿宋" w:hAnsi="仿宋" w:cs="仿宋"/>
        </w:rPr>
        <w:t>“</w:t>
      </w:r>
      <w:r>
        <w:rPr>
          <w:rFonts w:ascii="仿宋" w:eastAsia="仿宋" w:hAnsi="仿宋" w:cs="仿宋"/>
        </w:rPr>
        <w:t>卡点</w:t>
      </w:r>
      <w:r>
        <w:rPr>
          <w:rFonts w:ascii="仿宋" w:eastAsia="仿宋" w:hAnsi="仿宋" w:cs="仿宋"/>
        </w:rPr>
        <w:t>”“</w:t>
      </w:r>
      <w:r>
        <w:rPr>
          <w:rFonts w:ascii="仿宋" w:eastAsia="仿宋" w:hAnsi="仿宋" w:cs="仿宋"/>
        </w:rPr>
        <w:t>堵点</w:t>
      </w:r>
      <w:r>
        <w:rPr>
          <w:rFonts w:ascii="仿宋" w:eastAsia="仿宋" w:hAnsi="仿宋" w:cs="仿宋"/>
        </w:rPr>
        <w:t>”</w:t>
      </w:r>
      <w:r>
        <w:rPr>
          <w:rFonts w:ascii="仿宋" w:eastAsia="仿宋" w:hAnsi="仿宋" w:cs="仿宋"/>
        </w:rPr>
        <w:t>问题，推动各类供需对接平台发挥作用，帮助企业抓</w:t>
      </w:r>
      <w:r>
        <w:rPr>
          <w:rFonts w:ascii="仿宋" w:eastAsia="仿宋" w:hAnsi="仿宋" w:cs="仿宋"/>
        </w:rPr>
        <w:t>订单拓市场，畅通工业经济内外循环。四是壮大先进制造业集群。系统谋划年度目标任务，持续跟踪、全面掌握集群和产业链最新情况，将高端装备、新能源、新材料等产业集群加快打造为一流集群。开展中小企业特色产业集群培育，重点推动溧阳市动力电池中小企业特色产业集群和国家高新区新能源汽车核心零部件中小企业特色产业集群提升发展，培育一批省级集群。五是培优做强企业。做好</w:t>
      </w:r>
      <w:r>
        <w:rPr>
          <w:rFonts w:ascii="仿宋" w:eastAsia="仿宋" w:hAnsi="仿宋" w:cs="仿宋"/>
        </w:rPr>
        <w:t>“</w:t>
      </w:r>
      <w:r>
        <w:rPr>
          <w:rFonts w:ascii="仿宋" w:eastAsia="仿宋" w:hAnsi="仿宋" w:cs="仿宋"/>
        </w:rPr>
        <w:t>百企引航</w:t>
      </w:r>
      <w:r>
        <w:rPr>
          <w:rFonts w:ascii="仿宋" w:eastAsia="仿宋" w:hAnsi="仿宋" w:cs="仿宋"/>
        </w:rPr>
        <w:t>”</w:t>
      </w:r>
      <w:r>
        <w:rPr>
          <w:rFonts w:ascii="仿宋" w:eastAsia="仿宋" w:hAnsi="仿宋" w:cs="仿宋"/>
        </w:rPr>
        <w:t>企业高质量发展服务保障工作，努力培育一批制造业</w:t>
      </w:r>
      <w:r>
        <w:rPr>
          <w:rFonts w:ascii="仿宋" w:eastAsia="仿宋" w:hAnsi="仿宋" w:cs="仿宋"/>
        </w:rPr>
        <w:t>500</w:t>
      </w:r>
      <w:r>
        <w:rPr>
          <w:rFonts w:ascii="仿宋" w:eastAsia="仿宋" w:hAnsi="仿宋" w:cs="仿宋"/>
        </w:rPr>
        <w:t>强企业、中国工业大奖企业、百亿企业、独角兽企业等。</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（二）突出创新创优，推动高端化进阶。一是加快专</w:t>
      </w:r>
      <w:r>
        <w:rPr>
          <w:rFonts w:ascii="仿宋" w:eastAsia="仿宋" w:hAnsi="仿宋" w:cs="仿宋"/>
        </w:rPr>
        <w:t>精特新发展。聚焦产业链供应链关键环节及关键领域，针对高成长性企业和专精特新企业在核心指标上具有共通性特点，全面提升中小企业发展水平。开展培育企业</w:t>
      </w:r>
      <w:r>
        <w:rPr>
          <w:rFonts w:ascii="仿宋" w:eastAsia="仿宋" w:hAnsi="仿宋" w:cs="仿宋"/>
        </w:rPr>
        <w:t>“</w:t>
      </w:r>
      <w:r>
        <w:rPr>
          <w:rFonts w:ascii="仿宋" w:eastAsia="仿宋" w:hAnsi="仿宋" w:cs="仿宋"/>
        </w:rPr>
        <w:t>对标找差补短板</w:t>
      </w:r>
      <w:r>
        <w:rPr>
          <w:rFonts w:ascii="仿宋" w:eastAsia="仿宋" w:hAnsi="仿宋" w:cs="仿宋"/>
        </w:rPr>
        <w:t>”</w:t>
      </w:r>
      <w:r>
        <w:rPr>
          <w:rFonts w:ascii="仿宋" w:eastAsia="仿宋" w:hAnsi="仿宋" w:cs="仿宋"/>
        </w:rPr>
        <w:t>活动，有重点地锻长板、补短板、固底板。二是推进核心技术攻关。着力摸清产业链</w:t>
      </w:r>
      <w:r>
        <w:rPr>
          <w:rFonts w:ascii="仿宋" w:eastAsia="仿宋" w:hAnsi="仿宋" w:cs="仿宋"/>
        </w:rPr>
        <w:t>“</w:t>
      </w:r>
      <w:r>
        <w:rPr>
          <w:rFonts w:ascii="仿宋" w:eastAsia="仿宋" w:hAnsi="仿宋" w:cs="仿宋"/>
        </w:rPr>
        <w:t>命门</w:t>
      </w:r>
      <w:r>
        <w:rPr>
          <w:rFonts w:ascii="仿宋" w:eastAsia="仿宋" w:hAnsi="仿宋" w:cs="仿宋"/>
        </w:rPr>
        <w:t>”</w:t>
      </w:r>
      <w:r>
        <w:rPr>
          <w:rFonts w:ascii="仿宋" w:eastAsia="仿宋" w:hAnsi="仿宋" w:cs="仿宋"/>
        </w:rPr>
        <w:t>，瞄准</w:t>
      </w:r>
      <w:r>
        <w:rPr>
          <w:rFonts w:ascii="仿宋" w:eastAsia="仿宋" w:hAnsi="仿宋" w:cs="仿宋"/>
        </w:rPr>
        <w:t>“</w:t>
      </w:r>
      <w:r>
        <w:rPr>
          <w:rFonts w:ascii="仿宋" w:eastAsia="仿宋" w:hAnsi="仿宋" w:cs="仿宋"/>
        </w:rPr>
        <w:t>卡脖子</w:t>
      </w:r>
      <w:r>
        <w:rPr>
          <w:rFonts w:ascii="仿宋" w:eastAsia="仿宋" w:hAnsi="仿宋" w:cs="仿宋"/>
        </w:rPr>
        <w:t>”</w:t>
      </w:r>
      <w:r>
        <w:rPr>
          <w:rFonts w:ascii="仿宋" w:eastAsia="仿宋" w:hAnsi="仿宋" w:cs="仿宋"/>
        </w:rPr>
        <w:t>环节，加速关键核心技术攻关和前沿布局，加快形成以关键技术和环节为支撑、创新链和产业链深度融合的格局。三是加强创新载体建设。继续推进江苏省动力及储能电池制造业创新中心试点建设工作，争取明年新增</w:t>
      </w:r>
      <w:r>
        <w:rPr>
          <w:rFonts w:ascii="仿宋" w:eastAsia="仿宋" w:hAnsi="仿宋" w:cs="仿宋"/>
        </w:rPr>
        <w:t>1</w:t>
      </w:r>
      <w:r>
        <w:rPr>
          <w:rFonts w:ascii="仿宋" w:eastAsia="仿宋" w:hAnsi="仿宋" w:cs="仿宋"/>
        </w:rPr>
        <w:t>家省制造业创新中心。强化企业在技术创新中</w:t>
      </w:r>
      <w:r>
        <w:rPr>
          <w:rFonts w:ascii="仿宋" w:eastAsia="仿宋" w:hAnsi="仿宋" w:cs="仿宋"/>
        </w:rPr>
        <w:lastRenderedPageBreak/>
        <w:t>的主体地位，推动高水</w:t>
      </w:r>
      <w:r>
        <w:rPr>
          <w:rFonts w:ascii="仿宋" w:eastAsia="仿宋" w:hAnsi="仿宋" w:cs="仿宋"/>
        </w:rPr>
        <w:t>平企业技术中心建设，重点在省</w:t>
      </w:r>
      <w:r>
        <w:rPr>
          <w:rFonts w:ascii="仿宋" w:eastAsia="仿宋" w:hAnsi="仿宋" w:cs="仿宋"/>
        </w:rPr>
        <w:t>16</w:t>
      </w:r>
      <w:r>
        <w:rPr>
          <w:rFonts w:ascii="仿宋" w:eastAsia="仿宋" w:hAnsi="仿宋" w:cs="仿宋"/>
        </w:rPr>
        <w:t>个先进制造集群中遴选新增</w:t>
      </w:r>
      <w:r>
        <w:rPr>
          <w:rFonts w:ascii="仿宋" w:eastAsia="仿宋" w:hAnsi="仿宋" w:cs="仿宋"/>
        </w:rPr>
        <w:t>100</w:t>
      </w:r>
      <w:r>
        <w:rPr>
          <w:rFonts w:ascii="仿宋" w:eastAsia="仿宋" w:hAnsi="仿宋" w:cs="仿宋"/>
        </w:rPr>
        <w:t>家左右市级企业技术中心，争取</w:t>
      </w:r>
      <w:r>
        <w:rPr>
          <w:rFonts w:ascii="仿宋" w:eastAsia="仿宋" w:hAnsi="仿宋" w:cs="仿宋"/>
        </w:rPr>
        <w:t>50</w:t>
      </w:r>
      <w:r>
        <w:rPr>
          <w:rFonts w:ascii="仿宋" w:eastAsia="仿宋" w:hAnsi="仿宋" w:cs="仿宋"/>
        </w:rPr>
        <w:t>家左右省级企业技术中心。四是深化服务型制造发展。实施服务型制造宣贯全域覆盖计划，培育</w:t>
      </w:r>
      <w:r>
        <w:rPr>
          <w:rFonts w:ascii="仿宋" w:eastAsia="仿宋" w:hAnsi="仿宋" w:cs="仿宋"/>
        </w:rPr>
        <w:t>20</w:t>
      </w:r>
      <w:r>
        <w:rPr>
          <w:rFonts w:ascii="仿宋" w:eastAsia="仿宋" w:hAnsi="仿宋" w:cs="仿宋"/>
        </w:rPr>
        <w:t>家以上省级服务型制造示范企业（平台）。完善工业设计创新体系，争创国家、省级工业设计中心，推进省级工业设计研究院建设，培育发掘特色工业设计基地。加强工业遗产保护利用，提炼展示常州工业精神。</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（三）加快新能源之都建设，推动特色化凸显。一是建立工作机制。成立加快新能源之都建设工作领导小组，建立完善组织架构，组建市级工作专班，明确部门职</w:t>
      </w:r>
      <w:r>
        <w:rPr>
          <w:rFonts w:ascii="仿宋" w:eastAsia="仿宋" w:hAnsi="仿宋" w:cs="仿宋"/>
        </w:rPr>
        <w:t>责分工，制定分解年度目标任务，督促指导各辖市、区建立相应工作机制，定期召开推进工作例会，及时跟踪工作落实和指标完成情况。二是摸清产业情况。聚焦四大环节重点产业，系统梳理产业图谱，编制产业综述。初步构建规上、上市、重大项目、核心技术攻关、金融支持、重点人才、推广应用、知识产权、政策落实等</w:t>
      </w:r>
      <w:r>
        <w:rPr>
          <w:rFonts w:ascii="仿宋" w:eastAsia="仿宋" w:hAnsi="仿宋" w:cs="仿宋"/>
        </w:rPr>
        <w:t>10</w:t>
      </w:r>
      <w:r>
        <w:rPr>
          <w:rFonts w:ascii="仿宋" w:eastAsia="仿宋" w:hAnsi="仿宋" w:cs="仿宋"/>
        </w:rPr>
        <w:t>项清单，完善基础数据架构，实行清单式信息管理，强化部门协同，推动共建共享。三是推进基础工作。突出打造新能源之都的战略定位，以打造优势产业、支柱产业为引领，加大龙头骨干企业培育和产业链招商力度，加快企业技术改造、创新体系建设</w:t>
      </w:r>
      <w:r>
        <w:rPr>
          <w:rFonts w:ascii="仿宋" w:eastAsia="仿宋" w:hAnsi="仿宋" w:cs="仿宋"/>
        </w:rPr>
        <w:t>和关键核心技术攻关，加强产业链配套协作，促进区域协同发展，推动新能源产业</w:t>
      </w:r>
      <w:r>
        <w:rPr>
          <w:rFonts w:ascii="仿宋" w:eastAsia="仿宋" w:hAnsi="仿宋" w:cs="仿宋"/>
        </w:rPr>
        <w:t>“</w:t>
      </w:r>
      <w:r>
        <w:rPr>
          <w:rFonts w:ascii="仿宋" w:eastAsia="仿宋" w:hAnsi="仿宋" w:cs="仿宋"/>
        </w:rPr>
        <w:t>发、储、送、用</w:t>
      </w:r>
      <w:r>
        <w:rPr>
          <w:rFonts w:ascii="仿宋" w:eastAsia="仿宋" w:hAnsi="仿宋" w:cs="仿宋"/>
        </w:rPr>
        <w:t>”</w:t>
      </w:r>
      <w:r>
        <w:rPr>
          <w:rFonts w:ascii="仿宋" w:eastAsia="仿宋" w:hAnsi="仿宋" w:cs="仿宋"/>
        </w:rPr>
        <w:t>环节深度融合，以及在全社会各领域的多层次、多场景应用，加快实现两个超万亿元目标。</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（四）强化示范应用，推动智能化普及。一是精准把脉施策。继续深入开展数字化免费诊断行动，全年分行业、分层次为</w:t>
      </w:r>
      <w:r>
        <w:rPr>
          <w:rFonts w:ascii="仿宋" w:eastAsia="仿宋" w:hAnsi="仿宋" w:cs="仿宋"/>
        </w:rPr>
        <w:t>3000</w:t>
      </w:r>
      <w:r>
        <w:rPr>
          <w:rFonts w:ascii="仿宋" w:eastAsia="仿宋" w:hAnsi="仿宋" w:cs="仿宋"/>
        </w:rPr>
        <w:t>家中小企业实施诊断，服务并推动企业智能化改造、数字化转型，全年实施智能化改造和数字化转型项目</w:t>
      </w:r>
      <w:r>
        <w:rPr>
          <w:rFonts w:ascii="仿宋" w:eastAsia="仿宋" w:hAnsi="仿宋" w:cs="仿宋"/>
        </w:rPr>
        <w:t>4000</w:t>
      </w:r>
      <w:r>
        <w:rPr>
          <w:rFonts w:ascii="仿宋" w:eastAsia="仿宋" w:hAnsi="仿宋" w:cs="仿宋"/>
        </w:rPr>
        <w:t>个。二是打造示范标杆。积极创建各类国家级、省级试点示范，加大力度争创灯塔工厂，加快建设促进中心、示范中心，新增数字化转型促进中</w:t>
      </w:r>
      <w:r>
        <w:rPr>
          <w:rFonts w:ascii="仿宋" w:eastAsia="仿宋" w:hAnsi="仿宋" w:cs="仿宋"/>
        </w:rPr>
        <w:t>心试点</w:t>
      </w:r>
      <w:r>
        <w:rPr>
          <w:rFonts w:ascii="仿宋" w:eastAsia="仿宋" w:hAnsi="仿宋" w:cs="仿宋"/>
        </w:rPr>
        <w:t>4</w:t>
      </w:r>
      <w:r>
        <w:rPr>
          <w:rFonts w:ascii="仿宋" w:eastAsia="仿宋" w:hAnsi="仿宋" w:cs="仿宋"/>
        </w:rPr>
        <w:t>家。创建智能工厂、工业互联网标杆工厂</w:t>
      </w:r>
      <w:r>
        <w:rPr>
          <w:rFonts w:ascii="仿宋" w:eastAsia="仿宋" w:hAnsi="仿宋" w:cs="仿宋"/>
        </w:rPr>
        <w:t>10</w:t>
      </w:r>
      <w:r>
        <w:rPr>
          <w:rFonts w:ascii="仿宋" w:eastAsia="仿宋" w:hAnsi="仿宋" w:cs="仿宋"/>
        </w:rPr>
        <w:t>家以上、智能车间</w:t>
      </w:r>
      <w:r>
        <w:rPr>
          <w:rFonts w:ascii="仿宋" w:eastAsia="仿宋" w:hAnsi="仿宋" w:cs="仿宋"/>
        </w:rPr>
        <w:t>50</w:t>
      </w:r>
      <w:r>
        <w:rPr>
          <w:rFonts w:ascii="仿宋" w:eastAsia="仿宋" w:hAnsi="仿宋" w:cs="仿宋"/>
        </w:rPr>
        <w:t>个以上，打造人工智能</w:t>
      </w:r>
      <w:r>
        <w:rPr>
          <w:rFonts w:ascii="仿宋" w:eastAsia="仿宋" w:hAnsi="仿宋" w:cs="仿宋"/>
        </w:rPr>
        <w:t>+</w:t>
      </w:r>
      <w:r>
        <w:rPr>
          <w:rFonts w:ascii="仿宋" w:eastAsia="仿宋" w:hAnsi="仿宋" w:cs="仿宋"/>
        </w:rPr>
        <w:t>和机器人</w:t>
      </w:r>
      <w:r>
        <w:rPr>
          <w:rFonts w:ascii="仿宋" w:eastAsia="仿宋" w:hAnsi="仿宋" w:cs="仿宋"/>
        </w:rPr>
        <w:t>+</w:t>
      </w:r>
      <w:r>
        <w:rPr>
          <w:rFonts w:ascii="仿宋" w:eastAsia="仿宋" w:hAnsi="仿宋" w:cs="仿宋"/>
        </w:rPr>
        <w:t>典型应用场景</w:t>
      </w:r>
      <w:r>
        <w:rPr>
          <w:rFonts w:ascii="仿宋" w:eastAsia="仿宋" w:hAnsi="仿宋" w:cs="仿宋"/>
        </w:rPr>
        <w:t>50</w:t>
      </w:r>
      <w:r>
        <w:rPr>
          <w:rFonts w:ascii="仿宋" w:eastAsia="仿宋" w:hAnsi="仿宋" w:cs="仿宋"/>
        </w:rPr>
        <w:t>个以上。三是加强服务供给。培育</w:t>
      </w:r>
      <w:r>
        <w:rPr>
          <w:rFonts w:ascii="仿宋" w:eastAsia="仿宋" w:hAnsi="仿宋" w:cs="仿宋"/>
        </w:rPr>
        <w:t>2-3</w:t>
      </w:r>
      <w:r>
        <w:rPr>
          <w:rFonts w:ascii="仿宋" w:eastAsia="仿宋" w:hAnsi="仿宋" w:cs="仿宋"/>
        </w:rPr>
        <w:t>家具有全国影响力、行业引领力和市场品牌力的</w:t>
      </w:r>
      <w:r>
        <w:rPr>
          <w:rFonts w:ascii="仿宋" w:eastAsia="仿宋" w:hAnsi="仿宋" w:cs="仿宋"/>
        </w:rPr>
        <w:t>“</w:t>
      </w:r>
      <w:r>
        <w:rPr>
          <w:rFonts w:ascii="仿宋" w:eastAsia="仿宋" w:hAnsi="仿宋" w:cs="仿宋"/>
        </w:rPr>
        <w:t>智改数转</w:t>
      </w:r>
      <w:r>
        <w:rPr>
          <w:rFonts w:ascii="仿宋" w:eastAsia="仿宋" w:hAnsi="仿宋" w:cs="仿宋"/>
        </w:rPr>
        <w:t>”</w:t>
      </w:r>
      <w:r>
        <w:rPr>
          <w:rFonts w:ascii="仿宋" w:eastAsia="仿宋" w:hAnsi="仿宋" w:cs="仿宋"/>
        </w:rPr>
        <w:t>头部服务商，支持入库服务商提升数字化智能化基础服务能力。做好高端装备的研发创新工作，加大智能化成套设备和关键部件的应用推广力度。支持工业机器人、智能传感器等智能装备和研发设计、生产控制、业务管理类工业软件企业加快发展，打造</w:t>
      </w:r>
      <w:r>
        <w:rPr>
          <w:rFonts w:ascii="仿宋" w:eastAsia="仿宋" w:hAnsi="仿宋" w:cs="仿宋"/>
        </w:rPr>
        <w:t>“</w:t>
      </w:r>
      <w:r>
        <w:rPr>
          <w:rFonts w:ascii="仿宋" w:eastAsia="仿宋" w:hAnsi="仿宋" w:cs="仿宋"/>
        </w:rPr>
        <w:t>智改数转</w:t>
      </w:r>
      <w:r>
        <w:rPr>
          <w:rFonts w:ascii="仿宋" w:eastAsia="仿宋" w:hAnsi="仿宋" w:cs="仿宋"/>
        </w:rPr>
        <w:t>”</w:t>
      </w:r>
      <w:r>
        <w:rPr>
          <w:rFonts w:ascii="仿宋" w:eastAsia="仿宋" w:hAnsi="仿宋" w:cs="仿宋"/>
        </w:rPr>
        <w:t>解决方案输出地。</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（五）促进工业互联，推动数字化跃升。一是加快工业互联网发展。加强重点工业互联网平台梯度培育，力争实现国家级</w:t>
      </w:r>
      <w:r>
        <w:rPr>
          <w:rFonts w:ascii="仿宋" w:eastAsia="仿宋" w:hAnsi="仿宋" w:cs="仿宋"/>
        </w:rPr>
        <w:t>“</w:t>
      </w:r>
      <w:r>
        <w:rPr>
          <w:rFonts w:ascii="仿宋" w:eastAsia="仿宋" w:hAnsi="仿宋" w:cs="仿宋"/>
        </w:rPr>
        <w:t>双跨</w:t>
      </w:r>
      <w:r>
        <w:rPr>
          <w:rFonts w:ascii="仿宋" w:eastAsia="仿宋" w:hAnsi="仿宋" w:cs="仿宋"/>
        </w:rPr>
        <w:t>”</w:t>
      </w:r>
      <w:r>
        <w:rPr>
          <w:rFonts w:ascii="仿宋" w:eastAsia="仿宋" w:hAnsi="仿宋" w:cs="仿宋"/>
        </w:rPr>
        <w:t>平台零的突破，全年新增培育重点平台</w:t>
      </w:r>
      <w:r>
        <w:rPr>
          <w:rFonts w:ascii="仿宋" w:eastAsia="仿宋" w:hAnsi="仿宋" w:cs="仿宋"/>
        </w:rPr>
        <w:t>7</w:t>
      </w:r>
      <w:r>
        <w:rPr>
          <w:rFonts w:ascii="仿宋" w:eastAsia="仿宋" w:hAnsi="仿宋" w:cs="仿宋"/>
        </w:rPr>
        <w:t>家。深入实施新一轮</w:t>
      </w:r>
      <w:r>
        <w:rPr>
          <w:rFonts w:ascii="仿宋" w:eastAsia="仿宋" w:hAnsi="仿宋" w:cs="仿宋"/>
        </w:rPr>
        <w:t>“</w:t>
      </w:r>
      <w:r>
        <w:rPr>
          <w:rFonts w:ascii="仿宋" w:eastAsia="仿宋" w:hAnsi="仿宋" w:cs="仿宋"/>
        </w:rPr>
        <w:t>企业上云</w:t>
      </w:r>
      <w:r>
        <w:rPr>
          <w:rFonts w:ascii="仿宋" w:eastAsia="仿宋" w:hAnsi="仿宋" w:cs="仿宋"/>
        </w:rPr>
        <w:t>”</w:t>
      </w:r>
      <w:r>
        <w:rPr>
          <w:rFonts w:ascii="仿宋" w:eastAsia="仿宋" w:hAnsi="仿宋" w:cs="仿宋"/>
        </w:rPr>
        <w:t>三年行动计划，新增省星级上云企业</w:t>
      </w:r>
      <w:r>
        <w:rPr>
          <w:rFonts w:ascii="仿宋" w:eastAsia="仿宋" w:hAnsi="仿宋" w:cs="仿宋"/>
        </w:rPr>
        <w:t>250</w:t>
      </w:r>
      <w:r>
        <w:rPr>
          <w:rFonts w:ascii="仿宋" w:eastAsia="仿宋" w:hAnsi="仿宋" w:cs="仿宋"/>
        </w:rPr>
        <w:t>家。提升</w:t>
      </w:r>
      <w:r>
        <w:rPr>
          <w:rFonts w:ascii="仿宋" w:eastAsia="仿宋" w:hAnsi="仿宋" w:cs="仿宋"/>
        </w:rPr>
        <w:t>5G+</w:t>
      </w:r>
      <w:r>
        <w:rPr>
          <w:rFonts w:ascii="仿宋" w:eastAsia="仿宋" w:hAnsi="仿宋" w:cs="仿宋"/>
        </w:rPr>
        <w:t>工业互联网典型场景应用水平，创建</w:t>
      </w:r>
      <w:r>
        <w:rPr>
          <w:rFonts w:ascii="仿宋" w:eastAsia="仿宋" w:hAnsi="仿宋" w:cs="仿宋"/>
        </w:rPr>
        <w:t>5G</w:t>
      </w:r>
      <w:r>
        <w:rPr>
          <w:rFonts w:ascii="仿宋" w:eastAsia="仿宋" w:hAnsi="仿宋" w:cs="仿宋"/>
        </w:rPr>
        <w:t>全连接工厂</w:t>
      </w:r>
      <w:r>
        <w:rPr>
          <w:rFonts w:ascii="仿宋" w:eastAsia="仿宋" w:hAnsi="仿宋" w:cs="仿宋"/>
        </w:rPr>
        <w:t>2</w:t>
      </w:r>
      <w:r>
        <w:rPr>
          <w:rFonts w:ascii="仿宋" w:eastAsia="仿宋" w:hAnsi="仿宋" w:cs="仿宋"/>
        </w:rPr>
        <w:t>家。全面推进工业互联网进园区。二是加强新型基础设施建设。加大</w:t>
      </w:r>
      <w:r>
        <w:rPr>
          <w:rFonts w:ascii="仿宋" w:eastAsia="仿宋" w:hAnsi="仿宋" w:cs="仿宋"/>
        </w:rPr>
        <w:t>5G</w:t>
      </w:r>
      <w:r>
        <w:rPr>
          <w:rFonts w:ascii="仿宋" w:eastAsia="仿宋" w:hAnsi="仿宋" w:cs="仿宋"/>
        </w:rPr>
        <w:t>网络建设投入，</w:t>
      </w:r>
      <w:r>
        <w:rPr>
          <w:rFonts w:ascii="仿宋" w:eastAsia="仿宋" w:hAnsi="仿宋" w:cs="仿宋"/>
        </w:rPr>
        <w:t>2023</w:t>
      </w:r>
      <w:r>
        <w:rPr>
          <w:rFonts w:ascii="仿宋" w:eastAsia="仿宋" w:hAnsi="仿宋" w:cs="仿宋"/>
        </w:rPr>
        <w:t>年底建成</w:t>
      </w:r>
      <w:r>
        <w:rPr>
          <w:rFonts w:ascii="仿宋" w:eastAsia="仿宋" w:hAnsi="仿宋" w:cs="仿宋"/>
        </w:rPr>
        <w:t>5G</w:t>
      </w:r>
      <w:r>
        <w:rPr>
          <w:rFonts w:ascii="仿宋" w:eastAsia="仿宋" w:hAnsi="仿宋" w:cs="仿宋"/>
        </w:rPr>
        <w:t>基站</w:t>
      </w:r>
      <w:r>
        <w:rPr>
          <w:rFonts w:ascii="仿宋" w:eastAsia="仿宋" w:hAnsi="仿宋" w:cs="仿宋"/>
        </w:rPr>
        <w:t>1.7</w:t>
      </w:r>
      <w:r>
        <w:rPr>
          <w:rFonts w:ascii="仿宋" w:eastAsia="仿宋" w:hAnsi="仿宋" w:cs="仿宋"/>
        </w:rPr>
        <w:t>万个，市域</w:t>
      </w:r>
      <w:r>
        <w:rPr>
          <w:rFonts w:ascii="仿宋" w:eastAsia="仿宋" w:hAnsi="仿宋" w:cs="仿宋"/>
        </w:rPr>
        <w:t>5G</w:t>
      </w:r>
      <w:r>
        <w:rPr>
          <w:rFonts w:ascii="仿宋" w:eastAsia="仿宋" w:hAnsi="仿宋" w:cs="仿宋"/>
        </w:rPr>
        <w:t>网络覆盖率超</w:t>
      </w:r>
      <w:r>
        <w:rPr>
          <w:rFonts w:ascii="仿宋" w:eastAsia="仿宋" w:hAnsi="仿宋" w:cs="仿宋"/>
        </w:rPr>
        <w:t>99%</w:t>
      </w:r>
      <w:r>
        <w:rPr>
          <w:rFonts w:ascii="仿宋" w:eastAsia="仿宋" w:hAnsi="仿宋" w:cs="仿宋"/>
        </w:rPr>
        <w:t>，</w:t>
      </w:r>
      <w:r>
        <w:rPr>
          <w:rFonts w:ascii="仿宋" w:eastAsia="仿宋" w:hAnsi="仿宋" w:cs="仿宋"/>
        </w:rPr>
        <w:t>5G</w:t>
      </w:r>
      <w:r>
        <w:rPr>
          <w:rFonts w:ascii="仿宋" w:eastAsia="仿宋" w:hAnsi="仿宋" w:cs="仿宋"/>
        </w:rPr>
        <w:t>个人用户普及率达</w:t>
      </w:r>
      <w:r>
        <w:rPr>
          <w:rFonts w:ascii="仿宋" w:eastAsia="仿宋" w:hAnsi="仿宋" w:cs="仿宋"/>
        </w:rPr>
        <w:t>60%</w:t>
      </w:r>
      <w:r>
        <w:rPr>
          <w:rFonts w:ascii="仿宋" w:eastAsia="仿宋" w:hAnsi="仿宋" w:cs="仿宋"/>
        </w:rPr>
        <w:t>。</w:t>
      </w:r>
      <w:r>
        <w:rPr>
          <w:rFonts w:ascii="仿宋" w:eastAsia="仿宋" w:hAnsi="仿宋" w:cs="仿宋"/>
        </w:rPr>
        <w:lastRenderedPageBreak/>
        <w:t>加强</w:t>
      </w:r>
      <w:r>
        <w:rPr>
          <w:rFonts w:ascii="仿宋" w:eastAsia="仿宋" w:hAnsi="仿宋" w:cs="仿宋"/>
        </w:rPr>
        <w:t>5G</w:t>
      </w:r>
      <w:r>
        <w:rPr>
          <w:rFonts w:ascii="仿宋" w:eastAsia="仿宋" w:hAnsi="仿宋" w:cs="仿宋"/>
        </w:rPr>
        <w:t>在智能制造、工业互联网、智慧城市等领域的融合应用。鼓励</w:t>
      </w:r>
      <w:r>
        <w:rPr>
          <w:rFonts w:ascii="仿宋" w:eastAsia="仿宋" w:hAnsi="仿宋" w:cs="仿宋"/>
        </w:rPr>
        <w:t>企业参与标识解析推广，</w:t>
      </w:r>
      <w:r>
        <w:rPr>
          <w:rFonts w:ascii="仿宋" w:eastAsia="仿宋" w:hAnsi="仿宋" w:cs="仿宋"/>
        </w:rPr>
        <w:t>2023</w:t>
      </w:r>
      <w:r>
        <w:rPr>
          <w:rFonts w:ascii="仿宋" w:eastAsia="仿宋" w:hAnsi="仿宋" w:cs="仿宋"/>
        </w:rPr>
        <w:t>年底累计接入企业超</w:t>
      </w:r>
      <w:r>
        <w:rPr>
          <w:rFonts w:ascii="仿宋" w:eastAsia="仿宋" w:hAnsi="仿宋" w:cs="仿宋"/>
        </w:rPr>
        <w:t>6000</w:t>
      </w:r>
      <w:r>
        <w:rPr>
          <w:rFonts w:ascii="仿宋" w:eastAsia="仿宋" w:hAnsi="仿宋" w:cs="仿宋"/>
        </w:rPr>
        <w:t>家，注册量超</w:t>
      </w:r>
      <w:r>
        <w:rPr>
          <w:rFonts w:ascii="仿宋" w:eastAsia="仿宋" w:hAnsi="仿宋" w:cs="仿宋"/>
        </w:rPr>
        <w:t>50</w:t>
      </w:r>
      <w:r>
        <w:rPr>
          <w:rFonts w:ascii="仿宋" w:eastAsia="仿宋" w:hAnsi="仿宋" w:cs="仿宋"/>
        </w:rPr>
        <w:t>亿，解析量超</w:t>
      </w:r>
      <w:r>
        <w:rPr>
          <w:rFonts w:ascii="仿宋" w:eastAsia="仿宋" w:hAnsi="仿宋" w:cs="仿宋"/>
        </w:rPr>
        <w:t>30</w:t>
      </w:r>
      <w:r>
        <w:rPr>
          <w:rFonts w:ascii="仿宋" w:eastAsia="仿宋" w:hAnsi="仿宋" w:cs="仿宋"/>
        </w:rPr>
        <w:t>亿。引导信息消费产业优化供给，争创国家信息消费示范城市，打造区域性信息消费创新应用高地。推进智慧健康养老产业发展。三是提升工业信息安全保障能力。完善工业信息安全管理体系，强化工业信息安全应急处置。提升企业信息安全防护主体责任意识，实施国家工业互联网企业网络安全分类分级管理。培育壮大工业信息安全服务机构和网络安全技术技能人才队伍。加强无线电监测与保障，升级技术手段，提升监测能力，确保无线电用频安全。四是壮大数字经济支撑产业</w:t>
      </w:r>
      <w:r>
        <w:rPr>
          <w:rFonts w:ascii="仿宋" w:eastAsia="仿宋" w:hAnsi="仿宋" w:cs="仿宋"/>
        </w:rPr>
        <w:t>。引导软件企业加大技术攻关，提升产品竞争力。做大做强医疗特色软件产业。强化软件人才引进、联合培养和落户就业。推动高校、企业共同合作，建立常州市信创产品适配测试实验室，力争获得省级测评资质。深化钟楼经济开发区省级信息技术应用创新先导区建设。以信创专业园区建设为抓手，招引重点企业落户，填补产业链短板弱项，聚焦关键环节着力强链。</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（六）加速优化升级，推动绿色安全化提档。一是深入推进绿色制造。强化能耗强度目标责任评价，扎实开展节能监察工作，密切关注重点地区、重点用能单位、重大项目等能耗变动形势，坚决遏制</w:t>
      </w:r>
      <w:r>
        <w:rPr>
          <w:rFonts w:ascii="仿宋" w:eastAsia="仿宋" w:hAnsi="仿宋" w:cs="仿宋"/>
        </w:rPr>
        <w:t>“</w:t>
      </w:r>
      <w:r>
        <w:rPr>
          <w:rFonts w:ascii="仿宋" w:eastAsia="仿宋" w:hAnsi="仿宋" w:cs="仿宋"/>
        </w:rPr>
        <w:t>两高</w:t>
      </w:r>
      <w:r>
        <w:rPr>
          <w:rFonts w:ascii="仿宋" w:eastAsia="仿宋" w:hAnsi="仿宋" w:cs="仿宋"/>
        </w:rPr>
        <w:t>”</w:t>
      </w:r>
      <w:r>
        <w:rPr>
          <w:rFonts w:ascii="仿宋" w:eastAsia="仿宋" w:hAnsi="仿宋" w:cs="仿宋"/>
        </w:rPr>
        <w:t>项目</w:t>
      </w:r>
      <w:r>
        <w:rPr>
          <w:rFonts w:ascii="仿宋" w:eastAsia="仿宋" w:hAnsi="仿宋" w:cs="仿宋"/>
        </w:rPr>
        <w:t>盲目发展，严控高耗能项目准入，确保完成年度节能降耗目标任务。加强工作系统性和协同性，推动各地区、各行业全面绿色低碳转型，稳妥有序推进工</w:t>
      </w:r>
      <w:r>
        <w:rPr>
          <w:rFonts w:ascii="仿宋" w:eastAsia="仿宋" w:hAnsi="仿宋" w:cs="仿宋"/>
        </w:rPr>
        <w:lastRenderedPageBreak/>
        <w:t>业领域</w:t>
      </w:r>
      <w:r>
        <w:rPr>
          <w:rFonts w:ascii="仿宋" w:eastAsia="仿宋" w:hAnsi="仿宋" w:cs="仿宋"/>
        </w:rPr>
        <w:t>“</w:t>
      </w:r>
      <w:r>
        <w:rPr>
          <w:rFonts w:ascii="仿宋" w:eastAsia="仿宋" w:hAnsi="仿宋" w:cs="仿宋"/>
        </w:rPr>
        <w:t>双碳</w:t>
      </w:r>
      <w:r>
        <w:rPr>
          <w:rFonts w:ascii="仿宋" w:eastAsia="仿宋" w:hAnsi="仿宋" w:cs="仿宋"/>
        </w:rPr>
        <w:t>”</w:t>
      </w:r>
      <w:r>
        <w:rPr>
          <w:rFonts w:ascii="仿宋" w:eastAsia="仿宋" w:hAnsi="仿宋" w:cs="仿宋"/>
        </w:rPr>
        <w:t>工作。二是促进产业提档升级。引导产业结构调整，贯彻落实国家、省产业结构调整政策。开展工业企业资源集约利用综合评价，充分合理利用差别化政策。加大化工生产企业整治、转型提升力度，继续推进钢铁、建材和有色等行业转型升级，牵头开展铸造和印染行业综合整治提升工作等。三是夯实安全生产基础。按照</w:t>
      </w:r>
      <w:r>
        <w:rPr>
          <w:rFonts w:ascii="仿宋" w:eastAsia="仿宋" w:hAnsi="仿宋" w:cs="仿宋"/>
        </w:rPr>
        <w:t>“</w:t>
      </w:r>
      <w:r>
        <w:rPr>
          <w:rFonts w:ascii="仿宋" w:eastAsia="仿宋" w:hAnsi="仿宋" w:cs="仿宋"/>
        </w:rPr>
        <w:t>三管三必须</w:t>
      </w:r>
      <w:r>
        <w:rPr>
          <w:rFonts w:ascii="仿宋" w:eastAsia="仿宋" w:hAnsi="仿宋" w:cs="仿宋"/>
        </w:rPr>
        <w:t>”</w:t>
      </w:r>
      <w:r>
        <w:rPr>
          <w:rFonts w:ascii="仿宋" w:eastAsia="仿宋" w:hAnsi="仿宋" w:cs="仿宋"/>
        </w:rPr>
        <w:t>要求，重点推进民爆、船舶修造行业安全生产专项整治，深化安全生产学习宣</w:t>
      </w:r>
      <w:r>
        <w:rPr>
          <w:rFonts w:ascii="仿宋" w:eastAsia="仿宋" w:hAnsi="仿宋" w:cs="仿宋"/>
        </w:rPr>
        <w:t>讲，落实企业安全生产主体责任，切实防范化解重大安全风险。推动试点先进技术运用于企业安全生产，加快安全产业发展。四是抓好企业疫情防控。贯彻落实国家、省、市防疫工作政策，因时因势优化企业防控政策措施，保障全市企业疫情防控形势稳定。督促企业压实主体责任，扎实做好常态化防控工作。加强重点防控物资动态监测，保障疫情防控需求。</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（七）创新服务机制，推动工作质效提升。一是深度优化发展环境。完成</w:t>
      </w:r>
      <w:r>
        <w:rPr>
          <w:rFonts w:ascii="仿宋" w:eastAsia="仿宋" w:hAnsi="仿宋" w:cs="仿宋"/>
        </w:rPr>
        <w:t>“</w:t>
      </w:r>
      <w:r>
        <w:rPr>
          <w:rFonts w:ascii="仿宋" w:eastAsia="仿宋" w:hAnsi="仿宋" w:cs="仿宋"/>
        </w:rPr>
        <w:t>常州市促进智能制造发展条例</w:t>
      </w:r>
      <w:r>
        <w:rPr>
          <w:rFonts w:ascii="仿宋" w:eastAsia="仿宋" w:hAnsi="仿宋" w:cs="仿宋"/>
        </w:rPr>
        <w:t>”</w:t>
      </w:r>
      <w:r>
        <w:rPr>
          <w:rFonts w:ascii="仿宋" w:eastAsia="仿宋" w:hAnsi="仿宋" w:cs="仿宋"/>
        </w:rPr>
        <w:t>立法工作。支持成立市专精特新中小企业发展促进中心，提供法律保障等综合性公益服务。扎实做好防范和化解拖</w:t>
      </w:r>
      <w:r>
        <w:rPr>
          <w:rFonts w:ascii="仿宋" w:eastAsia="仿宋" w:hAnsi="仿宋" w:cs="仿宋"/>
        </w:rPr>
        <w:t>欠民营中小企业账款工作。履行市加快民营经济发展联席会议办公室职责，推动民营经济高质量发展。适时动态调整维护政务服务</w:t>
      </w:r>
      <w:r>
        <w:rPr>
          <w:rFonts w:ascii="仿宋" w:eastAsia="仿宋" w:hAnsi="仿宋" w:cs="仿宋"/>
        </w:rPr>
        <w:t>“</w:t>
      </w:r>
      <w:r>
        <w:rPr>
          <w:rFonts w:ascii="仿宋" w:eastAsia="仿宋" w:hAnsi="仿宋" w:cs="仿宋"/>
        </w:rPr>
        <w:t>一张网</w:t>
      </w:r>
      <w:r>
        <w:rPr>
          <w:rFonts w:ascii="仿宋" w:eastAsia="仿宋" w:hAnsi="仿宋" w:cs="仿宋"/>
        </w:rPr>
        <w:t>”</w:t>
      </w:r>
      <w:r>
        <w:rPr>
          <w:rFonts w:ascii="仿宋" w:eastAsia="仿宋" w:hAnsi="仿宋" w:cs="仿宋"/>
        </w:rPr>
        <w:t>事项，优化办事工作流程，完善办事指南信息。二是全面推进工信大数据应用。持续推进工信大数据平台建设和数据归集，推动全部功能正式上线运行，实现内部处室及工信条线业务职能和工作需求有效整合，提高跨部门、跨区域信息数据共享利用。</w:t>
      </w:r>
      <w:r>
        <w:rPr>
          <w:rFonts w:ascii="仿宋" w:eastAsia="仿宋" w:hAnsi="仿宋" w:cs="仿宋"/>
        </w:rPr>
        <w:lastRenderedPageBreak/>
        <w:t>依托平台摸清全市产业结构和分布现状，构建多维度产业链、企业评价机制，建设一个多源服务资源汇集的总入口，为企业提供一站式精准服务。三是切实开展助企惠企服务。持续完善中小企</w:t>
      </w:r>
      <w:r>
        <w:rPr>
          <w:rFonts w:ascii="仿宋" w:eastAsia="仿宋" w:hAnsi="仿宋" w:cs="仿宋"/>
        </w:rPr>
        <w:t>业公共服务体系，着力推进中小企业数字化转型，推动服务商为中小企业提供转型咨询、诊断评估等服务，争取打造数字化转型样本的</w:t>
      </w:r>
      <w:r>
        <w:rPr>
          <w:rFonts w:ascii="仿宋" w:eastAsia="仿宋" w:hAnsi="仿宋" w:cs="仿宋"/>
        </w:rPr>
        <w:t>“</w:t>
      </w:r>
      <w:r>
        <w:rPr>
          <w:rFonts w:ascii="仿宋" w:eastAsia="仿宋" w:hAnsi="仿宋" w:cs="仿宋"/>
        </w:rPr>
        <w:t>小灯塔</w:t>
      </w:r>
      <w:r>
        <w:rPr>
          <w:rFonts w:ascii="仿宋" w:eastAsia="仿宋" w:hAnsi="仿宋" w:cs="仿宋"/>
        </w:rPr>
        <w:t>”</w:t>
      </w:r>
      <w:r>
        <w:rPr>
          <w:rFonts w:ascii="仿宋" w:eastAsia="仿宋" w:hAnsi="仿宋" w:cs="仿宋"/>
        </w:rPr>
        <w:t>企业。精准把握企业需求，按照需求分级分类对接优质服务机构，加强对中小微企业的帮扶。举办创新报告会</w:t>
      </w:r>
      <w:r>
        <w:rPr>
          <w:rFonts w:ascii="仿宋" w:eastAsia="仿宋" w:hAnsi="仿宋" w:cs="仿宋"/>
        </w:rPr>
        <w:t>2</w:t>
      </w:r>
      <w:r>
        <w:rPr>
          <w:rFonts w:ascii="仿宋" w:eastAsia="仿宋" w:hAnsi="仿宋" w:cs="仿宋"/>
        </w:rPr>
        <w:t>场、新生代班和高管班赴</w:t>
      </w:r>
      <w:r>
        <w:rPr>
          <w:rFonts w:ascii="仿宋" w:eastAsia="仿宋" w:hAnsi="仿宋" w:cs="仿宋"/>
        </w:rPr>
        <w:t>985</w:t>
      </w:r>
      <w:r>
        <w:rPr>
          <w:rFonts w:ascii="仿宋" w:eastAsia="仿宋" w:hAnsi="仿宋" w:cs="仿宋"/>
        </w:rPr>
        <w:t>高校培训班</w:t>
      </w:r>
      <w:r>
        <w:rPr>
          <w:rFonts w:ascii="仿宋" w:eastAsia="仿宋" w:hAnsi="仿宋" w:cs="仿宋"/>
        </w:rPr>
        <w:t>2-3</w:t>
      </w:r>
      <w:r>
        <w:rPr>
          <w:rFonts w:ascii="仿宋" w:eastAsia="仿宋" w:hAnsi="仿宋" w:cs="仿宋"/>
        </w:rPr>
        <w:t>期，围绕服务</w:t>
      </w:r>
      <w:r>
        <w:rPr>
          <w:rFonts w:ascii="仿宋" w:eastAsia="仿宋" w:hAnsi="仿宋" w:cs="仿宋"/>
        </w:rPr>
        <w:t>“532”</w:t>
      </w:r>
      <w:r>
        <w:rPr>
          <w:rFonts w:ascii="仿宋" w:eastAsia="仿宋" w:hAnsi="仿宋" w:cs="仿宋"/>
        </w:rPr>
        <w:t>发展战略、推进</w:t>
      </w:r>
      <w:r>
        <w:rPr>
          <w:rFonts w:ascii="仿宋" w:eastAsia="仿宋" w:hAnsi="仿宋" w:cs="仿宋"/>
        </w:rPr>
        <w:t>“</w:t>
      </w:r>
      <w:r>
        <w:rPr>
          <w:rFonts w:ascii="仿宋" w:eastAsia="仿宋" w:hAnsi="仿宋" w:cs="仿宋"/>
        </w:rPr>
        <w:t>智改数转</w:t>
      </w:r>
      <w:r>
        <w:rPr>
          <w:rFonts w:ascii="仿宋" w:eastAsia="仿宋" w:hAnsi="仿宋" w:cs="仿宋"/>
        </w:rPr>
        <w:t>”</w:t>
      </w:r>
      <w:r>
        <w:rPr>
          <w:rFonts w:ascii="仿宋" w:eastAsia="仿宋" w:hAnsi="仿宋" w:cs="仿宋"/>
        </w:rPr>
        <w:t>举办工信讲坛和协会专场培训</w:t>
      </w:r>
      <w:r>
        <w:rPr>
          <w:rFonts w:ascii="仿宋" w:eastAsia="仿宋" w:hAnsi="仿宋" w:cs="仿宋"/>
        </w:rPr>
        <w:t>20-25</w:t>
      </w:r>
      <w:r>
        <w:rPr>
          <w:rFonts w:ascii="仿宋" w:eastAsia="仿宋" w:hAnsi="仿宋" w:cs="仿宋"/>
        </w:rPr>
        <w:t>场等。</w:t>
      </w:r>
    </w:p>
    <w:p w:rsidR="00A01E05" w:rsidRDefault="00C32B94">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（八）坚持党建引领，推动过硬队伍建设。一是深入学习贯彻党的二十大精神。把深入学习、准确领会、全面贯彻党的二十大精神作为当前和今后一个时期的首要政治任务</w:t>
      </w:r>
      <w:r>
        <w:rPr>
          <w:rFonts w:ascii="仿宋" w:eastAsia="仿宋" w:hAnsi="仿宋" w:cs="仿宋"/>
        </w:rPr>
        <w:t>，坚持读原文、学原著，深研细读党的二十大报告和新党章，通过举办座谈会、培训辅导、交流研讨等形式开展专题学习教育，落细落实学习宣传贯彻各项任务，切实将思想和行动统一到党的二十大精神上来。二是毫不松懈推进党风廉政建设。坚决落实中央八项规定精神和实施细则以及省市委有关办法，加强机关作风建设，深入排查廉政风险隐患，健全制度、堵塞漏洞。紧盯关键少数、关键岗位、关键节点，常态化开展警示教育。用准用好监督执纪</w:t>
      </w:r>
      <w:r>
        <w:rPr>
          <w:rFonts w:ascii="仿宋" w:eastAsia="仿宋" w:hAnsi="仿宋" w:cs="仿宋"/>
        </w:rPr>
        <w:t>“</w:t>
      </w:r>
      <w:r>
        <w:rPr>
          <w:rFonts w:ascii="仿宋" w:eastAsia="仿宋" w:hAnsi="仿宋" w:cs="仿宋"/>
        </w:rPr>
        <w:t>四种形态</w:t>
      </w:r>
      <w:r>
        <w:rPr>
          <w:rFonts w:ascii="仿宋" w:eastAsia="仿宋" w:hAnsi="仿宋" w:cs="仿宋"/>
        </w:rPr>
        <w:t>”</w:t>
      </w:r>
      <w:r>
        <w:rPr>
          <w:rFonts w:ascii="仿宋" w:eastAsia="仿宋" w:hAnsi="仿宋" w:cs="仿宋"/>
        </w:rPr>
        <w:t>，强化第一种形态的监督指导，依纪依法追责问责，着力构建</w:t>
      </w:r>
      <w:r w:rsidR="006236D8">
        <w:rPr>
          <w:rFonts w:ascii="仿宋" w:eastAsia="仿宋" w:hAnsi="仿宋" w:cs="仿宋" w:hint="eastAsia"/>
        </w:rPr>
        <w:t>“</w:t>
      </w:r>
      <w:r w:rsidR="006236D8" w:rsidRPr="006236D8">
        <w:rPr>
          <w:rFonts w:ascii="仿宋" w:eastAsia="仿宋" w:hAnsi="仿宋" w:cs="仿宋"/>
        </w:rPr>
        <w:t>不敢腐、不能腐、不想腐</w:t>
      </w:r>
      <w:r w:rsidR="006236D8">
        <w:rPr>
          <w:rFonts w:ascii="仿宋" w:eastAsia="仿宋" w:hAnsi="仿宋" w:cs="仿宋" w:hint="eastAsia"/>
        </w:rPr>
        <w:t>”</w:t>
      </w:r>
      <w:r>
        <w:rPr>
          <w:rFonts w:ascii="仿宋" w:eastAsia="仿宋" w:hAnsi="仿宋" w:cs="仿宋"/>
        </w:rPr>
        <w:t>的长效机制。三是持续推深做实产</w:t>
      </w:r>
      <w:r>
        <w:rPr>
          <w:rFonts w:ascii="仿宋" w:eastAsia="仿宋" w:hAnsi="仿宋" w:cs="仿宋"/>
        </w:rPr>
        <w:t>业链党建工作。加强对</w:t>
      </w:r>
      <w:r>
        <w:rPr>
          <w:rFonts w:ascii="仿宋" w:eastAsia="仿宋" w:hAnsi="仿宋" w:cs="仿宋"/>
        </w:rPr>
        <w:t>5</w:t>
      </w:r>
      <w:r>
        <w:rPr>
          <w:rFonts w:ascii="仿宋" w:eastAsia="仿宋" w:hAnsi="仿宋" w:cs="仿宋"/>
        </w:rPr>
        <w:t>个产业</w:t>
      </w:r>
      <w:r>
        <w:rPr>
          <w:rFonts w:ascii="仿宋" w:eastAsia="仿宋" w:hAnsi="仿宋" w:cs="仿宋"/>
        </w:rPr>
        <w:lastRenderedPageBreak/>
        <w:t>链党委工作的指导协调，</w:t>
      </w:r>
      <w:r>
        <w:rPr>
          <w:rFonts w:ascii="仿宋" w:eastAsia="仿宋" w:hAnsi="仿宋" w:cs="仿宋"/>
        </w:rPr>
        <w:t>6</w:t>
      </w:r>
      <w:r>
        <w:rPr>
          <w:rFonts w:ascii="仿宋" w:eastAsia="仿宋" w:hAnsi="仿宋" w:cs="仿宋"/>
        </w:rPr>
        <w:t>月底前，争创</w:t>
      </w:r>
      <w:r>
        <w:rPr>
          <w:rFonts w:ascii="仿宋" w:eastAsia="仿宋" w:hAnsi="仿宋" w:cs="仿宋"/>
        </w:rPr>
        <w:t>3—5</w:t>
      </w:r>
      <w:r>
        <w:rPr>
          <w:rFonts w:ascii="仿宋" w:eastAsia="仿宋" w:hAnsi="仿宋" w:cs="仿宋"/>
        </w:rPr>
        <w:t>个省级初创型产业链党建先行点。四是不断锤炼提升</w:t>
      </w:r>
      <w:r>
        <w:rPr>
          <w:rFonts w:ascii="仿宋" w:eastAsia="仿宋" w:hAnsi="仿宋" w:cs="仿宋"/>
        </w:rPr>
        <w:t>“</w:t>
      </w:r>
      <w:r>
        <w:rPr>
          <w:rFonts w:ascii="仿宋" w:eastAsia="仿宋" w:hAnsi="仿宋" w:cs="仿宋"/>
        </w:rPr>
        <w:t>强学优链</w:t>
      </w:r>
      <w:r>
        <w:rPr>
          <w:rFonts w:ascii="仿宋" w:eastAsia="仿宋" w:hAnsi="仿宋" w:cs="仿宋"/>
        </w:rPr>
        <w:t>”</w:t>
      </w:r>
      <w:r>
        <w:rPr>
          <w:rFonts w:ascii="仿宋" w:eastAsia="仿宋" w:hAnsi="仿宋" w:cs="仿宋"/>
        </w:rPr>
        <w:t>青训营队伍。继续推进年轻党员干部挂钩联系优势产业链工作，组织开展形式多样的活动，营造比学赶超氛围，激发干事创业热情，加快打造一支知全局谋长远、精产业熟政策、善协调勇作为的工信年轻干部队伍，为打造</w:t>
      </w:r>
      <w:r>
        <w:rPr>
          <w:rFonts w:ascii="仿宋" w:eastAsia="仿宋" w:hAnsi="仿宋" w:cs="仿宋"/>
        </w:rPr>
        <w:t>“</w:t>
      </w:r>
      <w:r>
        <w:rPr>
          <w:rFonts w:ascii="仿宋" w:eastAsia="仿宋" w:hAnsi="仿宋" w:cs="仿宋"/>
        </w:rPr>
        <w:t>国际化智造名城、长三角中轴枢纽</w:t>
      </w:r>
      <w:r>
        <w:rPr>
          <w:rFonts w:ascii="仿宋" w:eastAsia="仿宋" w:hAnsi="仿宋" w:cs="仿宋"/>
        </w:rPr>
        <w:t>”</w:t>
      </w:r>
      <w:r>
        <w:rPr>
          <w:rFonts w:ascii="仿宋" w:eastAsia="仿宋" w:hAnsi="仿宋" w:cs="仿宋"/>
        </w:rPr>
        <w:t>注入更强工信青春力量。</w:t>
      </w:r>
    </w:p>
    <w:p w:rsidR="00A01E05" w:rsidRDefault="00A01E05">
      <w:pPr>
        <w:pStyle w:val="a4"/>
        <w:spacing w:line="235" w:lineRule="auto"/>
        <w:ind w:leftChars="300" w:left="669" w:right="2414" w:hanging="9"/>
        <w:jc w:val="both"/>
        <w:rPr>
          <w:rFonts w:ascii="仿宋" w:eastAsia="仿宋" w:hAnsi="仿宋" w:cs="仿宋"/>
        </w:rPr>
        <w:sectPr w:rsidR="00A01E05">
          <w:footerReference w:type="default" r:id="rId14"/>
          <w:pgSz w:w="11906" w:h="16838"/>
          <w:pgMar w:top="1580" w:right="1020" w:bottom="770" w:left="1020" w:header="170" w:footer="280" w:gutter="0"/>
          <w:pgNumType w:fmt="numberInDash"/>
          <w:cols w:space="720"/>
          <w:formProt w:val="0"/>
          <w:docGrid w:linePitch="100"/>
        </w:sectPr>
      </w:pPr>
    </w:p>
    <w:p w:rsidR="00A01E05" w:rsidRDefault="00A01E05">
      <w:pPr>
        <w:pStyle w:val="a4"/>
        <w:spacing w:line="360" w:lineRule="auto"/>
        <w:ind w:leftChars="200" w:left="440" w:rightChars="229" w:right="504" w:firstLine="658"/>
        <w:jc w:val="both"/>
        <w:rPr>
          <w:rFonts w:ascii="仿宋" w:eastAsia="仿宋" w:hAnsi="仿宋" w:cs="仿宋"/>
          <w:lang w:val="en-US"/>
        </w:rPr>
      </w:pPr>
    </w:p>
    <w:p w:rsidR="00A01E05" w:rsidRDefault="00A01E05">
      <w:pPr>
        <w:pStyle w:val="10"/>
        <w:tabs>
          <w:tab w:val="left" w:pos="1609"/>
        </w:tabs>
        <w:spacing w:before="12" w:line="300" w:lineRule="auto"/>
        <w:ind w:left="340" w:right="567" w:firstLine="0"/>
        <w:jc w:val="center"/>
        <w:rPr>
          <w:rFonts w:ascii="仿宋" w:eastAsia="仿宋" w:hAnsi="仿宋" w:cs="仿宋"/>
          <w:b/>
          <w:bCs/>
          <w:sz w:val="44"/>
          <w:szCs w:val="44"/>
        </w:rPr>
      </w:pPr>
    </w:p>
    <w:p w:rsidR="00A01E05" w:rsidRDefault="00A01E05">
      <w:pPr>
        <w:pStyle w:val="10"/>
        <w:tabs>
          <w:tab w:val="left" w:pos="1609"/>
        </w:tabs>
        <w:spacing w:before="12" w:line="300" w:lineRule="auto"/>
        <w:ind w:left="340" w:right="567" w:firstLine="0"/>
        <w:jc w:val="center"/>
        <w:rPr>
          <w:rFonts w:ascii="仿宋" w:eastAsia="仿宋" w:hAnsi="仿宋" w:cs="仿宋"/>
          <w:b/>
          <w:bCs/>
          <w:sz w:val="44"/>
          <w:szCs w:val="44"/>
        </w:rPr>
      </w:pPr>
    </w:p>
    <w:p w:rsidR="00A01E05" w:rsidRDefault="00A01E05">
      <w:pPr>
        <w:pStyle w:val="10"/>
        <w:tabs>
          <w:tab w:val="left" w:pos="1609"/>
        </w:tabs>
        <w:spacing w:before="12" w:line="300" w:lineRule="auto"/>
        <w:ind w:left="340" w:right="567" w:firstLine="0"/>
        <w:jc w:val="center"/>
        <w:rPr>
          <w:rFonts w:ascii="仿宋" w:eastAsia="仿宋" w:hAnsi="仿宋" w:cs="仿宋"/>
          <w:b/>
          <w:bCs/>
          <w:sz w:val="44"/>
          <w:szCs w:val="44"/>
        </w:rPr>
      </w:pPr>
    </w:p>
    <w:p w:rsidR="00A01E05" w:rsidRDefault="00A01E05">
      <w:pPr>
        <w:pStyle w:val="10"/>
        <w:tabs>
          <w:tab w:val="left" w:pos="1609"/>
        </w:tabs>
        <w:spacing w:before="12" w:line="300" w:lineRule="auto"/>
        <w:ind w:left="340" w:right="567" w:firstLine="0"/>
        <w:jc w:val="center"/>
        <w:rPr>
          <w:rFonts w:ascii="仿宋" w:eastAsia="仿宋" w:hAnsi="仿宋" w:cs="仿宋"/>
          <w:b/>
          <w:bCs/>
          <w:sz w:val="44"/>
          <w:szCs w:val="44"/>
        </w:rPr>
      </w:pPr>
    </w:p>
    <w:p w:rsidR="00A01E05" w:rsidRDefault="00A01E05">
      <w:pPr>
        <w:pStyle w:val="10"/>
        <w:tabs>
          <w:tab w:val="left" w:pos="1609"/>
        </w:tabs>
        <w:spacing w:before="12" w:line="300" w:lineRule="auto"/>
        <w:ind w:left="340" w:right="567" w:firstLine="0"/>
        <w:jc w:val="center"/>
        <w:rPr>
          <w:rFonts w:ascii="仿宋" w:eastAsia="仿宋" w:hAnsi="仿宋" w:cs="仿宋"/>
          <w:b/>
          <w:bCs/>
          <w:sz w:val="44"/>
          <w:szCs w:val="44"/>
        </w:rPr>
      </w:pPr>
    </w:p>
    <w:p w:rsidR="00A01E05" w:rsidRDefault="00A01E05">
      <w:pPr>
        <w:pStyle w:val="10"/>
        <w:tabs>
          <w:tab w:val="left" w:pos="1609"/>
        </w:tabs>
        <w:spacing w:before="12" w:line="300" w:lineRule="auto"/>
        <w:ind w:left="340" w:right="567" w:firstLine="0"/>
        <w:jc w:val="center"/>
        <w:rPr>
          <w:rFonts w:ascii="仿宋" w:eastAsia="仿宋" w:hAnsi="仿宋" w:cs="仿宋"/>
          <w:b/>
          <w:bCs/>
          <w:sz w:val="44"/>
          <w:szCs w:val="44"/>
        </w:rPr>
      </w:pPr>
    </w:p>
    <w:p w:rsidR="00A01E05" w:rsidRDefault="00C32B94">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第二部分</w:t>
      </w:r>
    </w:p>
    <w:p w:rsidR="00A01E05" w:rsidRDefault="00C32B94">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2023</w:t>
      </w:r>
      <w:r>
        <w:rPr>
          <w:rFonts w:ascii="仿宋" w:eastAsia="仿宋" w:hAnsi="仿宋" w:cs="仿宋" w:hint="eastAsia"/>
          <w:b/>
          <w:bCs/>
          <w:sz w:val="44"/>
          <w:szCs w:val="44"/>
        </w:rPr>
        <w:t>年度</w:t>
      </w:r>
    </w:p>
    <w:p w:rsidR="00A01E05" w:rsidRDefault="00C32B94">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常州市工业和信息化局</w:t>
      </w:r>
    </w:p>
    <w:p w:rsidR="00A01E05" w:rsidRDefault="00C32B94">
      <w:pPr>
        <w:pStyle w:val="10"/>
        <w:tabs>
          <w:tab w:val="left" w:pos="1609"/>
        </w:tabs>
        <w:spacing w:before="12" w:line="300" w:lineRule="auto"/>
        <w:ind w:left="340" w:right="567" w:firstLine="0"/>
        <w:jc w:val="center"/>
        <w:rPr>
          <w:rFonts w:ascii="宋体" w:eastAsia="宋体" w:hAnsi="宋体" w:cs="仿宋"/>
          <w:b/>
          <w:bCs/>
          <w:sz w:val="44"/>
          <w:szCs w:val="44"/>
        </w:rPr>
      </w:pPr>
      <w:r>
        <w:rPr>
          <w:rFonts w:ascii="仿宋" w:eastAsia="仿宋" w:hAnsi="仿宋" w:cs="仿宋" w:hint="eastAsia"/>
          <w:b/>
          <w:bCs/>
          <w:sz w:val="44"/>
          <w:szCs w:val="44"/>
          <w:lang w:val="en-US"/>
        </w:rPr>
        <w:t>部门</w:t>
      </w:r>
      <w:r>
        <w:rPr>
          <w:rFonts w:ascii="仿宋" w:eastAsia="仿宋" w:hAnsi="仿宋" w:cs="仿宋"/>
          <w:b/>
          <w:sz w:val="44"/>
        </w:rPr>
        <w:t>预算表</w:t>
      </w:r>
    </w:p>
    <w:tbl>
      <w:tblPr>
        <w:tblW w:w="11329" w:type="dxa"/>
        <w:jc w:val="center"/>
        <w:tblLayout w:type="fixed"/>
        <w:tblLook w:val="04A0"/>
      </w:tblPr>
      <w:tblGrid>
        <w:gridCol w:w="3908"/>
        <w:gridCol w:w="1869"/>
        <w:gridCol w:w="3704"/>
        <w:gridCol w:w="67"/>
        <w:gridCol w:w="1781"/>
      </w:tblGrid>
      <w:tr w:rsidR="00A01E05">
        <w:trPr>
          <w:cantSplit/>
          <w:trHeight w:val="116"/>
          <w:jc w:val="center"/>
        </w:trPr>
        <w:tc>
          <w:tcPr>
            <w:tcW w:w="11329" w:type="dxa"/>
            <w:gridSpan w:val="5"/>
            <w:vAlign w:val="center"/>
          </w:tcPr>
          <w:p w:rsidR="00A01E05" w:rsidRDefault="00C32B94">
            <w:pPr>
              <w:pageBreakBefore/>
              <w:jc w:val="both"/>
              <w:rPr>
                <w:rFonts w:ascii="仿宋" w:eastAsia="仿宋" w:hAnsi="仿宋" w:cs="仿宋"/>
                <w:color w:val="000000"/>
                <w:lang w:eastAsia="ar-SA"/>
              </w:rPr>
            </w:pPr>
            <w:r>
              <w:rPr>
                <w:rFonts w:ascii="仿宋" w:eastAsia="仿宋" w:hAnsi="仿宋" w:cs="仿宋" w:hint="eastAsia"/>
                <w:color w:val="000000"/>
                <w:lang w:eastAsia="ar-SA"/>
              </w:rPr>
              <w:lastRenderedPageBreak/>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A01E05">
        <w:trPr>
          <w:cantSplit/>
          <w:trHeight w:val="348"/>
          <w:jc w:val="center"/>
        </w:trPr>
        <w:tc>
          <w:tcPr>
            <w:tcW w:w="11329" w:type="dxa"/>
            <w:gridSpan w:val="5"/>
          </w:tcPr>
          <w:p w:rsidR="00A01E05" w:rsidRDefault="00C32B94">
            <w:pPr>
              <w:jc w:val="center"/>
              <w:rPr>
                <w:rFonts w:ascii="仿宋" w:eastAsia="仿宋" w:hAnsi="仿宋" w:cs="仿宋"/>
                <w:color w:val="000000"/>
              </w:rPr>
            </w:pPr>
            <w:r>
              <w:rPr>
                <w:rFonts w:ascii="仿宋" w:eastAsia="仿宋" w:hAnsi="仿宋" w:cs="仿宋" w:hint="eastAsia"/>
                <w:b/>
                <w:bCs/>
                <w:color w:val="000000"/>
                <w:sz w:val="44"/>
                <w:szCs w:val="44"/>
                <w:lang w:eastAsia="ar-SA"/>
              </w:rPr>
              <w:t>收支总表</w:t>
            </w:r>
          </w:p>
        </w:tc>
      </w:tr>
      <w:tr w:rsidR="00A01E05">
        <w:trPr>
          <w:cantSplit/>
          <w:trHeight w:val="333"/>
          <w:jc w:val="center"/>
        </w:trPr>
        <w:tc>
          <w:tcPr>
            <w:tcW w:w="9481" w:type="dxa"/>
            <w:gridSpan w:val="3"/>
            <w:tcBorders>
              <w:bottom w:val="single" w:sz="4" w:space="0" w:color="000000"/>
            </w:tcBorders>
            <w:vAlign w:val="center"/>
          </w:tcPr>
          <w:p w:rsidR="00A01E05" w:rsidRDefault="00C32B94">
            <w:pPr>
              <w:rPr>
                <w:rFonts w:ascii="仿宋" w:eastAsia="仿宋" w:hAnsi="仿宋" w:cs="仿宋"/>
                <w:color w:val="00000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color w:val="000000"/>
                <w:lang w:eastAsia="ar-SA"/>
              </w:rPr>
              <w:t>常州市工业和信息化局</w:t>
            </w:r>
          </w:p>
        </w:tc>
        <w:tc>
          <w:tcPr>
            <w:tcW w:w="1848" w:type="dxa"/>
            <w:gridSpan w:val="2"/>
            <w:tcBorders>
              <w:bottom w:val="single" w:sz="4" w:space="0" w:color="000000"/>
            </w:tcBorders>
            <w:vAlign w:val="center"/>
          </w:tcPr>
          <w:p w:rsidR="00A01E05" w:rsidRDefault="00C32B94">
            <w:pPr>
              <w:jc w:val="right"/>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hint="eastAsia"/>
                <w:color w:val="000000"/>
              </w:rPr>
              <w:t>：万元</w:t>
            </w:r>
          </w:p>
        </w:tc>
      </w:tr>
      <w:tr w:rsidR="00A01E05">
        <w:trPr>
          <w:cantSplit/>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color w:val="000000"/>
              </w:rPr>
            </w:pPr>
            <w:r>
              <w:rPr>
                <w:rFonts w:ascii="仿宋" w:eastAsia="仿宋" w:hAnsi="仿宋" w:cs="仿宋" w:hint="eastAsia"/>
                <w:b/>
                <w:bCs/>
                <w:color w:val="000000"/>
                <w:lang w:eastAsia="ar-SA"/>
              </w:rPr>
              <w:t>支出</w:t>
            </w:r>
          </w:p>
        </w:tc>
      </w:tr>
      <w:tr w:rsidR="00A01E05">
        <w:trPr>
          <w:cantSplit/>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rPr>
                <w:rFonts w:ascii="仿宋" w:eastAsia="仿宋" w:hAnsi="仿宋" w:cs="仿宋"/>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5,086.90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165.70</w:t>
            </w: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rPr>
                <w:rFonts w:ascii="仿宋" w:eastAsia="仿宋" w:hAnsi="仿宋" w:cs="仿宋"/>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rPr>
                <w:rFonts w:ascii="仿宋" w:eastAsia="仿宋" w:hAnsi="仿宋" w:cs="仿宋"/>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rPr>
                <w:rFonts w:ascii="仿宋" w:eastAsia="仿宋" w:hAnsi="仿宋" w:cs="仿宋"/>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rPr>
                <w:rFonts w:ascii="仿宋" w:eastAsia="仿宋" w:hAnsi="仿宋" w:cs="仿宋"/>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rPr>
                <w:rFonts w:ascii="仿宋" w:eastAsia="仿宋" w:hAnsi="仿宋" w:cs="仿宋"/>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rPr>
                <w:rFonts w:ascii="仿宋" w:eastAsia="仿宋" w:hAnsi="仿宋" w:cs="仿宋"/>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rPr>
                <w:rFonts w:ascii="仿宋" w:eastAsia="仿宋" w:hAnsi="仿宋" w:cs="仿宋"/>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65.52</w:t>
            </w: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rPr>
                <w:rFonts w:ascii="仿宋" w:eastAsia="仿宋" w:hAnsi="仿宋" w:cs="仿宋"/>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53.72</w:t>
            </w: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3,354.16</w:t>
            </w: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十八、援助其他地区支出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1,447.80</w:t>
            </w: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A01E05">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keepNext/>
              <w:keepLines/>
              <w:rPr>
                <w:rFonts w:ascii="仿宋" w:eastAsia="仿宋" w:hAnsi="仿宋" w:cs="仿宋"/>
                <w:color w:val="000000"/>
              </w:rPr>
            </w:pPr>
            <w:r>
              <w:rPr>
                <w:rFonts w:ascii="仿宋" w:eastAsia="仿宋" w:hAnsi="仿宋" w:cs="仿宋" w:hint="eastAsia"/>
                <w:color w:val="000000"/>
                <w:lang w:eastAsia="ar-SA"/>
              </w:rPr>
              <w:t>三十、抗疫特别国债安排的支出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keepNext/>
              <w:keepLines/>
              <w:jc w:val="right"/>
              <w:rPr>
                <w:rFonts w:ascii="仿宋" w:eastAsia="仿宋" w:hAnsi="仿宋" w:cs="仿宋"/>
                <w:color w:val="000000"/>
                <w:lang w:eastAsia="ar-SA"/>
              </w:rPr>
            </w:pPr>
          </w:p>
        </w:tc>
      </w:tr>
      <w:tr w:rsidR="00A01E05">
        <w:trPr>
          <w:cantSplit/>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C32B94">
            <w:pPr>
              <w:jc w:val="right"/>
              <w:rPr>
                <w:rFonts w:ascii="仿宋" w:eastAsia="仿宋" w:hAnsi="仿宋" w:cs="仿宋"/>
                <w:b/>
                <w:bCs/>
                <w:color w:val="000000"/>
                <w:lang w:val="en-US"/>
              </w:rPr>
            </w:pPr>
            <w:r>
              <w:rPr>
                <w:rFonts w:ascii="仿宋" w:eastAsia="仿宋" w:hAnsi="仿宋" w:cs="仿宋" w:hint="eastAsia"/>
                <w:b/>
                <w:bCs/>
                <w:color w:val="000000"/>
                <w:lang w:val="en-US"/>
              </w:rPr>
              <w:t>5,086.90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b/>
                <w:bCs/>
                <w:color w:val="000000"/>
                <w:lang w:eastAsia="ar-SA"/>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C32B94">
            <w:pPr>
              <w:jc w:val="right"/>
              <w:rPr>
                <w:rFonts w:ascii="仿宋" w:eastAsia="仿宋" w:hAnsi="仿宋" w:cs="仿宋"/>
                <w:b/>
                <w:bCs/>
                <w:color w:val="000000"/>
                <w:lang w:val="en-US"/>
              </w:rPr>
            </w:pPr>
            <w:r>
              <w:rPr>
                <w:rFonts w:ascii="仿宋" w:eastAsia="仿宋" w:hAnsi="仿宋" w:cs="仿宋" w:hint="eastAsia"/>
                <w:b/>
                <w:bCs/>
                <w:color w:val="000000"/>
                <w:lang w:val="en-US"/>
              </w:rPr>
              <w:t>5,086.90</w:t>
            </w:r>
          </w:p>
        </w:tc>
      </w:tr>
      <w:tr w:rsidR="00A01E05">
        <w:trPr>
          <w:cantSplit/>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color w:val="000000"/>
                <w:lang w:val="en-US"/>
              </w:rPr>
            </w:pPr>
            <w:r>
              <w:rPr>
                <w:rFonts w:ascii="仿宋" w:eastAsia="仿宋" w:hAnsi="仿宋" w:cs="仿宋" w:hint="eastAsia"/>
                <w:b/>
                <w:bCs/>
                <w:color w:val="000000"/>
                <w:lang w:val="en-US"/>
              </w:rPr>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A01E05">
            <w:pPr>
              <w:jc w:val="right"/>
              <w:rPr>
                <w:rFonts w:ascii="仿宋" w:eastAsia="仿宋" w:hAnsi="仿宋" w:cs="仿宋"/>
                <w:b/>
                <w:bCs/>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b/>
                <w:bCs/>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A01E05">
            <w:pPr>
              <w:jc w:val="right"/>
              <w:rPr>
                <w:rFonts w:ascii="仿宋" w:eastAsia="仿宋" w:hAnsi="仿宋" w:cs="仿宋"/>
                <w:b/>
                <w:bCs/>
                <w:color w:val="000000"/>
                <w:lang w:val="en-US"/>
              </w:rPr>
            </w:pPr>
          </w:p>
        </w:tc>
      </w:tr>
      <w:tr w:rsidR="00A01E05">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rsidR="00A01E05" w:rsidRDefault="00C32B94">
            <w:pPr>
              <w:jc w:val="right"/>
              <w:rPr>
                <w:rFonts w:ascii="仿宋" w:eastAsia="仿宋" w:hAnsi="仿宋" w:cs="仿宋"/>
                <w:b/>
                <w:bCs/>
                <w:color w:val="000000"/>
                <w:lang w:val="en-US" w:eastAsia="ar-SA"/>
              </w:rPr>
            </w:pPr>
            <w:r>
              <w:rPr>
                <w:rFonts w:ascii="仿宋" w:eastAsia="仿宋" w:hAnsi="仿宋" w:cs="仿宋" w:hint="eastAsia"/>
                <w:b/>
                <w:bCs/>
                <w:color w:val="000000"/>
                <w:lang w:val="en-US"/>
              </w:rPr>
              <w:t>5,086.90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b/>
                <w:bCs/>
                <w:color w:val="000000"/>
                <w:lang w:eastAsia="ar-SA"/>
              </w:rPr>
            </w:pPr>
            <w:r>
              <w:rPr>
                <w:rFonts w:ascii="仿宋" w:eastAsia="仿宋" w:hAnsi="仿宋" w:cs="仿宋" w:hint="eastAsia"/>
                <w:b/>
                <w:bCs/>
                <w:color w:val="000000"/>
                <w:lang w:val="en-US"/>
              </w:rPr>
              <w:t>支出</w:t>
            </w:r>
            <w:r>
              <w:rPr>
                <w:rFonts w:ascii="仿宋" w:eastAsia="仿宋" w:hAnsi="仿宋" w:cs="仿宋" w:hint="eastAsia"/>
                <w:b/>
                <w:bCs/>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rsidR="00A01E05" w:rsidRDefault="00C32B94">
            <w:pPr>
              <w:jc w:val="right"/>
              <w:rPr>
                <w:rFonts w:ascii="仿宋" w:eastAsia="仿宋" w:hAnsi="仿宋" w:cs="仿宋"/>
                <w:b/>
                <w:bCs/>
                <w:color w:val="000000"/>
                <w:lang w:val="en-US"/>
              </w:rPr>
            </w:pPr>
            <w:r>
              <w:rPr>
                <w:rFonts w:ascii="仿宋" w:eastAsia="仿宋" w:hAnsi="仿宋" w:cs="仿宋" w:hint="eastAsia"/>
                <w:b/>
                <w:bCs/>
                <w:color w:val="000000"/>
                <w:lang w:val="en-US"/>
              </w:rPr>
              <w:t>5,086.90</w:t>
            </w:r>
          </w:p>
        </w:tc>
      </w:tr>
    </w:tbl>
    <w:p w:rsidR="00A01E05" w:rsidRDefault="00A01E05">
      <w:pPr>
        <w:spacing w:before="66"/>
        <w:rPr>
          <w:rFonts w:ascii="仿宋" w:eastAsia="仿宋" w:hAnsi="仿宋" w:cs="仿宋"/>
          <w:b/>
          <w:bCs/>
          <w:color w:val="000000"/>
        </w:rPr>
        <w:sectPr w:rsidR="00A01E05">
          <w:footerReference w:type="default" r:id="rId15"/>
          <w:pgSz w:w="11906" w:h="16838"/>
          <w:pgMar w:top="1580" w:right="700" w:bottom="770" w:left="697" w:header="170" w:footer="280" w:gutter="0"/>
          <w:pgNumType w:fmt="numberInDash"/>
          <w:cols w:space="720"/>
          <w:formProt w:val="0"/>
          <w:docGrid w:linePitch="100"/>
        </w:sectPr>
      </w:pPr>
    </w:p>
    <w:tbl>
      <w:tblPr>
        <w:tblW w:w="16703" w:type="dxa"/>
        <w:tblInd w:w="17" w:type="dxa"/>
        <w:shd w:val="clear" w:color="auto" w:fill="FFFFFF"/>
        <w:tblLayout w:type="fixed"/>
        <w:tblCellMar>
          <w:top w:w="15" w:type="dxa"/>
          <w:left w:w="15" w:type="dxa"/>
          <w:bottom w:w="15" w:type="dxa"/>
          <w:right w:w="15" w:type="dxa"/>
        </w:tblCellMar>
        <w:tblLook w:val="04A0"/>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A01E05">
        <w:trPr>
          <w:cantSpli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A01E05" w:rsidRDefault="00C32B94">
            <w:pPr>
              <w:pStyle w:val="TableParagraph"/>
              <w:rPr>
                <w:rFonts w:ascii="仿宋" w:eastAsia="仿宋" w:hAnsi="仿宋" w:cs="仿宋"/>
                <w:lang w:val="en-US"/>
              </w:rPr>
            </w:pPr>
            <w:r>
              <w:rPr>
                <w:rFonts w:ascii="仿宋" w:eastAsia="仿宋" w:hAnsi="仿宋" w:cs="仿宋" w:hint="eastAsia"/>
              </w:rPr>
              <w:lastRenderedPageBreak/>
              <w:t>公开</w:t>
            </w:r>
            <w:r>
              <w:rPr>
                <w:rFonts w:ascii="仿宋" w:eastAsia="仿宋" w:hAnsi="仿宋" w:cs="仿宋" w:hint="eastAsia"/>
              </w:rPr>
              <w:t>02</w:t>
            </w:r>
            <w:r>
              <w:rPr>
                <w:rFonts w:ascii="仿宋" w:eastAsia="仿宋" w:hAnsi="仿宋" w:cs="仿宋" w:hint="eastAsia"/>
              </w:rPr>
              <w:t>表</w:t>
            </w:r>
          </w:p>
        </w:tc>
      </w:tr>
      <w:tr w:rsidR="00A01E05">
        <w:trPr>
          <w:cantSpli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A01E05" w:rsidRDefault="00C32B94">
            <w:pPr>
              <w:pStyle w:val="TableParagraph"/>
              <w:jc w:val="center"/>
              <w:rPr>
                <w:rFonts w:ascii="仿宋" w:eastAsia="仿宋" w:hAnsi="仿宋" w:cs="仿宋"/>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A01E05">
        <w:trPr>
          <w:cantSplit/>
        </w:trPr>
        <w:tc>
          <w:tcPr>
            <w:tcW w:w="11988"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rsidR="00A01E05" w:rsidRDefault="00C32B94">
            <w:pPr>
              <w:pStyle w:val="TableParagraph"/>
              <w:jc w:val="bot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4715"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rsidR="00A01E05" w:rsidRDefault="00C32B94">
            <w:pPr>
              <w:pStyle w:val="TableParagraph"/>
              <w:jc w:val="right"/>
              <w:rPr>
                <w:rFonts w:ascii="仿宋" w:eastAsia="仿宋" w:hAnsi="仿宋" w:cs="仿宋"/>
                <w:lang w:val="en-US"/>
              </w:rPr>
            </w:pPr>
            <w:r>
              <w:rPr>
                <w:rFonts w:ascii="仿宋" w:eastAsia="仿宋" w:hAnsi="仿宋" w:cs="仿宋" w:hint="eastAsia"/>
              </w:rPr>
              <w:t>单位</w:t>
            </w:r>
            <w:r>
              <w:rPr>
                <w:rFonts w:ascii="仿宋" w:eastAsia="仿宋" w:hAnsi="仿宋" w:cs="仿宋" w:hint="eastAsia"/>
              </w:rPr>
              <w:t>：万元</w:t>
            </w:r>
          </w:p>
        </w:tc>
      </w:tr>
      <w:tr w:rsidR="00A01E05">
        <w:trPr>
          <w:cantSplit/>
        </w:trPr>
        <w:tc>
          <w:tcPr>
            <w:tcW w:w="8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代码</w:t>
            </w:r>
          </w:p>
        </w:tc>
        <w:tc>
          <w:tcPr>
            <w:tcW w:w="180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名称</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21"/>
                <w:szCs w:val="21"/>
              </w:rPr>
            </w:pPr>
            <w:r>
              <w:rPr>
                <w:rFonts w:ascii="仿宋" w:eastAsia="仿宋" w:hAnsi="仿宋" w:cs="仿宋" w:hint="eastAsia"/>
                <w:sz w:val="21"/>
                <w:szCs w:val="21"/>
                <w:lang w:val="en-US"/>
              </w:rPr>
              <w:t>合计</w:t>
            </w:r>
          </w:p>
        </w:tc>
        <w:tc>
          <w:tcPr>
            <w:tcW w:w="8387"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lang w:val="en-US"/>
              </w:rPr>
              <w:t>本年收入</w:t>
            </w:r>
          </w:p>
        </w:tc>
        <w:tc>
          <w:tcPr>
            <w:tcW w:w="4715"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lang w:val="en-US"/>
              </w:rPr>
              <w:t>上年结转结余</w:t>
            </w:r>
          </w:p>
        </w:tc>
      </w:tr>
      <w:tr w:rsidR="00A01E05">
        <w:trPr>
          <w:cantSplit/>
        </w:trPr>
        <w:tc>
          <w:tcPr>
            <w:tcW w:w="824"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pacing w:after="34" w:line="34" w:lineRule="atLeast"/>
              <w:jc w:val="center"/>
              <w:rPr>
                <w:rFonts w:ascii="仿宋" w:eastAsia="仿宋" w:hAnsi="仿宋" w:cs="仿宋"/>
              </w:rPr>
            </w:pPr>
          </w:p>
        </w:tc>
        <w:tc>
          <w:tcPr>
            <w:tcW w:w="180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pacing w:after="34" w:line="34" w:lineRule="atLeast"/>
              <w:jc w:val="center"/>
              <w:rPr>
                <w:rFonts w:ascii="仿宋" w:eastAsia="仿宋" w:hAnsi="仿宋" w:cs="仿宋"/>
              </w:rPr>
            </w:pPr>
          </w:p>
        </w:tc>
        <w:tc>
          <w:tcPr>
            <w:tcW w:w="9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pacing w:after="34" w:line="34" w:lineRule="atLeast"/>
              <w:jc w:val="center"/>
              <w:rPr>
                <w:rFonts w:ascii="仿宋" w:eastAsia="仿宋" w:hAnsi="仿宋" w:cs="仿宋"/>
              </w:rPr>
            </w:pP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事业</w:t>
            </w:r>
          </w:p>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事业单位经营收入</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上级补助收入</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附属单位上缴收入</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其他</w:t>
            </w:r>
          </w:p>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单位</w:t>
            </w:r>
          </w:p>
          <w:p w:rsidR="00A01E05" w:rsidRDefault="00C32B94">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资金</w:t>
            </w:r>
          </w:p>
        </w:tc>
      </w:tr>
      <w:tr w:rsidR="00A01E05">
        <w:trPr>
          <w:cantSplit/>
        </w:trPr>
        <w:tc>
          <w:tcPr>
            <w:tcW w:w="262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center"/>
              <w:rPr>
                <w:rFonts w:ascii="仿宋" w:eastAsia="仿宋" w:hAnsi="仿宋" w:cs="仿宋"/>
                <w:color w:val="000000"/>
                <w:sz w:val="15"/>
                <w:szCs w:val="15"/>
                <w:lang w:eastAsia="ar-SA"/>
              </w:rPr>
            </w:pPr>
            <w:r>
              <w:rPr>
                <w:rFonts w:ascii="仿宋" w:eastAsia="仿宋" w:hAnsi="仿宋" w:cs="仿宋" w:hint="eastAsia"/>
                <w:color w:val="000000"/>
                <w:sz w:val="15"/>
                <w:szCs w:val="15"/>
                <w:lang w:val="en-US"/>
              </w:rPr>
              <w:t>合计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5,086.90</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5,086.90</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5,086.90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val="en-US"/>
              </w:rPr>
            </w:pPr>
          </w:p>
        </w:tc>
      </w:tr>
      <w:tr w:rsidR="00A01E05">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025</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常州市工业和信息化局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5,086.90</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5,086.90</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5,086.90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r>
      <w:tr w:rsidR="00A01E05">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025001</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常州市工业和信息化局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3,792.21</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3,792.21</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3,792.21</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r>
      <w:tr w:rsidR="00A01E05">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025002</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常州市无线电管理监测站</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213.98</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213.98</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213.98</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r>
      <w:tr w:rsidR="00A01E05">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025003</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常州市工信综合行政执法支队</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1,080.71</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1,080.71</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1,080.71</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pacing w:line="34" w:lineRule="atLeast"/>
              <w:ind w:right="45"/>
              <w:jc w:val="right"/>
              <w:rPr>
                <w:rFonts w:ascii="仿宋" w:eastAsia="仿宋" w:hAnsi="仿宋" w:cs="仿宋"/>
                <w:color w:val="000000"/>
                <w:sz w:val="15"/>
                <w:szCs w:val="15"/>
                <w:lang w:eastAsia="ar-SA"/>
              </w:rPr>
            </w:pPr>
          </w:p>
        </w:tc>
      </w:tr>
    </w:tbl>
    <w:p w:rsidR="00A01E05" w:rsidRDefault="00A01E05">
      <w:pPr>
        <w:spacing w:before="66"/>
        <w:rPr>
          <w:rFonts w:ascii="仿宋" w:eastAsia="仿宋" w:hAnsi="仿宋" w:cs="仿宋"/>
          <w:b/>
          <w:bCs/>
        </w:rPr>
        <w:sectPr w:rsidR="00A01E05">
          <w:footerReference w:type="default" r:id="rId16"/>
          <w:pgSz w:w="16838" w:h="11906" w:orient="landscape"/>
          <w:pgMar w:top="720" w:right="57" w:bottom="720" w:left="57"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3223"/>
        <w:gridCol w:w="1920"/>
        <w:gridCol w:w="1714"/>
        <w:gridCol w:w="1749"/>
        <w:gridCol w:w="1868"/>
        <w:gridCol w:w="1680"/>
        <w:gridCol w:w="1637"/>
      </w:tblGrid>
      <w:tr w:rsidR="00A01E05">
        <w:trPr>
          <w:cantSplit/>
          <w:trHeight w:val="341"/>
        </w:trPr>
        <w:tc>
          <w:tcPr>
            <w:tcW w:w="15347" w:type="dxa"/>
            <w:gridSpan w:val="8"/>
            <w:vAlign w:val="center"/>
          </w:tcPr>
          <w:p w:rsidR="00A01E05" w:rsidRDefault="00C32B94">
            <w:pPr>
              <w:pStyle w:val="4"/>
              <w:spacing w:after="34" w:line="34" w:lineRule="atLeast"/>
              <w:jc w:val="left"/>
              <w:rPr>
                <w:rFonts w:ascii="仿宋" w:eastAsia="仿宋" w:hAnsi="仿宋" w:cs="仿宋"/>
                <w:b/>
                <w:bCs/>
                <w:sz w:val="44"/>
                <w:szCs w:val="44"/>
              </w:rPr>
            </w:pPr>
            <w:r>
              <w:rPr>
                <w:rFonts w:ascii="仿宋" w:eastAsia="仿宋" w:hAnsi="仿宋" w:cs="仿宋" w:hint="eastAsia"/>
                <w:sz w:val="22"/>
                <w:szCs w:val="22"/>
              </w:rPr>
              <w:lastRenderedPageBreak/>
              <w:t>公开</w:t>
            </w:r>
            <w:r>
              <w:rPr>
                <w:rFonts w:ascii="仿宋" w:eastAsia="仿宋" w:hAnsi="仿宋" w:cs="仿宋" w:hint="eastAsia"/>
                <w:sz w:val="22"/>
                <w:szCs w:val="22"/>
              </w:rPr>
              <w:t>03</w:t>
            </w:r>
            <w:r>
              <w:rPr>
                <w:rFonts w:ascii="仿宋" w:eastAsia="仿宋" w:hAnsi="仿宋" w:cs="仿宋" w:hint="eastAsia"/>
                <w:sz w:val="22"/>
                <w:szCs w:val="22"/>
              </w:rPr>
              <w:t>表</w:t>
            </w:r>
          </w:p>
        </w:tc>
      </w:tr>
      <w:tr w:rsidR="00A01E05">
        <w:trPr>
          <w:cantSplit/>
          <w:trHeight w:val="321"/>
        </w:trPr>
        <w:tc>
          <w:tcPr>
            <w:tcW w:w="15347" w:type="dxa"/>
            <w:gridSpan w:val="8"/>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A01E05">
        <w:trPr>
          <w:cantSplit/>
          <w:trHeight w:val="218"/>
        </w:trPr>
        <w:tc>
          <w:tcPr>
            <w:tcW w:w="12030" w:type="dxa"/>
            <w:gridSpan w:val="6"/>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3317" w:type="dxa"/>
            <w:gridSpan w:val="2"/>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A01E05">
        <w:trPr>
          <w:cantSplit/>
          <w:trHeight w:val="533"/>
        </w:trPr>
        <w:tc>
          <w:tcPr>
            <w:tcW w:w="1556" w:type="dxa"/>
            <w:tcBorders>
              <w:top w:val="single" w:sz="4" w:space="0" w:color="000000"/>
              <w:left w:val="single" w:sz="4" w:space="0" w:color="000000"/>
              <w:bottom w:val="single" w:sz="4"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rsidR="00A01E05" w:rsidRDefault="00C32B94">
            <w:pPr>
              <w:pStyle w:val="TableParagraph"/>
              <w:spacing w:after="34" w:line="34" w:lineRule="atLeast"/>
              <w:jc w:val="center"/>
              <w:rPr>
                <w:rFonts w:ascii="仿宋" w:eastAsia="仿宋" w:hAnsi="仿宋" w:cs="仿宋"/>
                <w:lang w:val="en-US"/>
              </w:rPr>
            </w:pPr>
            <w:r>
              <w:rPr>
                <w:rFonts w:ascii="仿宋" w:eastAsia="仿宋" w:hAnsi="仿宋" w:cs="仿宋" w:hint="eastAsia"/>
                <w:lang w:val="en-US"/>
              </w:rPr>
              <w:t>事业单位</w:t>
            </w:r>
          </w:p>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对附属单位补助支出</w:t>
            </w:r>
          </w:p>
        </w:tc>
      </w:tr>
      <w:tr w:rsidR="00A01E05">
        <w:trPr>
          <w:cantSplit/>
          <w:trHeight w:hRule="exact" w:val="375"/>
        </w:trPr>
        <w:tc>
          <w:tcPr>
            <w:tcW w:w="4779" w:type="dxa"/>
            <w:gridSpan w:val="2"/>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rPr>
              <w:t>合计</w:t>
            </w:r>
          </w:p>
        </w:tc>
        <w:tc>
          <w:tcPr>
            <w:tcW w:w="1920" w:type="dxa"/>
            <w:tcBorders>
              <w:left w:val="single" w:sz="4" w:space="0" w:color="000000"/>
              <w:bottom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5,086.90</w:t>
            </w:r>
          </w:p>
        </w:tc>
        <w:tc>
          <w:tcPr>
            <w:tcW w:w="1714" w:type="dxa"/>
            <w:tcBorders>
              <w:left w:val="single" w:sz="4" w:space="0" w:color="000000"/>
              <w:bottom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4,772.66</w:t>
            </w:r>
          </w:p>
        </w:tc>
        <w:tc>
          <w:tcPr>
            <w:tcW w:w="1749" w:type="dxa"/>
            <w:tcBorders>
              <w:left w:val="single" w:sz="4" w:space="0" w:color="000000"/>
              <w:bottom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314.24</w:t>
            </w:r>
          </w:p>
        </w:tc>
        <w:tc>
          <w:tcPr>
            <w:tcW w:w="1868" w:type="dxa"/>
            <w:tcBorders>
              <w:left w:val="single" w:sz="4" w:space="0" w:color="000000"/>
              <w:bottom w:val="single" w:sz="4" w:space="0" w:color="000000"/>
            </w:tcBorders>
            <w:vAlign w:val="center"/>
          </w:tcPr>
          <w:p w:rsidR="00A01E05" w:rsidRDefault="00A01E05">
            <w:pPr>
              <w:pStyle w:val="TableParagraph"/>
              <w:jc w:val="right"/>
              <w:rPr>
                <w:rFonts w:ascii="仿宋" w:eastAsia="仿宋" w:hAnsi="仿宋" w:cs="仿宋"/>
              </w:rPr>
            </w:pPr>
          </w:p>
        </w:tc>
        <w:tc>
          <w:tcPr>
            <w:tcW w:w="1680" w:type="dxa"/>
            <w:tcBorders>
              <w:left w:val="single" w:sz="4" w:space="0" w:color="000000"/>
              <w:bottom w:val="single" w:sz="4" w:space="0" w:color="000000"/>
            </w:tcBorders>
            <w:vAlign w:val="center"/>
          </w:tcPr>
          <w:p w:rsidR="00A01E05" w:rsidRDefault="00A01E05">
            <w:pPr>
              <w:pStyle w:val="TableParagraph"/>
              <w:jc w:val="right"/>
              <w:rPr>
                <w:rFonts w:ascii="仿宋" w:eastAsia="仿宋" w:hAnsi="仿宋" w:cs="仿宋"/>
              </w:rPr>
            </w:pPr>
          </w:p>
        </w:tc>
        <w:tc>
          <w:tcPr>
            <w:tcW w:w="1637" w:type="dxa"/>
            <w:tcBorders>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201</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一般公共服务支出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165.70</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135.70</w:t>
            </w:r>
          </w:p>
        </w:tc>
        <w:tc>
          <w:tcPr>
            <w:tcW w:w="1749"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30.00</w:t>
            </w: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20103</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政府办公厅（室）及相关机构事务</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135.70</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135.70</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2010301</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135.70</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135.70</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20199</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其他一般公共服务支出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30.00</w:t>
            </w:r>
          </w:p>
        </w:tc>
        <w:tc>
          <w:tcPr>
            <w:tcW w:w="1714"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30.00</w:t>
            </w: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2019999</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其他一般公共服务支出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30.00</w:t>
            </w:r>
          </w:p>
        </w:tc>
        <w:tc>
          <w:tcPr>
            <w:tcW w:w="1714"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30.00</w:t>
            </w: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208</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社会保障和就业支出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65.52</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65.52</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20805</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行政事业单位养老支出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65.52</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65.52</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2080501</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行政单位离退休</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62.53</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62.53</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2080502</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事业单位离退休</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2.99</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2.99</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210</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卫生健康支出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21011</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行政事业单位医疗</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2101103</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公务员医疗补助</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215</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资源勘探工业信息等支出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3,354.16</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3,069.92</w:t>
            </w:r>
          </w:p>
        </w:tc>
        <w:tc>
          <w:tcPr>
            <w:tcW w:w="1749"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284.24</w:t>
            </w: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21505</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工业和信息产业监管</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3,342.16</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3,069.92</w:t>
            </w:r>
          </w:p>
        </w:tc>
        <w:tc>
          <w:tcPr>
            <w:tcW w:w="1749"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272.24</w:t>
            </w: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2150501</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2,430.80</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2,430.80</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2150502</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一般行政管理事务</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204.55</w:t>
            </w:r>
          </w:p>
        </w:tc>
        <w:tc>
          <w:tcPr>
            <w:tcW w:w="1714"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204.55</w:t>
            </w: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2150599</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其他工业和信息产业监管支出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706.81</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639.12</w:t>
            </w:r>
          </w:p>
        </w:tc>
        <w:tc>
          <w:tcPr>
            <w:tcW w:w="1749"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67.69</w:t>
            </w: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21508</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支持中小企业发展和管理支出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12.00</w:t>
            </w:r>
          </w:p>
        </w:tc>
        <w:tc>
          <w:tcPr>
            <w:tcW w:w="1714"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12.00</w:t>
            </w: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lastRenderedPageBreak/>
              <w:t>2150899</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其他支持中小企业发展和管理支出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12.00</w:t>
            </w:r>
          </w:p>
        </w:tc>
        <w:tc>
          <w:tcPr>
            <w:tcW w:w="1714"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12.00</w:t>
            </w: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1,447.80</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1,447.80</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22102</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1,447.80</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1,447.80</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2210201</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329.88</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329.88</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2210202</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786.34</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786.34</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r w:rsidR="00A01E05">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2210203</w:t>
            </w:r>
          </w:p>
        </w:tc>
        <w:tc>
          <w:tcPr>
            <w:tcW w:w="3223"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购房补贴</w:t>
            </w:r>
          </w:p>
        </w:tc>
        <w:tc>
          <w:tcPr>
            <w:tcW w:w="1920"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331.58</w:t>
            </w:r>
          </w:p>
        </w:tc>
        <w:tc>
          <w:tcPr>
            <w:tcW w:w="1714" w:type="dxa"/>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331.58</w:t>
            </w:r>
          </w:p>
        </w:tc>
        <w:tc>
          <w:tcPr>
            <w:tcW w:w="1749"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A01E05" w:rsidRDefault="00A01E05">
            <w:pPr>
              <w:pStyle w:val="TableParagraph"/>
              <w:jc w:val="right"/>
              <w:rPr>
                <w:rFonts w:ascii="仿宋" w:eastAsia="仿宋" w:hAnsi="仿宋" w:cs="仿宋"/>
              </w:rPr>
            </w:pPr>
          </w:p>
        </w:tc>
      </w:tr>
    </w:tbl>
    <w:p w:rsidR="00A01E05" w:rsidRDefault="00A01E05">
      <w:pPr>
        <w:spacing w:before="59"/>
        <w:ind w:left="57"/>
        <w:rPr>
          <w:rFonts w:ascii="仿宋" w:eastAsia="仿宋" w:hAnsi="仿宋" w:cs="仿宋"/>
          <w:b/>
          <w:bCs/>
        </w:rPr>
        <w:sectPr w:rsidR="00A01E05">
          <w:footerReference w:type="default" r:id="rId17"/>
          <w:pgSz w:w="16838" w:h="11906" w:orient="landscape"/>
          <w:pgMar w:top="720" w:right="720" w:bottom="720" w:left="720" w:header="170" w:footer="280" w:gutter="0"/>
          <w:pgNumType w:fmt="numberInDash"/>
          <w:cols w:space="720"/>
          <w:formProt w:val="0"/>
          <w:docGrid w:linePitch="100"/>
        </w:sectPr>
      </w:pPr>
    </w:p>
    <w:tbl>
      <w:tblPr>
        <w:tblW w:w="15789" w:type="dxa"/>
        <w:tblInd w:w="-125" w:type="dxa"/>
        <w:tblLayout w:type="fixed"/>
        <w:tblCellMar>
          <w:top w:w="55" w:type="dxa"/>
          <w:left w:w="55" w:type="dxa"/>
          <w:bottom w:w="55" w:type="dxa"/>
          <w:right w:w="55" w:type="dxa"/>
        </w:tblCellMar>
        <w:tblLook w:val="04A0"/>
      </w:tblPr>
      <w:tblGrid>
        <w:gridCol w:w="3987"/>
        <w:gridCol w:w="3960"/>
        <w:gridCol w:w="3943"/>
        <w:gridCol w:w="3899"/>
      </w:tblGrid>
      <w:tr w:rsidR="00A01E05">
        <w:trPr>
          <w:cantSplit/>
          <w:trHeight w:val="319"/>
        </w:trPr>
        <w:tc>
          <w:tcPr>
            <w:tcW w:w="15789" w:type="dxa"/>
            <w:gridSpan w:val="4"/>
          </w:tcPr>
          <w:p w:rsidR="00A01E05" w:rsidRDefault="00C32B94">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04</w:t>
            </w:r>
            <w:r>
              <w:rPr>
                <w:rFonts w:ascii="仿宋" w:eastAsia="仿宋" w:hAnsi="仿宋" w:cs="仿宋" w:hint="eastAsia"/>
              </w:rPr>
              <w:t>表</w:t>
            </w:r>
          </w:p>
        </w:tc>
      </w:tr>
      <w:tr w:rsidR="00A01E05">
        <w:trPr>
          <w:cantSplit/>
          <w:trHeight w:val="319"/>
        </w:trPr>
        <w:tc>
          <w:tcPr>
            <w:tcW w:w="15789" w:type="dxa"/>
            <w:gridSpan w:val="4"/>
          </w:tcPr>
          <w:p w:rsidR="00A01E05" w:rsidRDefault="00C32B94">
            <w:pPr>
              <w:pStyle w:val="TableParagraph"/>
              <w:jc w:val="center"/>
              <w:rPr>
                <w:rFonts w:ascii="仿宋" w:eastAsia="仿宋" w:hAnsi="仿宋" w:cs="仿宋"/>
              </w:rPr>
            </w:pPr>
            <w:r>
              <w:rPr>
                <w:rFonts w:ascii="仿宋" w:eastAsia="仿宋" w:hAnsi="仿宋" w:cs="仿宋" w:hint="eastAsia"/>
                <w:b/>
                <w:bCs/>
                <w:sz w:val="44"/>
                <w:szCs w:val="44"/>
              </w:rPr>
              <w:t>财政拨款收支总表</w:t>
            </w:r>
          </w:p>
        </w:tc>
      </w:tr>
      <w:tr w:rsidR="00A01E05">
        <w:trPr>
          <w:cantSplit/>
          <w:trHeight w:val="319"/>
        </w:trPr>
        <w:tc>
          <w:tcPr>
            <w:tcW w:w="11890" w:type="dxa"/>
            <w:gridSpan w:val="3"/>
          </w:tcPr>
          <w:p w:rsidR="00A01E05" w:rsidRDefault="00C32B94">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3899" w:type="dxa"/>
            <w:vAlign w:val="center"/>
          </w:tcPr>
          <w:p w:rsidR="00A01E05" w:rsidRDefault="00C32B94">
            <w:pPr>
              <w:pStyle w:val="TableParagraph"/>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A01E05">
        <w:trPr>
          <w:cantSplit/>
          <w:trHeight w:val="196"/>
        </w:trPr>
        <w:tc>
          <w:tcPr>
            <w:tcW w:w="7947" w:type="dxa"/>
            <w:gridSpan w:val="2"/>
            <w:tcBorders>
              <w:top w:val="single" w:sz="4" w:space="0" w:color="000000"/>
              <w:left w:val="single" w:sz="4" w:space="0" w:color="000000"/>
              <w:bottom w:val="single" w:sz="4" w:space="0" w:color="000000"/>
            </w:tcBorders>
          </w:tcPr>
          <w:p w:rsidR="00A01E05" w:rsidRDefault="00C32B94">
            <w:pPr>
              <w:pStyle w:val="TableParagraph"/>
              <w:jc w:val="center"/>
              <w:rPr>
                <w:rFonts w:ascii="仿宋" w:eastAsia="仿宋" w:hAnsi="仿宋" w:cs="仿宋"/>
                <w:b/>
                <w:bCs/>
              </w:rPr>
            </w:pPr>
            <w:r>
              <w:rPr>
                <w:rFonts w:ascii="仿宋" w:eastAsia="仿宋" w:hAnsi="仿宋" w:cs="仿宋" w:hint="eastAsia"/>
                <w:b/>
                <w:bCs/>
              </w:rPr>
              <w:t>收</w:t>
            </w:r>
            <w:r>
              <w:rPr>
                <w:rFonts w:ascii="仿宋" w:eastAsia="仿宋" w:hAnsi="仿宋" w:cs="仿宋" w:hint="eastAsia"/>
                <w:b/>
                <w:bCs/>
              </w:rPr>
              <w:tab/>
            </w:r>
            <w:r>
              <w:rPr>
                <w:rFonts w:ascii="仿宋" w:eastAsia="仿宋" w:hAnsi="仿宋" w:cs="仿宋" w:hint="eastAsia"/>
                <w:b/>
                <w:bCs/>
              </w:rPr>
              <w:t>入</w:t>
            </w:r>
          </w:p>
        </w:tc>
        <w:tc>
          <w:tcPr>
            <w:tcW w:w="7842" w:type="dxa"/>
            <w:gridSpan w:val="2"/>
            <w:tcBorders>
              <w:top w:val="single" w:sz="4" w:space="0" w:color="000000"/>
              <w:left w:val="single" w:sz="4" w:space="0" w:color="000000"/>
              <w:bottom w:val="single" w:sz="4" w:space="0" w:color="000000"/>
              <w:right w:val="single" w:sz="4" w:space="0" w:color="000000"/>
            </w:tcBorders>
          </w:tcPr>
          <w:p w:rsidR="00A01E05" w:rsidRDefault="00C32B94">
            <w:pPr>
              <w:pStyle w:val="TableParagraph"/>
              <w:jc w:val="center"/>
              <w:rPr>
                <w:rFonts w:ascii="仿宋" w:eastAsia="仿宋" w:hAnsi="仿宋" w:cs="仿宋"/>
                <w:b/>
                <w:bCs/>
              </w:rPr>
            </w:pPr>
            <w:r>
              <w:rPr>
                <w:rFonts w:ascii="仿宋" w:eastAsia="仿宋" w:hAnsi="仿宋" w:cs="仿宋" w:hint="eastAsia"/>
                <w:b/>
                <w:bCs/>
              </w:rPr>
              <w:t>支</w:t>
            </w:r>
            <w:r>
              <w:rPr>
                <w:rFonts w:ascii="仿宋" w:eastAsia="仿宋" w:hAnsi="仿宋" w:cs="仿宋" w:hint="eastAsia"/>
                <w:b/>
                <w:bCs/>
              </w:rPr>
              <w:tab/>
            </w:r>
            <w:r>
              <w:rPr>
                <w:rFonts w:ascii="仿宋" w:eastAsia="仿宋" w:hAnsi="仿宋" w:cs="仿宋" w:hint="eastAsia"/>
                <w:b/>
                <w:bCs/>
              </w:rPr>
              <w:t>出</w:t>
            </w:r>
          </w:p>
        </w:tc>
      </w:tr>
      <w:tr w:rsidR="00A01E05">
        <w:trPr>
          <w:cantSplit/>
          <w:trHeight w:val="468"/>
        </w:trPr>
        <w:tc>
          <w:tcPr>
            <w:tcW w:w="3987"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b/>
                <w:bCs/>
              </w:rPr>
            </w:pPr>
            <w:r>
              <w:rPr>
                <w:rFonts w:ascii="仿宋" w:eastAsia="仿宋" w:hAnsi="仿宋" w:cs="仿宋"/>
                <w:b/>
              </w:rPr>
              <w:t>项</w:t>
            </w:r>
            <w:r>
              <w:rPr>
                <w:rFonts w:ascii="仿宋" w:eastAsia="仿宋" w:hAnsi="仿宋" w:cs="仿宋" w:hint="eastAsia"/>
                <w:b/>
                <w:bCs/>
              </w:rPr>
              <w:tab/>
            </w:r>
            <w:r>
              <w:rPr>
                <w:rFonts w:ascii="仿宋" w:eastAsia="仿宋" w:hAnsi="仿宋" w:cs="仿宋" w:hint="eastAsia"/>
                <w:b/>
                <w:bCs/>
              </w:rPr>
              <w:t>目</w:t>
            </w:r>
          </w:p>
        </w:tc>
        <w:tc>
          <w:tcPr>
            <w:tcW w:w="3960"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c>
          <w:tcPr>
            <w:tcW w:w="3943" w:type="dxa"/>
            <w:tcBorders>
              <w:left w:val="single" w:sz="4" w:space="0" w:color="000000"/>
              <w:bottom w:val="single" w:sz="4" w:space="0" w:color="000000"/>
            </w:tcBorders>
            <w:vAlign w:val="center"/>
          </w:tcPr>
          <w:p w:rsidR="00A01E05" w:rsidRDefault="00C32B94">
            <w:pPr>
              <w:jc w:val="center"/>
              <w:rPr>
                <w:rFonts w:ascii="仿宋" w:eastAsia="仿宋" w:hAnsi="仿宋" w:cs="仿宋"/>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5,086.90</w:t>
            </w: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lang w:val="en-US"/>
              </w:rPr>
            </w:pPr>
            <w:r>
              <w:rPr>
                <w:rFonts w:ascii="仿宋" w:eastAsia="仿宋" w:hAnsi="仿宋" w:cs="仿宋" w:hint="eastAsia"/>
              </w:rPr>
              <w:t>5,086.90</w:t>
            </w: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5,086.90</w:t>
            </w: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lang w:val="en-US"/>
              </w:rPr>
            </w:pPr>
            <w:r>
              <w:rPr>
                <w:rFonts w:ascii="仿宋" w:eastAsia="仿宋" w:hAnsi="仿宋" w:cs="仿宋" w:hint="eastAsia"/>
              </w:rPr>
              <w:t>165.70</w:t>
            </w: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lang w:val="en-US"/>
              </w:rPr>
            </w:pPr>
            <w:r>
              <w:rPr>
                <w:rFonts w:ascii="仿宋" w:eastAsia="仿宋" w:hAnsi="仿宋" w:cs="仿宋" w:hint="eastAsia"/>
              </w:rPr>
              <w:t>65.52</w:t>
            </w: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（九</w:t>
            </w:r>
            <w:r>
              <w:rPr>
                <w:rFonts w:ascii="仿宋" w:eastAsia="仿宋" w:hAnsi="仿宋" w:cs="仿宋" w:hint="eastAsia"/>
              </w:rPr>
              <w:t>)</w:t>
            </w:r>
            <w:r>
              <w:rPr>
                <w:rFonts w:ascii="仿宋" w:eastAsia="仿宋" w:hAnsi="仿宋" w:cs="仿宋" w:hint="eastAsia"/>
              </w:rPr>
              <w:t>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（十</w:t>
            </w:r>
            <w:r>
              <w:rPr>
                <w:rFonts w:ascii="仿宋" w:eastAsia="仿宋" w:hAnsi="仿宋" w:cs="仿宋" w:hint="eastAsia"/>
              </w:rPr>
              <w:t>)</w:t>
            </w:r>
            <w:r>
              <w:rPr>
                <w:rFonts w:ascii="仿宋" w:eastAsia="仿宋" w:hAnsi="仿宋" w:cs="仿宋" w:hint="eastAsia"/>
              </w:rPr>
              <w:t>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lang w:val="en-US"/>
              </w:rPr>
            </w:pPr>
            <w:r>
              <w:rPr>
                <w:rFonts w:ascii="仿宋" w:eastAsia="仿宋" w:hAnsi="仿宋" w:cs="仿宋" w:hint="eastAsia"/>
              </w:rPr>
              <w:t>53.72</w:t>
            </w: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lang w:val="en-US"/>
              </w:rPr>
            </w:pPr>
            <w:r>
              <w:rPr>
                <w:rFonts w:ascii="仿宋" w:eastAsia="仿宋" w:hAnsi="仿宋" w:cs="仿宋" w:hint="eastAsia"/>
              </w:rPr>
              <w:t>3,354.16</w:t>
            </w: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（十八）援助其他地区支出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lang w:val="en-US"/>
              </w:rPr>
            </w:pPr>
            <w:r>
              <w:rPr>
                <w:rFonts w:ascii="仿宋" w:eastAsia="仿宋" w:hAnsi="仿宋" w:cs="仿宋" w:hint="eastAsia"/>
              </w:rPr>
              <w:t>1,447.80</w:t>
            </w: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（三十）抗疫特别国债安排的支出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lang w:val="en-US"/>
              </w:rPr>
            </w:pPr>
          </w:p>
        </w:tc>
      </w:tr>
      <w:tr w:rsidR="00A01E05">
        <w:trPr>
          <w:cantSplit/>
          <w:trHeight w:hRule="exact" w:val="296"/>
        </w:trPr>
        <w:tc>
          <w:tcPr>
            <w:tcW w:w="3987"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rsidR="00A01E05" w:rsidRDefault="00C32B94">
            <w:pPr>
              <w:jc w:val="right"/>
              <w:rPr>
                <w:rFonts w:ascii="仿宋" w:eastAsia="仿宋" w:hAnsi="仿宋" w:cs="仿宋"/>
              </w:rPr>
            </w:pPr>
            <w:r>
              <w:rPr>
                <w:rFonts w:ascii="仿宋" w:eastAsia="仿宋" w:hAnsi="仿宋" w:cs="仿宋" w:hint="eastAsia"/>
              </w:rPr>
              <w:t>5,086.90</w:t>
            </w:r>
          </w:p>
        </w:tc>
        <w:tc>
          <w:tcPr>
            <w:tcW w:w="3943"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rsidR="00A01E05" w:rsidRDefault="00C32B94">
            <w:pPr>
              <w:jc w:val="right"/>
              <w:rPr>
                <w:rFonts w:ascii="仿宋" w:eastAsia="仿宋" w:hAnsi="仿宋" w:cs="仿宋"/>
              </w:rPr>
            </w:pPr>
            <w:r>
              <w:rPr>
                <w:rFonts w:ascii="仿宋" w:eastAsia="仿宋" w:hAnsi="仿宋" w:cs="仿宋" w:hint="eastAsia"/>
              </w:rPr>
              <w:t>5,086.90</w:t>
            </w:r>
          </w:p>
        </w:tc>
      </w:tr>
    </w:tbl>
    <w:p w:rsidR="00A01E05" w:rsidRDefault="00A01E05">
      <w:pPr>
        <w:ind w:leftChars="-100" w:left="-220"/>
        <w:rPr>
          <w:rFonts w:ascii="仿宋" w:eastAsia="仿宋" w:hAnsi="仿宋" w:cs="仿宋"/>
          <w:b/>
          <w:bCs/>
        </w:rPr>
        <w:sectPr w:rsidR="00A01E05">
          <w:footerReference w:type="default" r:id="rId18"/>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846"/>
        <w:gridCol w:w="4213"/>
        <w:gridCol w:w="2040"/>
        <w:gridCol w:w="1827"/>
        <w:gridCol w:w="1813"/>
        <w:gridCol w:w="1813"/>
        <w:gridCol w:w="1664"/>
      </w:tblGrid>
      <w:tr w:rsidR="00A01E05">
        <w:trPr>
          <w:cantSplit/>
          <w:trHeight w:val="321"/>
        </w:trPr>
        <w:tc>
          <w:tcPr>
            <w:tcW w:w="15216" w:type="dxa"/>
            <w:gridSpan w:val="7"/>
            <w:vAlign w:val="center"/>
          </w:tcPr>
          <w:p w:rsidR="00A01E05" w:rsidRDefault="00C32B94">
            <w:pPr>
              <w:pStyle w:val="TableParagraph"/>
              <w:spacing w:after="34" w:line="34" w:lineRule="atLeast"/>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05</w:t>
            </w:r>
            <w:r>
              <w:rPr>
                <w:rFonts w:ascii="仿宋" w:eastAsia="仿宋" w:hAnsi="仿宋" w:cs="仿宋" w:hint="eastAsia"/>
              </w:rPr>
              <w:t>表</w:t>
            </w:r>
          </w:p>
        </w:tc>
      </w:tr>
      <w:tr w:rsidR="00A01E05">
        <w:trPr>
          <w:cantSplit/>
          <w:trHeight w:val="321"/>
        </w:trPr>
        <w:tc>
          <w:tcPr>
            <w:tcW w:w="15216" w:type="dxa"/>
            <w:gridSpan w:val="7"/>
          </w:tcPr>
          <w:p w:rsidR="00A01E05" w:rsidRDefault="00C32B94">
            <w:pPr>
              <w:pStyle w:val="TableParagraph"/>
              <w:spacing w:after="34" w:line="34" w:lineRule="atLeast"/>
              <w:jc w:val="center"/>
              <w:rPr>
                <w:rFonts w:ascii="仿宋" w:eastAsia="仿宋" w:hAnsi="仿宋" w:cs="仿宋"/>
                <w:sz w:val="27"/>
              </w:rPr>
            </w:pPr>
            <w:r>
              <w:rPr>
                <w:rFonts w:ascii="仿宋" w:eastAsia="仿宋" w:hAnsi="仿宋" w:cs="仿宋" w:hint="eastAsia"/>
                <w:b/>
                <w:bCs/>
                <w:sz w:val="44"/>
                <w:szCs w:val="44"/>
              </w:rPr>
              <w:t>财政拨款支出表（功能科目）</w:t>
            </w:r>
          </w:p>
        </w:tc>
      </w:tr>
      <w:tr w:rsidR="00A01E05">
        <w:trPr>
          <w:cantSplit/>
          <w:trHeight w:val="309"/>
        </w:trPr>
        <w:tc>
          <w:tcPr>
            <w:tcW w:w="13552" w:type="dxa"/>
            <w:gridSpan w:val="6"/>
          </w:tcPr>
          <w:p w:rsidR="00A01E05" w:rsidRDefault="00C32B94">
            <w:pPr>
              <w:pStyle w:val="TableParagraph"/>
              <w:spacing w:after="34" w:line="34" w:lineRule="atLeast"/>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1664" w:type="dxa"/>
            <w:vAlign w:val="center"/>
          </w:tcPr>
          <w:p w:rsidR="00A01E05" w:rsidRDefault="00C32B94">
            <w:pPr>
              <w:pStyle w:val="TableParagraph"/>
              <w:spacing w:after="34" w:line="34" w:lineRule="atLeast"/>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A01E05">
        <w:trPr>
          <w:cantSplit/>
          <w:trHeight w:val="319"/>
        </w:trPr>
        <w:tc>
          <w:tcPr>
            <w:tcW w:w="1846" w:type="dxa"/>
            <w:vMerge w:val="restart"/>
            <w:tcBorders>
              <w:top w:val="single" w:sz="6" w:space="0" w:color="000000"/>
              <w:left w:val="single" w:sz="6"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r>
      <w:tr w:rsidR="00A01E05">
        <w:trPr>
          <w:cantSplit/>
          <w:trHeight w:val="296"/>
        </w:trPr>
        <w:tc>
          <w:tcPr>
            <w:tcW w:w="1846" w:type="dxa"/>
            <w:vMerge/>
            <w:tcBorders>
              <w:left w:val="single" w:sz="6" w:space="0" w:color="000000"/>
              <w:bottom w:val="single" w:sz="6" w:space="0" w:color="000000"/>
            </w:tcBorders>
            <w:vAlign w:val="center"/>
          </w:tcPr>
          <w:p w:rsidR="00A01E05" w:rsidRDefault="00A01E05">
            <w:pPr>
              <w:pStyle w:val="TableParagraph"/>
              <w:spacing w:after="34" w:line="34" w:lineRule="atLeast"/>
              <w:jc w:val="center"/>
              <w:rPr>
                <w:rFonts w:ascii="仿宋" w:eastAsia="仿宋" w:hAnsi="仿宋" w:cs="仿宋"/>
              </w:rPr>
            </w:pPr>
          </w:p>
        </w:tc>
        <w:tc>
          <w:tcPr>
            <w:tcW w:w="4213" w:type="dxa"/>
            <w:vMerge/>
            <w:tcBorders>
              <w:left w:val="single" w:sz="6" w:space="0" w:color="000000"/>
              <w:bottom w:val="single" w:sz="6" w:space="0" w:color="000000"/>
            </w:tcBorders>
            <w:vAlign w:val="center"/>
          </w:tcPr>
          <w:p w:rsidR="00A01E05" w:rsidRDefault="00A01E05">
            <w:pPr>
              <w:pStyle w:val="TableParagraph"/>
              <w:spacing w:after="34" w:line="34" w:lineRule="atLeast"/>
              <w:jc w:val="center"/>
              <w:rPr>
                <w:rFonts w:ascii="仿宋" w:eastAsia="仿宋" w:hAnsi="仿宋" w:cs="仿宋"/>
              </w:rPr>
            </w:pPr>
          </w:p>
        </w:tc>
        <w:tc>
          <w:tcPr>
            <w:tcW w:w="2040" w:type="dxa"/>
            <w:vMerge/>
            <w:tcBorders>
              <w:left w:val="single" w:sz="6" w:space="0" w:color="000000"/>
              <w:bottom w:val="single" w:sz="6" w:space="0" w:color="000000"/>
            </w:tcBorders>
          </w:tcPr>
          <w:p w:rsidR="00A01E05" w:rsidRDefault="00A01E05">
            <w:pPr>
              <w:spacing w:after="34" w:line="34" w:lineRule="atLeast"/>
              <w:rPr>
                <w:rFonts w:ascii="仿宋" w:eastAsia="仿宋" w:hAnsi="仿宋" w:cs="仿宋"/>
              </w:rPr>
            </w:pPr>
          </w:p>
        </w:tc>
        <w:tc>
          <w:tcPr>
            <w:tcW w:w="1827" w:type="dxa"/>
            <w:tcBorders>
              <w:left w:val="single" w:sz="6" w:space="0" w:color="000000"/>
              <w:bottom w:val="single" w:sz="6" w:space="0" w:color="000000"/>
            </w:tcBorders>
            <w:vAlign w:val="center"/>
          </w:tcPr>
          <w:p w:rsidR="00A01E05" w:rsidRDefault="00C32B94">
            <w:pPr>
              <w:widowControl/>
              <w:spacing w:after="34" w:line="34" w:lineRule="atLeast"/>
              <w:jc w:val="center"/>
              <w:rPr>
                <w:rFonts w:ascii="仿宋" w:eastAsia="仿宋" w:hAnsi="仿宋" w:cs="仿宋"/>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rsidR="00A01E05" w:rsidRDefault="00C32B94">
            <w:pPr>
              <w:widowControl/>
              <w:spacing w:after="34" w:line="34" w:lineRule="atLeast"/>
              <w:jc w:val="center"/>
              <w:rPr>
                <w:rFonts w:ascii="仿宋" w:eastAsia="仿宋" w:hAnsi="仿宋" w:cs="仿宋"/>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rsidR="00A01E05" w:rsidRDefault="00C32B94">
            <w:pPr>
              <w:widowControl/>
              <w:spacing w:after="34" w:line="34" w:lineRule="atLeast"/>
              <w:jc w:val="center"/>
              <w:rPr>
                <w:rFonts w:ascii="仿宋" w:eastAsia="仿宋" w:hAnsi="仿宋" w:cs="仿宋"/>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rsidR="00A01E05" w:rsidRDefault="00A01E05">
            <w:pPr>
              <w:spacing w:after="34" w:line="34" w:lineRule="atLeast"/>
              <w:rPr>
                <w:rFonts w:ascii="仿宋" w:eastAsia="仿宋" w:hAnsi="仿宋" w:cs="仿宋"/>
              </w:rPr>
            </w:pPr>
          </w:p>
        </w:tc>
      </w:tr>
      <w:tr w:rsidR="00A01E05">
        <w:trPr>
          <w:cantSplit/>
          <w:trHeight w:hRule="exact" w:val="350"/>
        </w:trPr>
        <w:tc>
          <w:tcPr>
            <w:tcW w:w="6059" w:type="dxa"/>
            <w:gridSpan w:val="2"/>
            <w:tcBorders>
              <w:left w:val="single" w:sz="6" w:space="0" w:color="000000"/>
              <w:bottom w:val="single" w:sz="6" w:space="0" w:color="000000"/>
            </w:tcBorders>
            <w:vAlign w:val="center"/>
          </w:tcPr>
          <w:p w:rsidR="00A01E05" w:rsidRDefault="00C32B94">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2040" w:type="dxa"/>
            <w:tcBorders>
              <w:left w:val="single" w:sz="6" w:space="0" w:color="000000"/>
              <w:bottom w:val="single" w:sz="6" w:space="0" w:color="000000"/>
            </w:tcBorders>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5,086.90</w:t>
            </w:r>
          </w:p>
        </w:tc>
        <w:tc>
          <w:tcPr>
            <w:tcW w:w="1827" w:type="dxa"/>
            <w:tcBorders>
              <w:left w:val="single" w:sz="6" w:space="0" w:color="000000"/>
              <w:bottom w:val="single" w:sz="6" w:space="0" w:color="000000"/>
            </w:tcBorders>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4,772.66</w:t>
            </w:r>
          </w:p>
        </w:tc>
        <w:tc>
          <w:tcPr>
            <w:tcW w:w="1813" w:type="dxa"/>
            <w:tcBorders>
              <w:left w:val="single" w:sz="6" w:space="0" w:color="000000"/>
              <w:bottom w:val="single" w:sz="6" w:space="0" w:color="000000"/>
            </w:tcBorders>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4,465.42</w:t>
            </w:r>
          </w:p>
        </w:tc>
        <w:tc>
          <w:tcPr>
            <w:tcW w:w="1813" w:type="dxa"/>
            <w:tcBorders>
              <w:left w:val="single" w:sz="6" w:space="0" w:color="000000"/>
              <w:bottom w:val="single" w:sz="6" w:space="0" w:color="000000"/>
            </w:tcBorders>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307.24</w:t>
            </w:r>
          </w:p>
        </w:tc>
        <w:tc>
          <w:tcPr>
            <w:tcW w:w="1664" w:type="dxa"/>
            <w:tcBorders>
              <w:left w:val="single" w:sz="6" w:space="0" w:color="000000"/>
              <w:bottom w:val="single" w:sz="6" w:space="0" w:color="000000"/>
              <w:right w:val="single" w:sz="6" w:space="0" w:color="000000"/>
            </w:tcBorders>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314.24</w:t>
            </w: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201</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一般公共服务支出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165.70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135.70</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112.14</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23.56</w:t>
            </w: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30.00</w:t>
            </w: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20103</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政府办公厅（室）及相关机构事务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135.70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135.70</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112.14</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23.56</w:t>
            </w: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2010301</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135.70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135.70</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112.14</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23.56</w:t>
            </w: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20199</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其他一般公共服务支出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30.00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30.00</w:t>
            </w: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2019999</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其他一般公共服务支出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30.00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30.00</w:t>
            </w: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208</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65.52</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65.52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65.52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20805</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行政事业单位养老支出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65.52</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65.52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65.52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2080501</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行政单位离退休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62.53</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62.53</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62.53</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2080502</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事业单位离退休</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2.99</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2.99</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2.99</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210</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卫生健康支出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53.72</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53.72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53.72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21011</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行政事业单位医疗</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53.72</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53.72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53.72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2101103</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公务员医疗补助</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53.72</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53.72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53.72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215</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资源勘探工业信息等支出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3,354.16</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3,069.92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2,786.24</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283.68</w:t>
            </w: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284.24</w:t>
            </w: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21505</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工业和信息产业监管</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3,342.16</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3,069.92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2,786.24</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283.68</w:t>
            </w: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272.24</w:t>
            </w: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2150501</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2,430.80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2,430.80</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2,197.34</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233.46</w:t>
            </w: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2150502</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一般行政管理事务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204.55</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204.55</w:t>
            </w: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2150599</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其他工业和信息产业监管支出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706.81</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639.12</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588.90</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50.22</w:t>
            </w: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67.69</w:t>
            </w: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lastRenderedPageBreak/>
              <w:t>21508</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支持中小企业发展和管理支出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12.00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12.00</w:t>
            </w: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2150899</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其他支持中小企业发展和管理支出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12.00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12.00</w:t>
            </w: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221</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住房保障支出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1,447.80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1,447.80</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1,447.80</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22102</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住房改革支出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1,447.80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1,447.80</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1,447.80</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2210201</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住房公积金</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329.88</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329.88</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329.88</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2210202</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提租补贴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786.34</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786.34</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786.34</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r w:rsidR="00A01E05">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2210203</w:t>
            </w:r>
          </w:p>
        </w:tc>
        <w:tc>
          <w:tcPr>
            <w:tcW w:w="42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rPr>
                <w:rFonts w:ascii="仿宋" w:eastAsia="仿宋" w:hAnsi="仿宋" w:cs="仿宋"/>
              </w:rPr>
            </w:pPr>
            <w:r>
              <w:rPr>
                <w:rFonts w:ascii="仿宋" w:eastAsia="仿宋" w:hAnsi="仿宋" w:cs="仿宋" w:hint="eastAsia"/>
              </w:rPr>
              <w:t>购房补贴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331.58</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331.58</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spacing w:after="34" w:line="34" w:lineRule="atLeast"/>
              <w:jc w:val="right"/>
              <w:rPr>
                <w:rFonts w:ascii="仿宋" w:eastAsia="仿宋" w:hAnsi="仿宋" w:cs="仿宋"/>
              </w:rPr>
            </w:pPr>
            <w:r>
              <w:rPr>
                <w:rFonts w:ascii="仿宋" w:eastAsia="仿宋" w:hAnsi="仿宋" w:cs="仿宋" w:hint="eastAsia"/>
              </w:rPr>
              <w:t>331.58</w:t>
            </w:r>
          </w:p>
        </w:tc>
        <w:tc>
          <w:tcPr>
            <w:tcW w:w="181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spacing w:after="34" w:line="34" w:lineRule="atLeast"/>
              <w:jc w:val="right"/>
              <w:rPr>
                <w:rFonts w:ascii="仿宋" w:eastAsia="仿宋" w:hAnsi="仿宋" w:cs="仿宋"/>
              </w:rPr>
            </w:pPr>
          </w:p>
        </w:tc>
      </w:tr>
    </w:tbl>
    <w:p w:rsidR="00A01E05" w:rsidRDefault="00A01E05">
      <w:pPr>
        <w:tabs>
          <w:tab w:val="left" w:pos="55"/>
        </w:tabs>
        <w:jc w:val="both"/>
        <w:rPr>
          <w:rFonts w:ascii="仿宋" w:eastAsia="仿宋" w:hAnsi="仿宋" w:cs="仿宋"/>
          <w:b/>
          <w:bCs/>
        </w:rPr>
        <w:sectPr w:rsidR="00A01E05">
          <w:footerReference w:type="default" r:id="rId19"/>
          <w:pgSz w:w="16838" w:h="11906" w:orient="landscape"/>
          <w:pgMar w:top="720" w:right="720" w:bottom="720" w:left="720" w:header="170" w:footer="280" w:gutter="0"/>
          <w:pgNumType w:fmt="numberInDash"/>
          <w:cols w:space="720"/>
          <w:formProt w:val="0"/>
          <w:docGrid w:linePitch="100"/>
        </w:sectPr>
      </w:pPr>
    </w:p>
    <w:p w:rsidR="00A01E05" w:rsidRDefault="00A01E05">
      <w:pPr>
        <w:rPr>
          <w:rFonts w:ascii="仿宋" w:eastAsia="仿宋" w:hAnsi="仿宋" w:cs="仿宋"/>
          <w:sz w:val="20"/>
        </w:rPr>
      </w:pPr>
    </w:p>
    <w:tbl>
      <w:tblPr>
        <w:tblW w:w="10817" w:type="dxa"/>
        <w:tblInd w:w="-103" w:type="dxa"/>
        <w:tblLayout w:type="fixed"/>
        <w:tblCellMar>
          <w:top w:w="55" w:type="dxa"/>
          <w:left w:w="55" w:type="dxa"/>
          <w:bottom w:w="55" w:type="dxa"/>
          <w:right w:w="55" w:type="dxa"/>
        </w:tblCellMar>
        <w:tblLook w:val="04A0"/>
      </w:tblPr>
      <w:tblGrid>
        <w:gridCol w:w="1131"/>
        <w:gridCol w:w="3542"/>
        <w:gridCol w:w="2047"/>
        <w:gridCol w:w="2040"/>
        <w:gridCol w:w="2057"/>
      </w:tblGrid>
      <w:tr w:rsidR="00A01E05">
        <w:trPr>
          <w:cantSplit/>
          <w:trHeight w:val="319"/>
        </w:trPr>
        <w:tc>
          <w:tcPr>
            <w:tcW w:w="10817" w:type="dxa"/>
            <w:gridSpan w:val="5"/>
            <w:vAlign w:val="center"/>
          </w:tcPr>
          <w:p w:rsidR="00A01E05" w:rsidRDefault="00C32B94">
            <w:pPr>
              <w:pStyle w:val="TableParagraph"/>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A01E05">
        <w:trPr>
          <w:cantSplit/>
          <w:trHeight w:val="319"/>
        </w:trPr>
        <w:tc>
          <w:tcPr>
            <w:tcW w:w="10817" w:type="dxa"/>
            <w:gridSpan w:val="5"/>
          </w:tcPr>
          <w:p w:rsidR="00A01E05" w:rsidRDefault="00C32B94">
            <w:pPr>
              <w:pStyle w:val="TableParagraph"/>
              <w:jc w:val="center"/>
              <w:rPr>
                <w:rFonts w:ascii="仿宋" w:eastAsia="仿宋" w:hAnsi="仿宋" w:cs="仿宋"/>
                <w:sz w:val="20"/>
              </w:rPr>
            </w:pPr>
            <w:r>
              <w:rPr>
                <w:rFonts w:ascii="仿宋" w:eastAsia="仿宋" w:hAnsi="仿宋" w:cs="仿宋" w:hint="eastAsia"/>
                <w:b/>
                <w:bCs/>
                <w:sz w:val="44"/>
                <w:szCs w:val="44"/>
              </w:rPr>
              <w:t>财政拨款基本支出表（经济科目）</w:t>
            </w:r>
          </w:p>
        </w:tc>
      </w:tr>
      <w:tr w:rsidR="00A01E05">
        <w:trPr>
          <w:cantSplit/>
          <w:trHeight w:val="319"/>
        </w:trPr>
        <w:tc>
          <w:tcPr>
            <w:tcW w:w="8760" w:type="dxa"/>
            <w:gridSpan w:val="4"/>
          </w:tcPr>
          <w:p w:rsidR="00A01E05" w:rsidRDefault="00C32B94">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2057" w:type="dxa"/>
            <w:vAlign w:val="center"/>
          </w:tcPr>
          <w:p w:rsidR="00A01E05" w:rsidRDefault="00C32B94">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A01E05">
        <w:trPr>
          <w:cantSplit/>
          <w:trHeight w:val="243"/>
        </w:trPr>
        <w:tc>
          <w:tcPr>
            <w:tcW w:w="4673" w:type="dxa"/>
            <w:gridSpan w:val="2"/>
            <w:tcBorders>
              <w:top w:val="single" w:sz="4" w:space="0" w:color="000000"/>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center"/>
              <w:rPr>
                <w:rFonts w:ascii="仿宋" w:eastAsia="仿宋" w:hAnsi="仿宋" w:cs="仿宋"/>
                <w:sz w:val="20"/>
              </w:rPr>
            </w:pPr>
            <w:r>
              <w:rPr>
                <w:rFonts w:ascii="仿宋" w:eastAsia="仿宋" w:hAnsi="仿宋" w:cs="仿宋" w:hint="eastAsia"/>
              </w:rPr>
              <w:t>本年财政拨款基本支出</w:t>
            </w:r>
          </w:p>
        </w:tc>
      </w:tr>
      <w:tr w:rsidR="00A01E05">
        <w:trPr>
          <w:cantSplit/>
          <w:trHeight w:val="267"/>
        </w:trPr>
        <w:tc>
          <w:tcPr>
            <w:tcW w:w="1131"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公用经费</w:t>
            </w:r>
          </w:p>
        </w:tc>
      </w:tr>
      <w:tr w:rsidR="00A01E05">
        <w:trPr>
          <w:cantSplit/>
          <w:trHeight w:hRule="exact" w:val="350"/>
        </w:trPr>
        <w:tc>
          <w:tcPr>
            <w:tcW w:w="4673" w:type="dxa"/>
            <w:gridSpan w:val="2"/>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4,772.66</w:t>
            </w:r>
          </w:p>
        </w:tc>
        <w:tc>
          <w:tcPr>
            <w:tcW w:w="2040" w:type="dxa"/>
            <w:tcBorders>
              <w:left w:val="single" w:sz="4" w:space="0" w:color="000000"/>
              <w:bottom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4,465.42</w:t>
            </w:r>
          </w:p>
        </w:tc>
        <w:tc>
          <w:tcPr>
            <w:tcW w:w="2057" w:type="dxa"/>
            <w:tcBorders>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307.24</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3,991.77</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3,991.77</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605.06</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605.06</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1,395.22</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1,395.22</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843.83</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843.83</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189.05</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189.05</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318.00</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318.00</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159.01</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159.01</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94.53</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94.53</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3.47</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3.47</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329.88</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329.88</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307.24</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307.24</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55.30</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55.30</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1.75</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1.75</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4.55</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4.55</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113.70</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113.70</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3.45</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3.45</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7.75</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7.75</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7.40</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7.40</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21.60</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21.60</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3.00</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3.00</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10.50</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10.50</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77.94</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77.94</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0.30</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0.30</w:t>
            </w: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473.65</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473.65</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68.15</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68.15</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400.68</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400.68</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0.13</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0.13</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4.69</w:t>
            </w:r>
          </w:p>
        </w:tc>
        <w:tc>
          <w:tcPr>
            <w:tcW w:w="2040"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4.69</w:t>
            </w:r>
          </w:p>
        </w:tc>
        <w:tc>
          <w:tcPr>
            <w:tcW w:w="2057"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bl>
    <w:p w:rsidR="00A01E05" w:rsidRDefault="00A01E05">
      <w:pPr>
        <w:spacing w:line="255" w:lineRule="exact"/>
        <w:rPr>
          <w:rFonts w:ascii="仿宋" w:eastAsia="仿宋" w:hAnsi="仿宋" w:cs="仿宋"/>
          <w:b/>
          <w:bCs/>
        </w:rPr>
        <w:sectPr w:rsidR="00A01E05">
          <w:footerReference w:type="default" r:id="rId20"/>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792"/>
        <w:gridCol w:w="4307"/>
        <w:gridCol w:w="1960"/>
        <w:gridCol w:w="1693"/>
        <w:gridCol w:w="1987"/>
        <w:gridCol w:w="1827"/>
        <w:gridCol w:w="1650"/>
      </w:tblGrid>
      <w:tr w:rsidR="00A01E05">
        <w:trPr>
          <w:cantSplit/>
          <w:trHeight w:val="321"/>
        </w:trPr>
        <w:tc>
          <w:tcPr>
            <w:tcW w:w="15216" w:type="dxa"/>
            <w:gridSpan w:val="7"/>
            <w:vAlign w:val="center"/>
          </w:tcPr>
          <w:p w:rsidR="00A01E05" w:rsidRDefault="00C32B94">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w:t>
            </w:r>
            <w:r>
              <w:rPr>
                <w:rFonts w:ascii="仿宋" w:eastAsia="仿宋" w:hAnsi="仿宋" w:cs="仿宋" w:hint="eastAsia"/>
                <w:lang w:val="en-US"/>
              </w:rPr>
              <w:t>7</w:t>
            </w:r>
            <w:r>
              <w:rPr>
                <w:rFonts w:ascii="仿宋" w:eastAsia="仿宋" w:hAnsi="仿宋" w:cs="仿宋" w:hint="eastAsia"/>
              </w:rPr>
              <w:t>表</w:t>
            </w:r>
          </w:p>
        </w:tc>
      </w:tr>
      <w:tr w:rsidR="00A01E05">
        <w:trPr>
          <w:cantSplit/>
          <w:trHeight w:val="321"/>
        </w:trPr>
        <w:tc>
          <w:tcPr>
            <w:tcW w:w="15216" w:type="dxa"/>
            <w:gridSpan w:val="7"/>
          </w:tcPr>
          <w:p w:rsidR="00A01E05" w:rsidRDefault="00C32B94">
            <w:pPr>
              <w:pStyle w:val="TableParagraph"/>
              <w:jc w:val="center"/>
              <w:rPr>
                <w:rFonts w:ascii="仿宋" w:eastAsia="仿宋" w:hAnsi="仿宋" w:cs="仿宋"/>
                <w:sz w:val="27"/>
              </w:rPr>
            </w:pPr>
            <w:r>
              <w:rPr>
                <w:rFonts w:ascii="仿宋" w:eastAsia="仿宋" w:hAnsi="仿宋" w:cs="仿宋" w:hint="eastAsia"/>
                <w:b/>
                <w:bCs/>
                <w:sz w:val="44"/>
                <w:szCs w:val="44"/>
              </w:rPr>
              <w:t>一般公共预算支出表</w:t>
            </w:r>
          </w:p>
        </w:tc>
      </w:tr>
      <w:tr w:rsidR="00A01E05">
        <w:trPr>
          <w:cantSplit/>
          <w:trHeight w:val="288"/>
        </w:trPr>
        <w:tc>
          <w:tcPr>
            <w:tcW w:w="13566" w:type="dxa"/>
            <w:gridSpan w:val="6"/>
          </w:tcPr>
          <w:p w:rsidR="00A01E05" w:rsidRDefault="00C32B94">
            <w:pPr>
              <w:pStyle w:val="TableParagraph"/>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1650" w:type="dxa"/>
            <w:vAlign w:val="center"/>
          </w:tcPr>
          <w:p w:rsidR="00A01E05" w:rsidRDefault="00C32B94">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A01E05">
        <w:trPr>
          <w:cantSplit/>
          <w:trHeight w:val="319"/>
        </w:trPr>
        <w:tc>
          <w:tcPr>
            <w:tcW w:w="1792" w:type="dxa"/>
            <w:vMerge w:val="restart"/>
            <w:tcBorders>
              <w:top w:val="single" w:sz="6" w:space="0" w:color="000000"/>
              <w:left w:val="single" w:sz="6"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项目支出</w:t>
            </w:r>
          </w:p>
        </w:tc>
      </w:tr>
      <w:tr w:rsidR="00A01E05">
        <w:trPr>
          <w:cantSplit/>
          <w:trHeight w:val="341"/>
        </w:trPr>
        <w:tc>
          <w:tcPr>
            <w:tcW w:w="1792" w:type="dxa"/>
            <w:vMerge/>
            <w:tcBorders>
              <w:left w:val="single" w:sz="6" w:space="0" w:color="000000"/>
              <w:bottom w:val="single" w:sz="6" w:space="0" w:color="000000"/>
            </w:tcBorders>
            <w:vAlign w:val="center"/>
          </w:tcPr>
          <w:p w:rsidR="00A01E05" w:rsidRDefault="00A01E05">
            <w:pPr>
              <w:pStyle w:val="TableParagraph"/>
              <w:jc w:val="center"/>
              <w:rPr>
                <w:rFonts w:ascii="仿宋" w:eastAsia="仿宋" w:hAnsi="仿宋" w:cs="仿宋"/>
              </w:rPr>
            </w:pPr>
          </w:p>
        </w:tc>
        <w:tc>
          <w:tcPr>
            <w:tcW w:w="4307" w:type="dxa"/>
            <w:vMerge/>
            <w:tcBorders>
              <w:left w:val="single" w:sz="6" w:space="0" w:color="000000"/>
              <w:bottom w:val="single" w:sz="6" w:space="0" w:color="000000"/>
            </w:tcBorders>
            <w:vAlign w:val="center"/>
          </w:tcPr>
          <w:p w:rsidR="00A01E05" w:rsidRDefault="00A01E05">
            <w:pPr>
              <w:pStyle w:val="TableParagraph"/>
              <w:jc w:val="center"/>
              <w:rPr>
                <w:rFonts w:ascii="仿宋" w:eastAsia="仿宋" w:hAnsi="仿宋" w:cs="仿宋"/>
              </w:rPr>
            </w:pPr>
          </w:p>
        </w:tc>
        <w:tc>
          <w:tcPr>
            <w:tcW w:w="1960" w:type="dxa"/>
            <w:vMerge/>
            <w:tcBorders>
              <w:left w:val="single" w:sz="6" w:space="0" w:color="000000"/>
              <w:bottom w:val="single" w:sz="6" w:space="0" w:color="000000"/>
            </w:tcBorders>
          </w:tcPr>
          <w:p w:rsidR="00A01E05" w:rsidRDefault="00A01E05">
            <w:pPr>
              <w:rPr>
                <w:rFonts w:ascii="仿宋" w:eastAsia="仿宋" w:hAnsi="仿宋" w:cs="仿宋"/>
              </w:rPr>
            </w:pPr>
          </w:p>
        </w:tc>
        <w:tc>
          <w:tcPr>
            <w:tcW w:w="1693" w:type="dxa"/>
            <w:tcBorders>
              <w:left w:val="single" w:sz="6" w:space="0" w:color="000000"/>
              <w:bottom w:val="single" w:sz="6" w:space="0" w:color="000000"/>
            </w:tcBorders>
            <w:vAlign w:val="center"/>
          </w:tcPr>
          <w:p w:rsidR="00A01E05" w:rsidRDefault="00C32B94">
            <w:pPr>
              <w:widowControl/>
              <w:jc w:val="center"/>
              <w:rPr>
                <w:rFonts w:ascii="仿宋" w:eastAsia="仿宋" w:hAnsi="仿宋" w:cs="仿宋"/>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rsidR="00A01E05" w:rsidRDefault="00C32B94">
            <w:pPr>
              <w:widowControl/>
              <w:jc w:val="center"/>
              <w:rPr>
                <w:rFonts w:ascii="仿宋" w:eastAsia="仿宋" w:hAnsi="仿宋" w:cs="仿宋"/>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rsidR="00A01E05" w:rsidRDefault="00C32B94">
            <w:pPr>
              <w:widowControl/>
              <w:jc w:val="center"/>
              <w:rPr>
                <w:rFonts w:ascii="仿宋" w:eastAsia="仿宋" w:hAnsi="仿宋" w:cs="仿宋"/>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rsidR="00A01E05" w:rsidRDefault="00A01E05">
            <w:pPr>
              <w:rPr>
                <w:rFonts w:ascii="仿宋" w:eastAsia="仿宋" w:hAnsi="仿宋" w:cs="仿宋"/>
              </w:rPr>
            </w:pPr>
          </w:p>
        </w:tc>
      </w:tr>
      <w:tr w:rsidR="00A01E05">
        <w:trPr>
          <w:cantSplit/>
          <w:trHeight w:hRule="exact" w:val="378"/>
        </w:trPr>
        <w:tc>
          <w:tcPr>
            <w:tcW w:w="6099" w:type="dxa"/>
            <w:gridSpan w:val="2"/>
            <w:tcBorders>
              <w:left w:val="single" w:sz="6" w:space="0" w:color="000000"/>
              <w:bottom w:val="single" w:sz="6"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合计</w:t>
            </w:r>
          </w:p>
        </w:tc>
        <w:tc>
          <w:tcPr>
            <w:tcW w:w="1960" w:type="dxa"/>
            <w:tcBorders>
              <w:left w:val="single" w:sz="6" w:space="0" w:color="000000"/>
              <w:bottom w:val="single" w:sz="6"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5,086.90</w:t>
            </w:r>
          </w:p>
        </w:tc>
        <w:tc>
          <w:tcPr>
            <w:tcW w:w="1693" w:type="dxa"/>
            <w:tcBorders>
              <w:left w:val="single" w:sz="6" w:space="0" w:color="000000"/>
              <w:bottom w:val="single" w:sz="6"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4,772.66</w:t>
            </w:r>
          </w:p>
        </w:tc>
        <w:tc>
          <w:tcPr>
            <w:tcW w:w="1987" w:type="dxa"/>
            <w:tcBorders>
              <w:left w:val="single" w:sz="6" w:space="0" w:color="000000"/>
              <w:bottom w:val="single" w:sz="6"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4,465.42</w:t>
            </w:r>
          </w:p>
        </w:tc>
        <w:tc>
          <w:tcPr>
            <w:tcW w:w="1827" w:type="dxa"/>
            <w:tcBorders>
              <w:left w:val="single" w:sz="6" w:space="0" w:color="000000"/>
              <w:bottom w:val="single" w:sz="6"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307.24</w:t>
            </w:r>
          </w:p>
        </w:tc>
        <w:tc>
          <w:tcPr>
            <w:tcW w:w="1650" w:type="dxa"/>
            <w:tcBorders>
              <w:left w:val="single" w:sz="6" w:space="0" w:color="000000"/>
              <w:bottom w:val="single" w:sz="6" w:space="0" w:color="000000"/>
              <w:right w:val="single" w:sz="6" w:space="0" w:color="000000"/>
            </w:tcBorders>
          </w:tcPr>
          <w:p w:rsidR="00A01E05" w:rsidRDefault="00C32B94">
            <w:pPr>
              <w:pStyle w:val="TableParagraph"/>
              <w:jc w:val="right"/>
              <w:rPr>
                <w:rFonts w:ascii="仿宋" w:eastAsia="仿宋" w:hAnsi="仿宋" w:cs="仿宋"/>
              </w:rPr>
            </w:pPr>
            <w:r>
              <w:rPr>
                <w:rFonts w:ascii="仿宋" w:eastAsia="仿宋" w:hAnsi="仿宋" w:cs="仿宋" w:hint="eastAsia"/>
              </w:rPr>
              <w:t>314.24</w:t>
            </w: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201</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一般公共服务支出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165.70</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135.70</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112.14</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23.56</w:t>
            </w: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30.00</w:t>
            </w: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20103</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政府办公厅（室）及相关机构事务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135.70</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135.70</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112.14</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23.56</w:t>
            </w: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2010301</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135.70</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135.70</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112.14</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23.56</w:t>
            </w: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20199</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其他一般公共服务支出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30.00</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30.00</w:t>
            </w: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2019999</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其他一般公共服务支出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30.00</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30.00</w:t>
            </w: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208</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65.52</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65.52</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65.52</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20805</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行政事业单位养老支出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65.52</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65.52</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65.52</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2080501</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行政单位离退休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62.53</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62.53</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62.53</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2080502</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事业单位离退休</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2.99</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2.99</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2.99</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210</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卫生健康支出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21011</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行政事业单位医疗</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2101103</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公务员医疗补助</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215</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资源勘探工业信息等支出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3,354.16</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3,069.92</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2,786.24</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283.68</w:t>
            </w: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284.24</w:t>
            </w: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21505</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工业和信息产业监管</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3,342.16</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3,069.92</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2,786.24</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283.68</w:t>
            </w: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272.24</w:t>
            </w: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2150501</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2,430.80</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2,430.80</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2,197.34</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233.46</w:t>
            </w: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2150502</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一般行政管理事务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204.55</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204.55</w:t>
            </w: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2150599</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其他工业和信息产业监管支出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706.81</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639.12</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588.90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50.22</w:t>
            </w: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67.69</w:t>
            </w: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21508</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支持中小企业发展和管理支出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12.00</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12.00</w:t>
            </w: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lastRenderedPageBreak/>
              <w:t>2150899</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其他支持中小企业发展和管理支出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12.00</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12.00</w:t>
            </w: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221</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住房保障支出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1,447.80</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1,447.80</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1,447.80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22102</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住房改革支出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1,447.80</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1,447.80</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1,447.80</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2210201</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住房公积金</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329.88</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329.88</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329.88</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2210202</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提租补贴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786.34</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786.34</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786.34</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2210203</w:t>
            </w:r>
          </w:p>
        </w:tc>
        <w:tc>
          <w:tcPr>
            <w:tcW w:w="430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购房补贴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331.58</w:t>
            </w:r>
          </w:p>
        </w:tc>
        <w:tc>
          <w:tcPr>
            <w:tcW w:w="1693"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331.58</w:t>
            </w:r>
          </w:p>
        </w:tc>
        <w:tc>
          <w:tcPr>
            <w:tcW w:w="1987" w:type="dxa"/>
            <w:tcBorders>
              <w:top w:val="single" w:sz="6" w:space="0" w:color="000000"/>
              <w:left w:val="single" w:sz="4" w:space="0" w:color="000000"/>
              <w:bottom w:val="single" w:sz="6"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331.58</w:t>
            </w:r>
          </w:p>
        </w:tc>
        <w:tc>
          <w:tcPr>
            <w:tcW w:w="1827" w:type="dxa"/>
            <w:tcBorders>
              <w:top w:val="single" w:sz="6" w:space="0" w:color="000000"/>
              <w:left w:val="single" w:sz="4" w:space="0" w:color="000000"/>
              <w:bottom w:val="single" w:sz="6"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A01E05" w:rsidRDefault="00A01E05">
            <w:pPr>
              <w:pStyle w:val="TableParagraph"/>
              <w:jc w:val="right"/>
              <w:rPr>
                <w:rFonts w:ascii="仿宋" w:eastAsia="仿宋" w:hAnsi="仿宋" w:cs="仿宋"/>
              </w:rPr>
            </w:pPr>
          </w:p>
        </w:tc>
      </w:tr>
    </w:tbl>
    <w:p w:rsidR="00A01E05" w:rsidRDefault="00A01E05">
      <w:pPr>
        <w:spacing w:before="25"/>
        <w:rPr>
          <w:rFonts w:ascii="仿宋" w:eastAsia="仿宋" w:hAnsi="仿宋" w:cs="仿宋"/>
          <w:b/>
          <w:bCs/>
        </w:rPr>
        <w:sectPr w:rsidR="00A01E05">
          <w:footerReference w:type="default" r:id="rId21"/>
          <w:pgSz w:w="16838" w:h="11906" w:orient="landscape"/>
          <w:pgMar w:top="720" w:right="720" w:bottom="720" w:left="720" w:header="170" w:footer="280" w:gutter="0"/>
          <w:pgNumType w:fmt="numberInDash"/>
          <w:cols w:space="720"/>
          <w:formProt w:val="0"/>
          <w:docGrid w:linePitch="100"/>
        </w:sectPr>
      </w:pPr>
    </w:p>
    <w:tbl>
      <w:tblPr>
        <w:tblW w:w="10954" w:type="dxa"/>
        <w:tblInd w:w="-204" w:type="dxa"/>
        <w:tblLayout w:type="fixed"/>
        <w:tblCellMar>
          <w:top w:w="55" w:type="dxa"/>
          <w:left w:w="55" w:type="dxa"/>
          <w:bottom w:w="55" w:type="dxa"/>
          <w:right w:w="55" w:type="dxa"/>
        </w:tblCellMar>
        <w:tblLook w:val="04A0"/>
      </w:tblPr>
      <w:tblGrid>
        <w:gridCol w:w="1227"/>
        <w:gridCol w:w="3667"/>
        <w:gridCol w:w="2413"/>
        <w:gridCol w:w="1974"/>
        <w:gridCol w:w="1673"/>
      </w:tblGrid>
      <w:tr w:rsidR="00A01E05">
        <w:trPr>
          <w:cantSplit/>
          <w:trHeight w:val="319"/>
        </w:trPr>
        <w:tc>
          <w:tcPr>
            <w:tcW w:w="10954" w:type="dxa"/>
            <w:gridSpan w:val="5"/>
          </w:tcPr>
          <w:p w:rsidR="00A01E05" w:rsidRDefault="00C32B94">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08</w:t>
            </w:r>
            <w:r>
              <w:rPr>
                <w:rFonts w:ascii="仿宋" w:eastAsia="仿宋" w:hAnsi="仿宋" w:cs="仿宋" w:hint="eastAsia"/>
              </w:rPr>
              <w:t>表</w:t>
            </w:r>
          </w:p>
        </w:tc>
      </w:tr>
      <w:tr w:rsidR="00A01E05">
        <w:trPr>
          <w:cantSplit/>
          <w:trHeight w:val="189"/>
        </w:trPr>
        <w:tc>
          <w:tcPr>
            <w:tcW w:w="10954" w:type="dxa"/>
            <w:gridSpan w:val="5"/>
          </w:tcPr>
          <w:p w:rsidR="00A01E05" w:rsidRDefault="00C32B94">
            <w:pPr>
              <w:pStyle w:val="TableParagraph"/>
              <w:jc w:val="center"/>
              <w:rPr>
                <w:rFonts w:ascii="仿宋" w:eastAsia="仿宋" w:hAnsi="仿宋" w:cs="仿宋"/>
                <w:sz w:val="20"/>
              </w:rPr>
            </w:pPr>
            <w:r>
              <w:rPr>
                <w:rFonts w:ascii="仿宋" w:eastAsia="仿宋" w:hAnsi="仿宋" w:cs="仿宋" w:hint="eastAsia"/>
                <w:b/>
                <w:bCs/>
                <w:sz w:val="44"/>
                <w:szCs w:val="44"/>
              </w:rPr>
              <w:t>一般公共预算基本支出表</w:t>
            </w:r>
          </w:p>
        </w:tc>
      </w:tr>
      <w:tr w:rsidR="00A01E05">
        <w:trPr>
          <w:cantSplit/>
          <w:trHeight w:val="138"/>
        </w:trPr>
        <w:tc>
          <w:tcPr>
            <w:tcW w:w="9281" w:type="dxa"/>
            <w:gridSpan w:val="4"/>
            <w:vAlign w:val="center"/>
          </w:tcPr>
          <w:p w:rsidR="00A01E05" w:rsidRDefault="00C32B94">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1673" w:type="dxa"/>
            <w:vAlign w:val="center"/>
          </w:tcPr>
          <w:p w:rsidR="00A01E05" w:rsidRDefault="00C32B94">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A01E05">
        <w:trPr>
          <w:cantSplit/>
          <w:trHeight w:val="180"/>
        </w:trPr>
        <w:tc>
          <w:tcPr>
            <w:tcW w:w="4894" w:type="dxa"/>
            <w:gridSpan w:val="2"/>
            <w:tcBorders>
              <w:top w:val="single" w:sz="4" w:space="0" w:color="000000"/>
              <w:left w:val="single" w:sz="4" w:space="0" w:color="000000"/>
              <w:bottom w:val="single" w:sz="4" w:space="0" w:color="000000"/>
            </w:tcBorders>
            <w:vAlign w:val="center"/>
          </w:tcPr>
          <w:p w:rsidR="00A01E05" w:rsidRDefault="00C32B94">
            <w:pPr>
              <w:jc w:val="center"/>
              <w:rPr>
                <w:rFonts w:ascii="仿宋" w:eastAsia="仿宋" w:hAnsi="仿宋" w:cs="仿宋"/>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rsidR="00A01E05" w:rsidRDefault="00C32B94">
            <w:pPr>
              <w:jc w:val="center"/>
              <w:rPr>
                <w:rFonts w:ascii="仿宋" w:eastAsia="仿宋" w:hAnsi="仿宋" w:cs="仿宋"/>
              </w:rPr>
            </w:pPr>
            <w:r>
              <w:rPr>
                <w:rFonts w:ascii="仿宋" w:eastAsia="仿宋" w:hAnsi="仿宋" w:cs="仿宋" w:hint="eastAsia"/>
              </w:rPr>
              <w:t>本年一般公共预算基本支出</w:t>
            </w:r>
          </w:p>
        </w:tc>
      </w:tr>
      <w:tr w:rsidR="00A01E05">
        <w:trPr>
          <w:cantSplit/>
          <w:trHeight w:val="190"/>
        </w:trPr>
        <w:tc>
          <w:tcPr>
            <w:tcW w:w="1227"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公用经费</w:t>
            </w:r>
          </w:p>
        </w:tc>
      </w:tr>
      <w:tr w:rsidR="00A01E05">
        <w:trPr>
          <w:cantSplit/>
          <w:trHeight w:hRule="exact" w:val="382"/>
        </w:trPr>
        <w:tc>
          <w:tcPr>
            <w:tcW w:w="4894" w:type="dxa"/>
            <w:gridSpan w:val="2"/>
            <w:tcBorders>
              <w:left w:val="single" w:sz="4" w:space="0" w:color="000000"/>
              <w:bottom w:val="single" w:sz="4" w:space="0" w:color="000000"/>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4,772.66</w:t>
            </w:r>
          </w:p>
        </w:tc>
        <w:tc>
          <w:tcPr>
            <w:tcW w:w="1974" w:type="dxa"/>
            <w:tcBorders>
              <w:left w:val="single" w:sz="4" w:space="0" w:color="000000"/>
              <w:bottom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4,465.42</w:t>
            </w:r>
          </w:p>
        </w:tc>
        <w:tc>
          <w:tcPr>
            <w:tcW w:w="1673" w:type="dxa"/>
            <w:tcBorders>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307.24</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3,991.77</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3,991.77</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30101</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基本工资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605.06</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605.06</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30102</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津贴补贴</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1,395.22</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1,395.22</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30103</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奖金</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843.83</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843.83</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30107</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绩效工资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189.05</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189.05</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30108</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机关事业单位基本养老保险缴费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318.00</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318.00</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30109</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职业年金缴费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159.01</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159.01</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30110</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职工基本医疗保险缴费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94.53</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94.53</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30111</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公务员医疗补助缴费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53.72</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30112</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其他社会保障缴费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3.47</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3.47</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30113</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住房公积金</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329.88</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329.88</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307.24</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307.24</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30201</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办公费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55.30</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55.30</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30205</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1.75</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1.75</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30206</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电费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4.55</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4.55</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30211</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差旅费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113.70</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113.70</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30215</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会议费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3.45</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3.45</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30216</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培训费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7.75</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7.75</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30217</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公务接待费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7.40</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7.40</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30228</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工会经费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21.60</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21.60</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30229</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福利费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3.00</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3.00</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30231</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公务用车运行维护费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10.50</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10.50</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30239</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其他交通费用</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77.94</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77.94</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30299</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0.30</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0.30</w:t>
            </w: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303</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473.65</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473.65</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30301</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离休费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68.15</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68.15</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30302</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退休费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400.68</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400.68</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30309</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奖励金</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0.13</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0.13</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r w:rsidR="00A01E05">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30399</w:t>
            </w:r>
          </w:p>
        </w:tc>
        <w:tc>
          <w:tcPr>
            <w:tcW w:w="3667"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rPr>
                <w:rFonts w:ascii="仿宋" w:eastAsia="仿宋" w:hAnsi="仿宋" w:cs="仿宋"/>
              </w:rPr>
            </w:pPr>
            <w:r>
              <w:rPr>
                <w:rFonts w:ascii="仿宋" w:eastAsia="仿宋" w:hAnsi="仿宋" w:cs="仿宋" w:hint="eastAsia"/>
              </w:rPr>
              <w:t>其他对个人和家庭的补助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4.69</w:t>
            </w:r>
          </w:p>
        </w:tc>
        <w:tc>
          <w:tcPr>
            <w:tcW w:w="1974" w:type="dxa"/>
            <w:tcBorders>
              <w:top w:val="single" w:sz="4" w:space="0" w:color="000000"/>
              <w:left w:val="single" w:sz="4" w:space="0" w:color="000000"/>
              <w:bottom w:val="single" w:sz="4" w:space="0" w:color="000000"/>
              <w:right w:val="single" w:sz="4" w:space="0" w:color="000000"/>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4.69</w:t>
            </w:r>
          </w:p>
        </w:tc>
        <w:tc>
          <w:tcPr>
            <w:tcW w:w="1673" w:type="dxa"/>
            <w:tcBorders>
              <w:top w:val="single" w:sz="4" w:space="0" w:color="000000"/>
              <w:left w:val="single" w:sz="4" w:space="0" w:color="000000"/>
              <w:bottom w:val="single" w:sz="4" w:space="0" w:color="000000"/>
              <w:right w:val="single" w:sz="4" w:space="0" w:color="000000"/>
            </w:tcBorders>
            <w:vAlign w:val="center"/>
          </w:tcPr>
          <w:p w:rsidR="00A01E05" w:rsidRDefault="00A01E05">
            <w:pPr>
              <w:pStyle w:val="TableParagraph"/>
              <w:jc w:val="right"/>
              <w:rPr>
                <w:rFonts w:ascii="仿宋" w:eastAsia="仿宋" w:hAnsi="仿宋" w:cs="仿宋"/>
              </w:rPr>
            </w:pPr>
          </w:p>
        </w:tc>
      </w:tr>
    </w:tbl>
    <w:p w:rsidR="00A01E05" w:rsidRDefault="00A01E05">
      <w:pPr>
        <w:spacing w:before="25"/>
        <w:rPr>
          <w:rFonts w:ascii="仿宋" w:eastAsia="仿宋" w:hAnsi="仿宋" w:cs="仿宋"/>
          <w:b/>
          <w:bCs/>
        </w:rPr>
        <w:sectPr w:rsidR="00A01E05">
          <w:footerReference w:type="default" r:id="rId22"/>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tblPr>
      <w:tblGrid>
        <w:gridCol w:w="2471"/>
        <w:gridCol w:w="2332"/>
        <w:gridCol w:w="2037"/>
        <w:gridCol w:w="1697"/>
        <w:gridCol w:w="1680"/>
        <w:gridCol w:w="1852"/>
        <w:gridCol w:w="2057"/>
        <w:gridCol w:w="1783"/>
      </w:tblGrid>
      <w:tr w:rsidR="00A01E05">
        <w:trPr>
          <w:cantSplit/>
          <w:trHeight w:val="321"/>
        </w:trPr>
        <w:tc>
          <w:tcPr>
            <w:tcW w:w="15909" w:type="dxa"/>
            <w:gridSpan w:val="8"/>
          </w:tcPr>
          <w:p w:rsidR="00A01E05" w:rsidRDefault="00C32B94">
            <w:pPr>
              <w:pStyle w:val="TableParagraph"/>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09</w:t>
            </w:r>
            <w:r>
              <w:rPr>
                <w:rFonts w:ascii="仿宋" w:eastAsia="仿宋" w:hAnsi="仿宋" w:cs="仿宋" w:hint="eastAsia"/>
              </w:rPr>
              <w:t>表</w:t>
            </w:r>
          </w:p>
        </w:tc>
      </w:tr>
      <w:tr w:rsidR="00A01E05">
        <w:trPr>
          <w:cantSplit/>
          <w:trHeight w:val="207"/>
        </w:trPr>
        <w:tc>
          <w:tcPr>
            <w:tcW w:w="15909" w:type="dxa"/>
            <w:gridSpan w:val="8"/>
          </w:tcPr>
          <w:p w:rsidR="00A01E05" w:rsidRDefault="00C32B94">
            <w:pPr>
              <w:pStyle w:val="TableParagraph"/>
              <w:jc w:val="center"/>
              <w:rPr>
                <w:rFonts w:ascii="仿宋" w:eastAsia="仿宋" w:hAnsi="仿宋" w:cs="仿宋"/>
                <w:sz w:val="20"/>
              </w:rPr>
            </w:pPr>
            <w:r>
              <w:rPr>
                <w:rFonts w:ascii="仿宋" w:eastAsia="仿宋" w:hAnsi="仿宋" w:cs="仿宋" w:hint="eastAsia"/>
                <w:b/>
                <w:bCs/>
                <w:sz w:val="44"/>
                <w:szCs w:val="44"/>
              </w:rPr>
              <w:t>一般公共预算“三公”经费、会议费、培训费支出表</w:t>
            </w:r>
          </w:p>
        </w:tc>
      </w:tr>
      <w:tr w:rsidR="00A01E05">
        <w:trPr>
          <w:cantSplit/>
          <w:trHeight w:val="103"/>
        </w:trPr>
        <w:tc>
          <w:tcPr>
            <w:tcW w:w="12069" w:type="dxa"/>
            <w:gridSpan w:val="6"/>
            <w:tcBorders>
              <w:bottom w:val="single" w:sz="4" w:space="0" w:color="auto"/>
            </w:tcBorders>
          </w:tcPr>
          <w:p w:rsidR="00A01E05" w:rsidRDefault="00C32B94">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3840" w:type="dxa"/>
            <w:gridSpan w:val="2"/>
            <w:tcBorders>
              <w:bottom w:val="single" w:sz="4" w:space="0" w:color="auto"/>
            </w:tcBorders>
            <w:vAlign w:val="center"/>
          </w:tcPr>
          <w:p w:rsidR="00A01E05" w:rsidRDefault="00C32B94">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A01E05">
        <w:trPr>
          <w:cantSplit/>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sz w:val="20"/>
              </w:rPr>
            </w:pPr>
            <w:r>
              <w:rPr>
                <w:rFonts w:ascii="仿宋" w:eastAsia="仿宋" w:hAnsi="仿宋" w:cs="仿宋" w:hint="eastAsia"/>
              </w:rPr>
              <w:t>培训费</w:t>
            </w:r>
          </w:p>
        </w:tc>
      </w:tr>
      <w:tr w:rsidR="00A01E05">
        <w:trPr>
          <w:cantSplit/>
          <w:trHeight w:hRule="exact" w:val="728"/>
        </w:trPr>
        <w:tc>
          <w:tcPr>
            <w:tcW w:w="2471" w:type="dxa"/>
            <w:vMerge/>
            <w:tcBorders>
              <w:top w:val="single" w:sz="4" w:space="0" w:color="auto"/>
              <w:left w:val="single" w:sz="4" w:space="0" w:color="auto"/>
              <w:bottom w:val="single" w:sz="4" w:space="0" w:color="auto"/>
              <w:right w:val="single" w:sz="4" w:space="0" w:color="auto"/>
            </w:tcBorders>
          </w:tcPr>
          <w:p w:rsidR="00A01E05" w:rsidRDefault="00A01E05">
            <w:pPr>
              <w:rPr>
                <w:rFonts w:ascii="仿宋" w:eastAsia="仿宋" w:hAnsi="仿宋" w:cs="仿宋"/>
                <w:sz w:val="2"/>
                <w:szCs w:val="2"/>
              </w:rPr>
            </w:pPr>
          </w:p>
        </w:tc>
        <w:tc>
          <w:tcPr>
            <w:tcW w:w="2332" w:type="dxa"/>
            <w:vMerge/>
            <w:tcBorders>
              <w:top w:val="single" w:sz="4" w:space="0" w:color="auto"/>
              <w:left w:val="single" w:sz="4" w:space="0" w:color="auto"/>
              <w:bottom w:val="single" w:sz="4" w:space="0" w:color="auto"/>
              <w:right w:val="single" w:sz="4" w:space="0" w:color="auto"/>
            </w:tcBorders>
          </w:tcPr>
          <w:p w:rsidR="00A01E05" w:rsidRDefault="00A01E05">
            <w:pPr>
              <w:rPr>
                <w:rFonts w:ascii="仿宋" w:eastAsia="仿宋" w:hAnsi="仿宋" w:cs="仿宋"/>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rsidR="00A01E05" w:rsidRDefault="00A01E05">
            <w:pPr>
              <w:rPr>
                <w:rFonts w:ascii="仿宋" w:eastAsia="仿宋" w:hAnsi="仿宋" w:cs="仿宋"/>
                <w:sz w:val="2"/>
                <w:szCs w:val="2"/>
              </w:rPr>
            </w:pPr>
          </w:p>
        </w:tc>
        <w:tc>
          <w:tcPr>
            <w:tcW w:w="2057" w:type="dxa"/>
            <w:vMerge/>
            <w:tcBorders>
              <w:top w:val="single" w:sz="4" w:space="0" w:color="auto"/>
              <w:left w:val="single" w:sz="4" w:space="0" w:color="auto"/>
              <w:bottom w:val="single" w:sz="4" w:space="0" w:color="auto"/>
              <w:right w:val="single" w:sz="4" w:space="0" w:color="auto"/>
            </w:tcBorders>
          </w:tcPr>
          <w:p w:rsidR="00A01E05" w:rsidRDefault="00A01E05">
            <w:pPr>
              <w:rPr>
                <w:rFonts w:ascii="仿宋" w:eastAsia="仿宋" w:hAnsi="仿宋" w:cs="仿宋"/>
                <w:sz w:val="2"/>
                <w:szCs w:val="2"/>
              </w:rPr>
            </w:pPr>
          </w:p>
        </w:tc>
        <w:tc>
          <w:tcPr>
            <w:tcW w:w="1783" w:type="dxa"/>
            <w:vMerge/>
            <w:tcBorders>
              <w:top w:val="single" w:sz="4" w:space="0" w:color="auto"/>
              <w:left w:val="single" w:sz="4" w:space="0" w:color="auto"/>
              <w:bottom w:val="single" w:sz="4" w:space="0" w:color="auto"/>
              <w:right w:val="single" w:sz="4" w:space="0" w:color="auto"/>
            </w:tcBorders>
          </w:tcPr>
          <w:p w:rsidR="00A01E05" w:rsidRDefault="00A01E05">
            <w:pPr>
              <w:rPr>
                <w:rFonts w:ascii="仿宋" w:eastAsia="仿宋" w:hAnsi="仿宋" w:cs="仿宋"/>
                <w:sz w:val="2"/>
                <w:szCs w:val="2"/>
              </w:rPr>
            </w:pPr>
          </w:p>
        </w:tc>
      </w:tr>
      <w:tr w:rsidR="00A01E05">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17.90</w:t>
            </w:r>
          </w:p>
        </w:tc>
        <w:tc>
          <w:tcPr>
            <w:tcW w:w="2332"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0.00</w:t>
            </w:r>
          </w:p>
        </w:tc>
        <w:tc>
          <w:tcPr>
            <w:tcW w:w="2037"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10.50</w:t>
            </w:r>
          </w:p>
        </w:tc>
        <w:tc>
          <w:tcPr>
            <w:tcW w:w="1697"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0.00</w:t>
            </w:r>
          </w:p>
        </w:tc>
        <w:tc>
          <w:tcPr>
            <w:tcW w:w="1680"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10.50</w:t>
            </w:r>
          </w:p>
        </w:tc>
        <w:tc>
          <w:tcPr>
            <w:tcW w:w="1852"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7.40</w:t>
            </w:r>
          </w:p>
        </w:tc>
        <w:tc>
          <w:tcPr>
            <w:tcW w:w="2057"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55.45</w:t>
            </w:r>
          </w:p>
        </w:tc>
        <w:tc>
          <w:tcPr>
            <w:tcW w:w="1783"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160.75</w:t>
            </w:r>
          </w:p>
        </w:tc>
      </w:tr>
    </w:tbl>
    <w:p w:rsidR="00A01E05" w:rsidRDefault="00A01E05">
      <w:pPr>
        <w:ind w:left="227" w:firstLineChars="100" w:firstLine="221"/>
        <w:rPr>
          <w:rFonts w:ascii="仿宋" w:eastAsia="仿宋" w:hAnsi="仿宋" w:cs="仿宋"/>
          <w:b/>
          <w:bCs/>
        </w:rPr>
        <w:sectPr w:rsidR="00A01E05">
          <w:footerReference w:type="default" r:id="rId23"/>
          <w:pgSz w:w="16838" w:h="11906" w:orient="landscape"/>
          <w:pgMar w:top="720" w:right="720" w:bottom="720" w:left="720" w:header="170" w:footer="280" w:gutter="0"/>
          <w:pgNumType w:fmt="numberInDash"/>
          <w:cols w:space="720"/>
          <w:formProt w:val="0"/>
          <w:docGrid w:linePitch="100"/>
        </w:sectPr>
      </w:pPr>
    </w:p>
    <w:tbl>
      <w:tblPr>
        <w:tblW w:w="10812" w:type="dxa"/>
        <w:tblInd w:w="-108" w:type="dxa"/>
        <w:tblLayout w:type="fixed"/>
        <w:tblCellMar>
          <w:top w:w="55" w:type="dxa"/>
          <w:left w:w="55" w:type="dxa"/>
          <w:bottom w:w="55" w:type="dxa"/>
          <w:right w:w="55" w:type="dxa"/>
        </w:tblCellMar>
        <w:tblLook w:val="04A0"/>
      </w:tblPr>
      <w:tblGrid>
        <w:gridCol w:w="1618"/>
        <w:gridCol w:w="2834"/>
        <w:gridCol w:w="1783"/>
        <w:gridCol w:w="2092"/>
        <w:gridCol w:w="2485"/>
      </w:tblGrid>
      <w:tr w:rsidR="00A01E05">
        <w:trPr>
          <w:cantSplit/>
          <w:trHeight w:val="213"/>
        </w:trPr>
        <w:tc>
          <w:tcPr>
            <w:tcW w:w="10812" w:type="dxa"/>
            <w:gridSpan w:val="5"/>
            <w:tcBorders>
              <w:top w:val="nil"/>
              <w:left w:val="nil"/>
              <w:bottom w:val="nil"/>
              <w:right w:val="nil"/>
            </w:tcBorders>
            <w:vAlign w:val="center"/>
          </w:tcPr>
          <w:p w:rsidR="00A01E05" w:rsidRDefault="00C32B94">
            <w:pPr>
              <w:pStyle w:val="TableParagraph"/>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lang w:val="en-US"/>
              </w:rPr>
              <w:t>10</w:t>
            </w:r>
            <w:r>
              <w:rPr>
                <w:rFonts w:ascii="仿宋" w:eastAsia="仿宋" w:hAnsi="仿宋" w:cs="仿宋" w:hint="eastAsia"/>
              </w:rPr>
              <w:t>表</w:t>
            </w:r>
          </w:p>
        </w:tc>
      </w:tr>
      <w:tr w:rsidR="00A01E05">
        <w:trPr>
          <w:cantSplit/>
          <w:trHeight w:val="213"/>
        </w:trPr>
        <w:tc>
          <w:tcPr>
            <w:tcW w:w="10812" w:type="dxa"/>
            <w:gridSpan w:val="5"/>
            <w:tcBorders>
              <w:top w:val="nil"/>
              <w:left w:val="nil"/>
              <w:bottom w:val="nil"/>
              <w:right w:val="nil"/>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b/>
                <w:bCs/>
                <w:sz w:val="44"/>
                <w:szCs w:val="44"/>
              </w:rPr>
              <w:t>政府性基金预算支出表</w:t>
            </w:r>
          </w:p>
        </w:tc>
      </w:tr>
      <w:tr w:rsidR="00A01E05">
        <w:trPr>
          <w:cantSplit/>
          <w:trHeight w:val="213"/>
        </w:trPr>
        <w:tc>
          <w:tcPr>
            <w:tcW w:w="8327" w:type="dxa"/>
            <w:gridSpan w:val="4"/>
            <w:tcBorders>
              <w:top w:val="nil"/>
              <w:left w:val="nil"/>
              <w:bottom w:val="single" w:sz="4" w:space="0" w:color="auto"/>
              <w:right w:val="nil"/>
            </w:tcBorders>
            <w:vAlign w:val="center"/>
          </w:tcPr>
          <w:p w:rsidR="00A01E05" w:rsidRDefault="00C32B94">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2485" w:type="dxa"/>
            <w:tcBorders>
              <w:top w:val="nil"/>
              <w:left w:val="nil"/>
              <w:bottom w:val="single" w:sz="4" w:space="0" w:color="auto"/>
              <w:right w:val="nil"/>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单位：万元</w:t>
            </w:r>
          </w:p>
        </w:tc>
      </w:tr>
      <w:tr w:rsidR="00A01E05">
        <w:trPr>
          <w:cantSplit/>
          <w:trHeight w:val="187"/>
        </w:trPr>
        <w:tc>
          <w:tcPr>
            <w:tcW w:w="1618" w:type="dxa"/>
            <w:vMerge w:val="restart"/>
            <w:tcBorders>
              <w:top w:val="single" w:sz="4" w:space="0" w:color="auto"/>
              <w:left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本年政府性基金预算支出</w:t>
            </w:r>
          </w:p>
        </w:tc>
      </w:tr>
      <w:tr w:rsidR="00A01E05">
        <w:trPr>
          <w:cantSplit/>
          <w:trHeight w:val="139"/>
        </w:trPr>
        <w:tc>
          <w:tcPr>
            <w:tcW w:w="1618" w:type="dxa"/>
            <w:vMerge/>
            <w:tcBorders>
              <w:left w:val="single" w:sz="4" w:space="0" w:color="auto"/>
              <w:bottom w:val="single" w:sz="4" w:space="0" w:color="auto"/>
              <w:right w:val="single" w:sz="4" w:space="0" w:color="auto"/>
            </w:tcBorders>
            <w:vAlign w:val="center"/>
          </w:tcPr>
          <w:p w:rsidR="00A01E05" w:rsidRDefault="00A01E05">
            <w:pPr>
              <w:pStyle w:val="TableParagraph"/>
              <w:jc w:val="center"/>
              <w:rPr>
                <w:rFonts w:ascii="仿宋" w:eastAsia="仿宋" w:hAnsi="仿宋" w:cs="仿宋"/>
              </w:rPr>
            </w:pPr>
          </w:p>
        </w:tc>
        <w:tc>
          <w:tcPr>
            <w:tcW w:w="2834" w:type="dxa"/>
            <w:vMerge/>
            <w:tcBorders>
              <w:left w:val="single" w:sz="4" w:space="0" w:color="auto"/>
              <w:bottom w:val="single" w:sz="4" w:space="0" w:color="auto"/>
              <w:right w:val="single" w:sz="4" w:space="0" w:color="auto"/>
            </w:tcBorders>
            <w:vAlign w:val="center"/>
          </w:tcPr>
          <w:p w:rsidR="00A01E05" w:rsidRDefault="00A01E05">
            <w:pPr>
              <w:pStyle w:val="TableParagraph"/>
              <w:jc w:val="cente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项目支出</w:t>
            </w:r>
          </w:p>
        </w:tc>
      </w:tr>
      <w:tr w:rsidR="00A01E05">
        <w:trPr>
          <w:cantSplit/>
          <w:trHeight w:val="462"/>
        </w:trPr>
        <w:tc>
          <w:tcPr>
            <w:tcW w:w="1618" w:type="dxa"/>
            <w:tcBorders>
              <w:top w:val="single" w:sz="4" w:space="0" w:color="auto"/>
              <w:left w:val="single" w:sz="4" w:space="0" w:color="auto"/>
              <w:bottom w:val="single" w:sz="4" w:space="0" w:color="auto"/>
              <w:right w:val="single" w:sz="4" w:space="0" w:color="auto"/>
            </w:tcBorders>
            <w:vAlign w:val="center"/>
          </w:tcPr>
          <w:p w:rsidR="00A01E05" w:rsidRDefault="00A01E05">
            <w:pPr>
              <w:pStyle w:val="TableParagraph"/>
              <w:jc w:val="cente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A01E05" w:rsidRDefault="00C32B94">
            <w:pPr>
              <w:pStyle w:val="TableParagraph"/>
              <w:jc w:val="center"/>
              <w:rPr>
                <w:rFonts w:ascii="仿宋" w:eastAsia="仿宋" w:hAnsi="仿宋" w:cs="仿宋"/>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rsidR="00A01E05" w:rsidRDefault="00A01E05">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A01E05" w:rsidRDefault="00A01E05">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A01E05" w:rsidRDefault="00A01E05">
            <w:pPr>
              <w:jc w:val="right"/>
              <w:rPr>
                <w:rFonts w:ascii="仿宋" w:eastAsia="仿宋" w:hAnsi="仿宋" w:cs="仿宋"/>
              </w:rPr>
            </w:pPr>
          </w:p>
        </w:tc>
      </w:tr>
      <w:tr w:rsidR="00A01E05">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A01E05" w:rsidRDefault="00A01E05">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A01E05" w:rsidRDefault="00A01E05">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A01E05" w:rsidRDefault="00A01E05">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A01E05" w:rsidRDefault="00A01E05">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A01E05" w:rsidRDefault="00A01E05">
            <w:pPr>
              <w:jc w:val="right"/>
              <w:rPr>
                <w:rFonts w:ascii="仿宋" w:eastAsia="仿宋" w:hAnsi="仿宋" w:cs="仿宋"/>
              </w:rPr>
            </w:pPr>
          </w:p>
        </w:tc>
      </w:tr>
      <w:tr w:rsidR="00A01E05">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A01E05" w:rsidRDefault="00A01E05">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A01E05" w:rsidRDefault="00A01E05">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A01E05" w:rsidRDefault="00A01E05">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A01E05" w:rsidRDefault="00A01E05">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A01E05" w:rsidRDefault="00A01E05">
            <w:pPr>
              <w:jc w:val="right"/>
              <w:rPr>
                <w:rFonts w:ascii="仿宋" w:eastAsia="仿宋" w:hAnsi="仿宋" w:cs="仿宋"/>
              </w:rPr>
            </w:pPr>
          </w:p>
        </w:tc>
      </w:tr>
    </w:tbl>
    <w:p w:rsidR="00A01E05" w:rsidRDefault="00C32B94">
      <w:pPr>
        <w:spacing w:before="25"/>
        <w:rPr>
          <w:rFonts w:ascii="仿宋" w:eastAsia="仿宋" w:hAnsi="仿宋" w:cs="仿宋"/>
          <w:b/>
          <w:bCs/>
          <w:lang w:val="en-US"/>
        </w:rPr>
      </w:pPr>
      <w:r>
        <w:rPr>
          <w:rFonts w:ascii="仿宋" w:eastAsia="仿宋" w:hAnsi="仿宋" w:cs="仿宋" w:hint="eastAsia"/>
          <w:b/>
          <w:bCs/>
        </w:rPr>
        <w:t>注：</w:t>
      </w:r>
      <w:r>
        <w:rPr>
          <w:rFonts w:ascii="仿宋" w:eastAsia="仿宋" w:hAnsi="仿宋" w:cs="仿宋" w:hint="eastAsia"/>
          <w:b/>
          <w:bCs/>
          <w:lang w:val="en-US"/>
        </w:rPr>
        <w:t>本</w:t>
      </w:r>
      <w:r>
        <w:rPr>
          <w:rFonts w:ascii="仿宋" w:eastAsia="仿宋" w:hAnsi="仿宋" w:cs="仿宋"/>
          <w:b/>
        </w:rPr>
        <w:t>部门无政府性基金预算，也没有使用政府性基金安排的支出，故本表无数据。</w:t>
      </w:r>
    </w:p>
    <w:p w:rsidR="00A01E05" w:rsidRDefault="00A01E05">
      <w:pPr>
        <w:spacing w:before="25"/>
        <w:rPr>
          <w:rFonts w:ascii="仿宋" w:eastAsia="仿宋" w:hAnsi="仿宋" w:cs="仿宋"/>
          <w:b/>
          <w:bCs/>
          <w:lang w:val="en-US"/>
        </w:rPr>
        <w:sectPr w:rsidR="00A01E05">
          <w:footerReference w:type="default" r:id="rId24"/>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tblPr>
      <w:tblGrid>
        <w:gridCol w:w="1596"/>
        <w:gridCol w:w="3803"/>
        <w:gridCol w:w="3111"/>
        <w:gridCol w:w="3094"/>
        <w:gridCol w:w="3091"/>
      </w:tblGrid>
      <w:tr w:rsidR="00A01E05">
        <w:trPr>
          <w:cantSplit/>
          <w:trHeight w:val="447"/>
          <w:jc w:val="center"/>
        </w:trPr>
        <w:tc>
          <w:tcPr>
            <w:tcW w:w="14695" w:type="dxa"/>
            <w:gridSpan w:val="5"/>
            <w:tcBorders>
              <w:top w:val="nil"/>
              <w:left w:val="nil"/>
              <w:bottom w:val="nil"/>
              <w:right w:val="nil"/>
            </w:tcBorders>
            <w:shd w:val="clear" w:color="auto" w:fill="auto"/>
            <w:vAlign w:val="center"/>
          </w:tcPr>
          <w:p w:rsidR="00A01E05" w:rsidRDefault="00C32B94">
            <w:pPr>
              <w:widowControl/>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rPr>
              <w:t>11</w:t>
            </w:r>
            <w:r>
              <w:rPr>
                <w:rFonts w:ascii="仿宋" w:eastAsia="仿宋" w:hAnsi="仿宋" w:cs="仿宋" w:hint="eastAsia"/>
              </w:rPr>
              <w:t>表</w:t>
            </w:r>
          </w:p>
        </w:tc>
      </w:tr>
      <w:tr w:rsidR="00A01E05">
        <w:trPr>
          <w:cantSplit/>
          <w:trHeight w:val="960"/>
          <w:jc w:val="center"/>
        </w:trPr>
        <w:tc>
          <w:tcPr>
            <w:tcW w:w="14695" w:type="dxa"/>
            <w:gridSpan w:val="5"/>
            <w:tcBorders>
              <w:top w:val="nil"/>
              <w:left w:val="nil"/>
              <w:bottom w:val="nil"/>
              <w:right w:val="nil"/>
            </w:tcBorders>
            <w:shd w:val="clear" w:color="auto" w:fill="auto"/>
            <w:vAlign w:val="center"/>
          </w:tcPr>
          <w:p w:rsidR="00A01E05" w:rsidRDefault="00C32B94">
            <w:pPr>
              <w:widowControl/>
              <w:jc w:val="center"/>
              <w:rPr>
                <w:rFonts w:ascii="仿宋" w:eastAsia="仿宋" w:hAnsi="仿宋" w:cs="仿宋"/>
              </w:rPr>
            </w:pPr>
            <w:r>
              <w:rPr>
                <w:rFonts w:ascii="仿宋" w:eastAsia="仿宋" w:hAnsi="仿宋" w:cs="仿宋" w:hint="eastAsia"/>
                <w:b/>
                <w:bCs/>
                <w:sz w:val="44"/>
                <w:szCs w:val="44"/>
              </w:rPr>
              <w:t>国有资本经营预算支出预算表</w:t>
            </w:r>
          </w:p>
        </w:tc>
      </w:tr>
      <w:tr w:rsidR="00A01E05">
        <w:trPr>
          <w:cantSplit/>
          <w:trHeight w:val="319"/>
          <w:jc w:val="center"/>
        </w:trPr>
        <w:tc>
          <w:tcPr>
            <w:tcW w:w="11604" w:type="dxa"/>
            <w:gridSpan w:val="4"/>
            <w:tcBorders>
              <w:top w:val="nil"/>
              <w:left w:val="nil"/>
              <w:bottom w:val="single" w:sz="4" w:space="0" w:color="auto"/>
              <w:right w:val="nil"/>
            </w:tcBorders>
            <w:shd w:val="clear" w:color="auto" w:fill="auto"/>
            <w:vAlign w:val="center"/>
          </w:tcPr>
          <w:p w:rsidR="00A01E05" w:rsidRDefault="00C32B94">
            <w:pPr>
              <w:widowControl/>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3091" w:type="dxa"/>
            <w:tcBorders>
              <w:top w:val="nil"/>
              <w:left w:val="nil"/>
              <w:bottom w:val="nil"/>
              <w:right w:val="nil"/>
            </w:tcBorders>
            <w:shd w:val="clear" w:color="auto" w:fill="auto"/>
            <w:noWrap/>
            <w:vAlign w:val="center"/>
          </w:tcPr>
          <w:p w:rsidR="00A01E05" w:rsidRDefault="00C32B94">
            <w:pPr>
              <w:widowControl/>
              <w:jc w:val="right"/>
              <w:rPr>
                <w:rFonts w:ascii="仿宋" w:eastAsia="仿宋" w:hAnsi="仿宋" w:cs="仿宋"/>
              </w:rPr>
            </w:pPr>
            <w:r>
              <w:rPr>
                <w:rFonts w:ascii="仿宋" w:eastAsia="仿宋" w:hAnsi="仿宋" w:cs="仿宋" w:hint="eastAsia"/>
              </w:rPr>
              <w:t>单位：万元</w:t>
            </w:r>
          </w:p>
        </w:tc>
      </w:tr>
      <w:tr w:rsidR="00A01E05">
        <w:trPr>
          <w:cantSplit/>
          <w:trHeight w:val="143"/>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C32B94">
            <w:pPr>
              <w:widowControl/>
              <w:spacing w:line="34" w:lineRule="atLeast"/>
              <w:jc w:val="center"/>
              <w:rPr>
                <w:rFonts w:ascii="仿宋" w:eastAsia="仿宋" w:hAnsi="仿宋" w:cs="仿宋"/>
              </w:rPr>
            </w:pPr>
            <w:r>
              <w:rPr>
                <w:rFonts w:ascii="仿宋" w:eastAsia="仿宋" w:hAnsi="仿宋" w:cs="仿宋" w:hint="eastAsia"/>
              </w:rPr>
              <w:t>项</w:t>
            </w:r>
            <w:r>
              <w:rPr>
                <w:rFonts w:ascii="仿宋" w:eastAsia="仿宋" w:hAnsi="仿宋" w:cs="仿宋" w:hint="eastAsia"/>
              </w:rPr>
              <w:t xml:space="preserve">    </w:t>
            </w:r>
            <w:r>
              <w:rPr>
                <w:rFonts w:ascii="仿宋" w:eastAsia="仿宋" w:hAnsi="仿宋" w:cs="仿宋" w:hint="eastAsia"/>
              </w:rPr>
              <w:t>目</w:t>
            </w:r>
          </w:p>
        </w:tc>
        <w:tc>
          <w:tcPr>
            <w:tcW w:w="3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C32B94">
            <w:pPr>
              <w:widowControl/>
              <w:spacing w:line="34" w:lineRule="atLeast"/>
              <w:jc w:val="center"/>
              <w:rPr>
                <w:rFonts w:ascii="仿宋" w:eastAsia="仿宋" w:hAnsi="仿宋" w:cs="仿宋"/>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C32B94">
            <w:pPr>
              <w:widowControl/>
              <w:spacing w:line="34" w:lineRule="atLeast"/>
              <w:jc w:val="center"/>
              <w:rPr>
                <w:rFonts w:ascii="仿宋" w:eastAsia="仿宋" w:hAnsi="仿宋" w:cs="仿宋"/>
              </w:rPr>
            </w:pPr>
            <w:r>
              <w:rPr>
                <w:rFonts w:ascii="仿宋" w:eastAsia="仿宋" w:hAnsi="仿宋" w:cs="仿宋" w:hint="eastAsia"/>
              </w:rPr>
              <w:t>基本支出</w:t>
            </w:r>
            <w:r>
              <w:rPr>
                <w:rFonts w:ascii="仿宋" w:eastAsia="仿宋" w:hAnsi="仿宋" w:cs="仿宋" w:hint="eastAsia"/>
              </w:rPr>
              <w:t xml:space="preserve">  </w:t>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C32B94">
            <w:pPr>
              <w:widowControl/>
              <w:spacing w:line="34" w:lineRule="atLeast"/>
              <w:jc w:val="center"/>
              <w:rPr>
                <w:rFonts w:ascii="仿宋" w:eastAsia="仿宋" w:hAnsi="仿宋" w:cs="仿宋"/>
              </w:rPr>
            </w:pPr>
            <w:r>
              <w:rPr>
                <w:rFonts w:ascii="仿宋" w:eastAsia="仿宋" w:hAnsi="仿宋" w:cs="仿宋" w:hint="eastAsia"/>
              </w:rPr>
              <w:t>项目支出</w:t>
            </w:r>
          </w:p>
        </w:tc>
      </w:tr>
      <w:tr w:rsidR="00A01E05">
        <w:trPr>
          <w:cantSplit/>
          <w:trHeight w:val="201"/>
          <w:jc w:val="center"/>
        </w:trPr>
        <w:tc>
          <w:tcPr>
            <w:tcW w:w="1596" w:type="dxa"/>
            <w:tcBorders>
              <w:top w:val="nil"/>
              <w:left w:val="single" w:sz="4" w:space="0" w:color="auto"/>
              <w:bottom w:val="single" w:sz="4" w:space="0" w:color="auto"/>
              <w:right w:val="single" w:sz="4" w:space="0" w:color="auto"/>
            </w:tcBorders>
            <w:shd w:val="clear" w:color="auto" w:fill="auto"/>
            <w:vAlign w:val="center"/>
          </w:tcPr>
          <w:p w:rsidR="00A01E05" w:rsidRDefault="00C32B94">
            <w:pPr>
              <w:widowControl/>
              <w:spacing w:line="34" w:lineRule="atLeast"/>
              <w:jc w:val="center"/>
              <w:rPr>
                <w:rFonts w:ascii="仿宋" w:eastAsia="仿宋" w:hAnsi="仿宋" w:cs="仿宋"/>
              </w:rPr>
            </w:pPr>
            <w:r>
              <w:rPr>
                <w:rFonts w:ascii="仿宋" w:eastAsia="仿宋" w:hAnsi="仿宋" w:cs="仿宋" w:hint="eastAsia"/>
              </w:rPr>
              <w:t>功能分类</w:t>
            </w:r>
          </w:p>
          <w:p w:rsidR="00A01E05" w:rsidRDefault="00C32B94">
            <w:pPr>
              <w:widowControl/>
              <w:spacing w:line="34" w:lineRule="atLeast"/>
              <w:jc w:val="center"/>
              <w:rPr>
                <w:rFonts w:ascii="仿宋" w:eastAsia="仿宋" w:hAnsi="仿宋" w:cs="仿宋"/>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shd w:val="clear" w:color="auto" w:fill="auto"/>
            <w:vAlign w:val="center"/>
          </w:tcPr>
          <w:p w:rsidR="00A01E05" w:rsidRDefault="00C32B94">
            <w:pPr>
              <w:widowControl/>
              <w:spacing w:line="34" w:lineRule="atLeast"/>
              <w:jc w:val="center"/>
              <w:rPr>
                <w:rFonts w:ascii="仿宋" w:eastAsia="仿宋" w:hAnsi="仿宋" w:cs="仿宋"/>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rsidR="00A01E05" w:rsidRDefault="00A01E05">
            <w:pPr>
              <w:widowControl/>
              <w:spacing w:line="34" w:lineRule="atLeast"/>
              <w:rPr>
                <w:rFonts w:ascii="仿宋" w:eastAsia="仿宋" w:hAnsi="仿宋" w:cs="仿宋"/>
              </w:rPr>
            </w:pPr>
          </w:p>
        </w:tc>
        <w:tc>
          <w:tcPr>
            <w:tcW w:w="3094" w:type="dxa"/>
            <w:vMerge/>
            <w:tcBorders>
              <w:top w:val="single" w:sz="4" w:space="0" w:color="auto"/>
              <w:left w:val="single" w:sz="4" w:space="0" w:color="auto"/>
              <w:bottom w:val="single" w:sz="4" w:space="0" w:color="auto"/>
              <w:right w:val="single" w:sz="4" w:space="0" w:color="auto"/>
            </w:tcBorders>
            <w:vAlign w:val="center"/>
          </w:tcPr>
          <w:p w:rsidR="00A01E05" w:rsidRDefault="00A01E05">
            <w:pPr>
              <w:widowControl/>
              <w:spacing w:line="34" w:lineRule="atLeast"/>
              <w:rPr>
                <w:rFonts w:ascii="仿宋" w:eastAsia="仿宋" w:hAnsi="仿宋" w:cs="仿宋"/>
              </w:rPr>
            </w:pPr>
          </w:p>
        </w:tc>
        <w:tc>
          <w:tcPr>
            <w:tcW w:w="3091" w:type="dxa"/>
            <w:vMerge/>
            <w:tcBorders>
              <w:top w:val="single" w:sz="4" w:space="0" w:color="auto"/>
              <w:left w:val="single" w:sz="4" w:space="0" w:color="auto"/>
              <w:bottom w:val="single" w:sz="4" w:space="0" w:color="auto"/>
              <w:right w:val="single" w:sz="4" w:space="0" w:color="auto"/>
            </w:tcBorders>
            <w:vAlign w:val="center"/>
          </w:tcPr>
          <w:p w:rsidR="00A01E05" w:rsidRDefault="00A01E05">
            <w:pPr>
              <w:widowControl/>
              <w:spacing w:line="34" w:lineRule="atLeast"/>
              <w:rPr>
                <w:rFonts w:ascii="仿宋" w:eastAsia="仿宋" w:hAnsi="仿宋" w:cs="仿宋"/>
              </w:rPr>
            </w:pPr>
          </w:p>
        </w:tc>
      </w:tr>
      <w:tr w:rsidR="00A01E05">
        <w:trPr>
          <w:cantSplit/>
          <w:trHeight w:val="90"/>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C32B94">
            <w:pPr>
              <w:widowControl/>
              <w:spacing w:line="34" w:lineRule="atLeast"/>
              <w:jc w:val="center"/>
              <w:rPr>
                <w:rFonts w:ascii="仿宋" w:eastAsia="仿宋" w:hAnsi="仿宋" w:cs="仿宋"/>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C32B94">
            <w:pPr>
              <w:widowControl/>
              <w:spacing w:line="34" w:lineRule="atLeast"/>
              <w:jc w:val="center"/>
              <w:rPr>
                <w:rFonts w:ascii="仿宋" w:eastAsia="仿宋" w:hAnsi="仿宋" w:cs="仿宋"/>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C32B94">
            <w:pPr>
              <w:widowControl/>
              <w:spacing w:line="34" w:lineRule="atLeast"/>
              <w:jc w:val="center"/>
              <w:rPr>
                <w:rFonts w:ascii="仿宋" w:eastAsia="仿宋" w:hAnsi="仿宋" w:cs="仿宋"/>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C32B94">
            <w:pPr>
              <w:widowControl/>
              <w:spacing w:line="34" w:lineRule="atLeast"/>
              <w:jc w:val="center"/>
              <w:rPr>
                <w:rFonts w:ascii="仿宋" w:eastAsia="仿宋" w:hAnsi="仿宋" w:cs="仿宋"/>
              </w:rPr>
            </w:pPr>
            <w:r>
              <w:rPr>
                <w:rFonts w:ascii="仿宋" w:eastAsia="仿宋" w:hAnsi="仿宋" w:cs="仿宋" w:hint="eastAsia"/>
              </w:rPr>
              <w:t>3</w:t>
            </w:r>
          </w:p>
        </w:tc>
      </w:tr>
      <w:tr w:rsidR="00A01E05">
        <w:trPr>
          <w:cantSplit/>
          <w:trHeight w:val="246"/>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C32B94">
            <w:pPr>
              <w:widowControl/>
              <w:spacing w:line="34" w:lineRule="atLeast"/>
              <w:jc w:val="center"/>
              <w:rPr>
                <w:rFonts w:ascii="仿宋" w:eastAsia="仿宋" w:hAnsi="仿宋" w:cs="仿宋"/>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jc w:val="right"/>
              <w:rPr>
                <w:rFonts w:ascii="仿宋" w:eastAsia="仿宋" w:hAnsi="仿宋" w:cs="仿宋"/>
              </w:rPr>
            </w:pPr>
          </w:p>
        </w:tc>
      </w:tr>
      <w:tr w:rsidR="00A01E05">
        <w:trPr>
          <w:cantSplit/>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jc w:val="right"/>
              <w:rPr>
                <w:rFonts w:ascii="仿宋" w:eastAsia="仿宋" w:hAnsi="仿宋" w:cs="仿宋"/>
              </w:rPr>
            </w:pPr>
          </w:p>
        </w:tc>
      </w:tr>
      <w:tr w:rsidR="00A01E05">
        <w:trPr>
          <w:cantSplit/>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A01E05" w:rsidRDefault="00A01E05">
            <w:pPr>
              <w:widowControl/>
              <w:spacing w:line="34" w:lineRule="atLeast"/>
              <w:jc w:val="right"/>
              <w:rPr>
                <w:rFonts w:ascii="仿宋" w:eastAsia="仿宋" w:hAnsi="仿宋" w:cs="仿宋"/>
              </w:rPr>
            </w:pPr>
          </w:p>
        </w:tc>
      </w:tr>
    </w:tbl>
    <w:p w:rsidR="00A01E05" w:rsidRDefault="00C32B94">
      <w:pPr>
        <w:spacing w:before="25"/>
        <w:ind w:firstLineChars="200" w:firstLine="442"/>
        <w:rPr>
          <w:rFonts w:ascii="仿宋" w:eastAsia="仿宋" w:hAnsi="仿宋" w:cs="仿宋"/>
          <w:b/>
          <w:bCs/>
          <w:lang w:val="en-US"/>
        </w:rPr>
      </w:pPr>
      <w:r>
        <w:rPr>
          <w:rFonts w:ascii="仿宋" w:eastAsia="仿宋" w:hAnsi="仿宋" w:cs="仿宋"/>
          <w:b/>
        </w:rPr>
        <w:t>注：本部门无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rsidR="00A01E05" w:rsidRDefault="00A01E05">
      <w:pPr>
        <w:spacing w:before="25"/>
        <w:rPr>
          <w:rFonts w:ascii="仿宋" w:eastAsia="仿宋" w:hAnsi="仿宋" w:cs="仿宋"/>
          <w:b/>
          <w:bCs/>
          <w:lang w:val="en-US"/>
        </w:rPr>
        <w:sectPr w:rsidR="00A01E05">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tblPr>
      <w:tblGrid>
        <w:gridCol w:w="3088"/>
        <w:gridCol w:w="2876"/>
        <w:gridCol w:w="1920"/>
        <w:gridCol w:w="2351"/>
      </w:tblGrid>
      <w:tr w:rsidR="00A01E05">
        <w:trPr>
          <w:cantSplit/>
          <w:trHeight w:val="319"/>
        </w:trPr>
        <w:tc>
          <w:tcPr>
            <w:tcW w:w="10235" w:type="dxa"/>
            <w:gridSpan w:val="4"/>
          </w:tcPr>
          <w:p w:rsidR="00A01E05" w:rsidRDefault="00C32B94">
            <w:pPr>
              <w:pStyle w:val="TableParagraph"/>
              <w:tabs>
                <w:tab w:val="left" w:pos="610"/>
              </w:tabs>
              <w:spacing w:before="28"/>
              <w:ind w:left="8"/>
              <w:rPr>
                <w:rFonts w:ascii="仿宋" w:eastAsia="仿宋" w:hAnsi="仿宋" w:cs="仿宋"/>
                <w:b/>
                <w:bCs/>
                <w:sz w:val="44"/>
                <w:szCs w:val="44"/>
              </w:rPr>
            </w:pPr>
            <w:r>
              <w:rPr>
                <w:rFonts w:ascii="仿宋" w:eastAsia="仿宋" w:hAnsi="仿宋" w:cs="仿宋" w:hint="eastAsia"/>
              </w:rPr>
              <w:lastRenderedPageBreak/>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A01E05">
        <w:trPr>
          <w:cantSplit/>
          <w:trHeight w:val="90"/>
        </w:trPr>
        <w:tc>
          <w:tcPr>
            <w:tcW w:w="10235" w:type="dxa"/>
            <w:gridSpan w:val="4"/>
          </w:tcPr>
          <w:p w:rsidR="00A01E05" w:rsidRDefault="00C32B94">
            <w:pPr>
              <w:pStyle w:val="TableParagraph"/>
              <w:jc w:val="center"/>
              <w:rPr>
                <w:rFonts w:ascii="仿宋" w:eastAsia="仿宋" w:hAnsi="仿宋" w:cs="仿宋"/>
              </w:rPr>
            </w:pPr>
            <w:r>
              <w:rPr>
                <w:rFonts w:ascii="仿宋" w:eastAsia="仿宋" w:hAnsi="仿宋" w:cs="仿宋" w:hint="eastAsia"/>
                <w:b/>
                <w:bCs/>
                <w:sz w:val="44"/>
                <w:szCs w:val="44"/>
              </w:rPr>
              <w:t>一般公共预算机关运行经费支出预算表</w:t>
            </w:r>
          </w:p>
        </w:tc>
      </w:tr>
      <w:tr w:rsidR="00A01E05">
        <w:trPr>
          <w:cantSplit/>
          <w:trHeight w:val="90"/>
        </w:trPr>
        <w:tc>
          <w:tcPr>
            <w:tcW w:w="7884" w:type="dxa"/>
            <w:gridSpan w:val="3"/>
            <w:tcBorders>
              <w:bottom w:val="single" w:sz="4" w:space="0" w:color="auto"/>
            </w:tcBorders>
            <w:vAlign w:val="center"/>
          </w:tcPr>
          <w:p w:rsidR="00A01E05" w:rsidRDefault="00C32B94">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2351" w:type="dxa"/>
            <w:tcBorders>
              <w:bottom w:val="single" w:sz="4" w:space="0" w:color="auto"/>
            </w:tcBorders>
            <w:vAlign w:val="center"/>
          </w:tcPr>
          <w:p w:rsidR="00A01E05" w:rsidRDefault="00C32B94">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A01E05">
        <w:trPr>
          <w:cantSplit/>
          <w:trHeight w:val="163"/>
        </w:trPr>
        <w:tc>
          <w:tcPr>
            <w:tcW w:w="3088" w:type="dxa"/>
            <w:tcBorders>
              <w:top w:val="single" w:sz="4" w:space="0" w:color="auto"/>
              <w:left w:val="single" w:sz="4" w:space="0" w:color="auto"/>
              <w:bottom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rsidR="00A01E05" w:rsidRDefault="00C32B94">
            <w:pPr>
              <w:pStyle w:val="TableParagraph"/>
              <w:jc w:val="center"/>
              <w:rPr>
                <w:rFonts w:ascii="仿宋" w:eastAsia="仿宋" w:hAnsi="仿宋" w:cs="仿宋"/>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rsidR="00A01E05" w:rsidRDefault="00C32B94">
            <w:pPr>
              <w:jc w:val="center"/>
              <w:rPr>
                <w:rFonts w:ascii="仿宋" w:eastAsia="仿宋" w:hAnsi="仿宋" w:cs="仿宋"/>
              </w:rPr>
            </w:pPr>
            <w:r>
              <w:rPr>
                <w:rFonts w:ascii="仿宋" w:eastAsia="仿宋" w:hAnsi="仿宋" w:cs="仿宋" w:hint="eastAsia"/>
              </w:rPr>
              <w:t>机关运行经费支出</w:t>
            </w:r>
          </w:p>
        </w:tc>
      </w:tr>
      <w:tr w:rsidR="00A01E05">
        <w:trPr>
          <w:cantSplit/>
          <w:trHeight w:val="90"/>
        </w:trPr>
        <w:tc>
          <w:tcPr>
            <w:tcW w:w="5964" w:type="dxa"/>
            <w:gridSpan w:val="2"/>
            <w:tcBorders>
              <w:top w:val="single" w:sz="4" w:space="0" w:color="000000"/>
              <w:left w:val="single" w:sz="4" w:space="0" w:color="auto"/>
              <w:bottom w:val="single" w:sz="4" w:space="0" w:color="auto"/>
              <w:right w:val="single" w:sz="4" w:space="0" w:color="000000"/>
            </w:tcBorders>
          </w:tcPr>
          <w:p w:rsidR="00A01E05" w:rsidRDefault="00C32B94">
            <w:pPr>
              <w:pStyle w:val="TableParagraph"/>
              <w:jc w:val="center"/>
              <w:rPr>
                <w:rFonts w:ascii="仿宋" w:eastAsia="仿宋" w:hAnsi="仿宋" w:cs="仿宋"/>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257.02</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257.02</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30201</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办公费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44.50</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30205</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水费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0.25</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30206</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电费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0.65</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30211</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差旅费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89.70</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30215</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会议费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0.75</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30216</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培训费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6.55</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30217</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公务接待费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6.50</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30228</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工会经费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17.10</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30229</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福利费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2.28</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30231</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公务用车运行维护费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10.50</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30239</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其他交通费用</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77.94</w:t>
            </w:r>
          </w:p>
        </w:tc>
      </w:tr>
      <w:tr w:rsidR="00A01E05">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30299</w:t>
            </w:r>
          </w:p>
        </w:tc>
        <w:tc>
          <w:tcPr>
            <w:tcW w:w="2876" w:type="dxa"/>
            <w:tcBorders>
              <w:top w:val="single" w:sz="4" w:space="0" w:color="000000"/>
              <w:left w:val="single" w:sz="4" w:space="0" w:color="000000"/>
              <w:bottom w:val="single" w:sz="4" w:space="0" w:color="auto"/>
              <w:right w:val="single" w:sz="4" w:space="0" w:color="000000"/>
            </w:tcBorders>
          </w:tcPr>
          <w:p w:rsidR="00A01E05" w:rsidRDefault="00C32B94">
            <w:pPr>
              <w:pStyle w:val="TableParagraph"/>
              <w:rPr>
                <w:rFonts w:ascii="仿宋" w:eastAsia="仿宋" w:hAnsi="仿宋" w:cs="仿宋"/>
              </w:rPr>
            </w:pPr>
            <w:r>
              <w:rPr>
                <w:rFonts w:ascii="仿宋" w:eastAsia="仿宋" w:hAnsi="仿宋" w:cs="仿宋" w:hint="eastAsia"/>
              </w:rPr>
              <w:t>其他商品和服务支出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A01E05" w:rsidRDefault="00C32B94">
            <w:pPr>
              <w:pStyle w:val="TableParagraph"/>
              <w:jc w:val="right"/>
              <w:rPr>
                <w:rFonts w:ascii="仿宋" w:eastAsia="仿宋" w:hAnsi="仿宋" w:cs="仿宋"/>
              </w:rPr>
            </w:pPr>
            <w:r>
              <w:rPr>
                <w:rFonts w:ascii="仿宋" w:eastAsia="仿宋" w:hAnsi="仿宋" w:cs="仿宋" w:hint="eastAsia"/>
              </w:rPr>
              <w:t>0.30</w:t>
            </w:r>
          </w:p>
        </w:tc>
      </w:tr>
    </w:tbl>
    <w:p w:rsidR="00A01E05" w:rsidRDefault="00C32B94">
      <w:pPr>
        <w:tabs>
          <w:tab w:val="left" w:pos="-440"/>
        </w:tabs>
        <w:spacing w:before="25"/>
        <w:ind w:left="-440" w:rightChars="-100" w:right="-220"/>
        <w:rPr>
          <w:rFonts w:ascii="仿宋" w:eastAsia="仿宋" w:hAnsi="仿宋" w:cs="仿宋"/>
          <w:b/>
          <w:bCs/>
          <w:lang w:val="en-US"/>
        </w:rPr>
      </w:pPr>
      <w:r>
        <w:rPr>
          <w:rFonts w:ascii="仿宋" w:eastAsia="仿宋" w:hAnsi="仿宋" w:cs="仿宋" w:hint="eastAsia"/>
          <w:b/>
          <w:bCs/>
          <w:lang w:val="en-US"/>
        </w:rPr>
        <w:t>注：</w:t>
      </w:r>
      <w:r>
        <w:rPr>
          <w:rFonts w:ascii="仿宋" w:eastAsia="仿宋" w:hAnsi="仿宋" w:cs="仿宋" w:hint="eastAsia"/>
          <w:b/>
          <w:bCs/>
          <w:lang w:val="en-US"/>
        </w:rPr>
        <w:t>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A01E05" w:rsidRDefault="00A01E05">
      <w:pPr>
        <w:spacing w:before="78" w:line="290" w:lineRule="auto"/>
        <w:ind w:left="227" w:right="57"/>
        <w:jc w:val="both"/>
        <w:rPr>
          <w:rFonts w:ascii="仿宋" w:eastAsia="仿宋" w:hAnsi="仿宋" w:cs="仿宋"/>
          <w:b/>
          <w:bCs/>
        </w:rPr>
        <w:sectPr w:rsidR="00A01E05">
          <w:footerReference w:type="default" r:id="rId25"/>
          <w:pgSz w:w="11906" w:h="16838"/>
          <w:pgMar w:top="1100" w:right="906" w:bottom="770" w:left="1320" w:header="170" w:footer="280" w:gutter="0"/>
          <w:pgNumType w:fmt="numberInDash"/>
          <w:cols w:space="720"/>
          <w:formProt w:val="0"/>
          <w:docGrid w:linePitch="100"/>
        </w:sectPr>
      </w:pPr>
    </w:p>
    <w:tbl>
      <w:tblPr>
        <w:tblW w:w="15676" w:type="dxa"/>
        <w:shd w:val="clear" w:color="auto" w:fill="FFFFFF"/>
        <w:tblLayout w:type="fixed"/>
        <w:tblCellMar>
          <w:top w:w="15" w:type="dxa"/>
          <w:left w:w="15" w:type="dxa"/>
          <w:bottom w:w="15" w:type="dxa"/>
          <w:right w:w="15" w:type="dxa"/>
        </w:tblCellMar>
        <w:tblLook w:val="04A0"/>
      </w:tblPr>
      <w:tblGrid>
        <w:gridCol w:w="1512"/>
        <w:gridCol w:w="2502"/>
        <w:gridCol w:w="1440"/>
        <w:gridCol w:w="2280"/>
        <w:gridCol w:w="1776"/>
        <w:gridCol w:w="1105"/>
        <w:gridCol w:w="1121"/>
        <w:gridCol w:w="1192"/>
        <w:gridCol w:w="1200"/>
        <w:gridCol w:w="1548"/>
      </w:tblGrid>
      <w:tr w:rsidR="00A01E05">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rsidR="00A01E05" w:rsidRDefault="00C32B94">
            <w:pPr>
              <w:pStyle w:val="TableParagraph"/>
              <w:rPr>
                <w:rFonts w:ascii="仿宋" w:eastAsia="仿宋" w:hAnsi="仿宋" w:cs="仿宋"/>
                <w:b/>
                <w:bCs/>
                <w:sz w:val="44"/>
                <w:szCs w:val="44"/>
                <w:lang w:val="en-US"/>
              </w:rPr>
            </w:pPr>
            <w:r>
              <w:rPr>
                <w:rFonts w:ascii="仿宋" w:eastAsia="仿宋" w:hAnsi="仿宋" w:cs="仿宋" w:hint="eastAsia"/>
              </w:rPr>
              <w:lastRenderedPageBreak/>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A01E05">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rsidR="00A01E05" w:rsidRDefault="00C32B94">
            <w:pPr>
              <w:pStyle w:val="TableParagraph"/>
              <w:jc w:val="center"/>
              <w:rPr>
                <w:rFonts w:ascii="仿宋" w:eastAsia="仿宋" w:hAnsi="仿宋" w:cs="仿宋"/>
                <w:lang w:val="en-US"/>
              </w:rPr>
            </w:pPr>
            <w:r>
              <w:rPr>
                <w:rFonts w:ascii="仿宋" w:eastAsia="仿宋" w:hAnsi="仿宋" w:cs="仿宋" w:hint="eastAsia"/>
                <w:b/>
                <w:bCs/>
                <w:sz w:val="44"/>
                <w:szCs w:val="44"/>
                <w:lang w:val="en-US"/>
              </w:rPr>
              <w:t>政府采购支出表</w:t>
            </w:r>
          </w:p>
        </w:tc>
      </w:tr>
      <w:tr w:rsidR="00A01E05">
        <w:trPr>
          <w:cantSplit/>
        </w:trPr>
        <w:tc>
          <w:tcPr>
            <w:tcW w:w="9510"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rsidR="00A01E05" w:rsidRDefault="00C32B94">
            <w:pPr>
              <w:pStyle w:val="TableParagrap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常州市工业和信息化局</w:t>
            </w:r>
          </w:p>
        </w:tc>
        <w:tc>
          <w:tcPr>
            <w:tcW w:w="4618"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rsidR="00A01E05" w:rsidRDefault="00A01E05">
            <w:pPr>
              <w:pStyle w:val="TableParagraph"/>
              <w:rPr>
                <w:rFonts w:ascii="仿宋" w:eastAsia="仿宋" w:hAnsi="仿宋" w:cs="仿宋"/>
                <w:lang w:val="en-US"/>
              </w:rPr>
            </w:pPr>
          </w:p>
        </w:tc>
        <w:tc>
          <w:tcPr>
            <w:tcW w:w="1548" w:type="dxa"/>
            <w:tcBorders>
              <w:top w:val="nil"/>
              <w:left w:val="nil"/>
              <w:bottom w:val="single" w:sz="4" w:space="0" w:color="auto"/>
              <w:right w:val="nil"/>
            </w:tcBorders>
            <w:shd w:val="clear" w:color="auto" w:fill="FFFFFF"/>
            <w:tcMar>
              <w:top w:w="0" w:type="dxa"/>
              <w:left w:w="0" w:type="dxa"/>
              <w:bottom w:w="0" w:type="dxa"/>
              <w:right w:w="0" w:type="dxa"/>
            </w:tcMar>
            <w:vAlign w:val="center"/>
          </w:tcPr>
          <w:p w:rsidR="00A01E05" w:rsidRDefault="00C32B94">
            <w:pPr>
              <w:pStyle w:val="TableParagraph"/>
              <w:jc w:val="right"/>
              <w:rPr>
                <w:rFonts w:ascii="仿宋" w:eastAsia="仿宋" w:hAnsi="仿宋" w:cs="仿宋"/>
                <w:lang w:val="en-US"/>
              </w:rPr>
            </w:pPr>
            <w:r>
              <w:rPr>
                <w:rFonts w:ascii="仿宋" w:eastAsia="仿宋" w:hAnsi="仿宋" w:cs="仿宋" w:hint="eastAsia"/>
              </w:rPr>
              <w:t>单位：万元</w:t>
            </w:r>
          </w:p>
        </w:tc>
      </w:tr>
      <w:tr w:rsidR="00A01E05">
        <w:trPr>
          <w:cantSplit/>
        </w:trPr>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jc w:val="center"/>
              <w:rPr>
                <w:rFonts w:ascii="仿宋" w:eastAsia="仿宋" w:hAnsi="仿宋" w:cs="仿宋"/>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jc w:val="center"/>
              <w:rPr>
                <w:rFonts w:ascii="仿宋" w:eastAsia="仿宋" w:hAnsi="仿宋" w:cs="仿宋"/>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jc w:val="center"/>
              <w:rPr>
                <w:rFonts w:ascii="仿宋" w:eastAsia="仿宋" w:hAnsi="仿宋" w:cs="仿宋"/>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jc w:val="center"/>
              <w:rPr>
                <w:rFonts w:ascii="仿宋" w:eastAsia="仿宋" w:hAnsi="仿宋" w:cs="仿宋"/>
              </w:rPr>
            </w:pPr>
            <w:r>
              <w:rPr>
                <w:rFonts w:ascii="仿宋" w:eastAsia="仿宋" w:hAnsi="仿宋" w:cs="仿宋" w:hint="eastAsia"/>
                <w:lang w:val="en-US"/>
              </w:rPr>
              <w:t>采购品目名称</w:t>
            </w:r>
          </w:p>
        </w:tc>
        <w:tc>
          <w:tcPr>
            <w:tcW w:w="17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jc w:val="center"/>
              <w:rPr>
                <w:rFonts w:ascii="仿宋" w:eastAsia="仿宋" w:hAnsi="仿宋" w:cs="仿宋"/>
              </w:rPr>
            </w:pPr>
            <w:r>
              <w:rPr>
                <w:rFonts w:ascii="仿宋" w:eastAsia="仿宋" w:hAnsi="仿宋" w:cs="仿宋" w:hint="eastAsia"/>
                <w:lang w:val="en-US"/>
              </w:rPr>
              <w:t>采购组织形式</w:t>
            </w:r>
          </w:p>
        </w:tc>
        <w:tc>
          <w:tcPr>
            <w:tcW w:w="4618"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jc w:val="center"/>
              <w:rPr>
                <w:rFonts w:ascii="仿宋" w:eastAsia="仿宋" w:hAnsi="仿宋" w:cs="仿宋"/>
              </w:rPr>
            </w:pPr>
            <w:r>
              <w:rPr>
                <w:rFonts w:ascii="仿宋" w:eastAsia="仿宋" w:hAnsi="仿宋" w:cs="仿宋" w:hint="eastAsia"/>
                <w:lang w:val="en-US"/>
              </w:rPr>
              <w:t>资金来源</w:t>
            </w:r>
          </w:p>
        </w:tc>
        <w:tc>
          <w:tcPr>
            <w:tcW w:w="1548"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jc w:val="center"/>
              <w:rPr>
                <w:rFonts w:ascii="仿宋" w:eastAsia="仿宋" w:hAnsi="仿宋" w:cs="仿宋"/>
              </w:rPr>
            </w:pPr>
            <w:r>
              <w:rPr>
                <w:rFonts w:ascii="仿宋" w:eastAsia="仿宋" w:hAnsi="仿宋" w:cs="仿宋" w:hint="eastAsia"/>
                <w:lang w:val="en-US"/>
              </w:rPr>
              <w:t>总计</w:t>
            </w:r>
          </w:p>
        </w:tc>
      </w:tr>
      <w:tr w:rsidR="00A01E05">
        <w:trPr>
          <w:cantSplit/>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napToGrid w:val="0"/>
              <w:rPr>
                <w:rFonts w:ascii="仿宋" w:eastAsia="仿宋" w:hAnsi="仿宋" w:cs="仿宋"/>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napToGrid w:val="0"/>
              <w:rPr>
                <w:rFonts w:ascii="仿宋" w:eastAsia="仿宋" w:hAnsi="仿宋" w:cs="仿宋"/>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napToGrid w:val="0"/>
              <w:rPr>
                <w:rFonts w:ascii="仿宋" w:eastAsia="仿宋" w:hAnsi="仿宋" w:cs="仿宋"/>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napToGrid w:val="0"/>
              <w:rPr>
                <w:rFonts w:ascii="仿宋" w:eastAsia="仿宋" w:hAnsi="仿宋" w:cs="仿宋"/>
              </w:rPr>
            </w:pPr>
          </w:p>
        </w:tc>
        <w:tc>
          <w:tcPr>
            <w:tcW w:w="17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napToGrid w:val="0"/>
              <w:rPr>
                <w:rFonts w:ascii="仿宋" w:eastAsia="仿宋" w:hAnsi="仿宋" w:cs="仿宋"/>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jc w:val="center"/>
              <w:rPr>
                <w:rFonts w:ascii="仿宋" w:eastAsia="仿宋" w:hAnsi="仿宋" w:cs="仿宋"/>
                <w:lang w:val="en-US"/>
              </w:rPr>
            </w:pPr>
            <w:r>
              <w:rPr>
                <w:rFonts w:ascii="仿宋" w:eastAsia="仿宋" w:hAnsi="仿宋" w:cs="仿宋" w:hint="eastAsia"/>
                <w:lang w:val="en-US"/>
              </w:rPr>
              <w:t>一般公共预算资金</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jc w:val="center"/>
              <w:rPr>
                <w:rFonts w:ascii="仿宋" w:eastAsia="仿宋" w:hAnsi="仿宋" w:cs="仿宋"/>
              </w:rPr>
            </w:pPr>
            <w:r>
              <w:rPr>
                <w:rFonts w:ascii="仿宋" w:eastAsia="仿宋" w:hAnsi="仿宋" w:cs="仿宋" w:hint="eastAsia"/>
                <w:lang w:val="en-US"/>
              </w:rPr>
              <w:t>政府性基金</w:t>
            </w: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jc w:val="center"/>
              <w:rPr>
                <w:rFonts w:ascii="仿宋" w:eastAsia="仿宋" w:hAnsi="仿宋" w:cs="仿宋"/>
              </w:rPr>
            </w:pPr>
            <w:r>
              <w:rPr>
                <w:rFonts w:ascii="仿宋" w:eastAsia="仿宋" w:hAnsi="仿宋" w:cs="仿宋" w:hint="eastAsia"/>
                <w:lang w:val="en-US"/>
              </w:rPr>
              <w:t>其他资金</w:t>
            </w: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jc w:val="center"/>
              <w:rPr>
                <w:rFonts w:ascii="仿宋" w:eastAsia="仿宋" w:hAnsi="仿宋" w:cs="仿宋"/>
              </w:rPr>
            </w:pPr>
            <w:r>
              <w:rPr>
                <w:rFonts w:ascii="仿宋" w:eastAsia="仿宋" w:hAnsi="仿宋" w:cs="仿宋" w:hint="eastAsia"/>
                <w:lang w:val="en-US"/>
              </w:rPr>
              <w:t>上年结转和结余资金</w:t>
            </w:r>
          </w:p>
        </w:tc>
        <w:tc>
          <w:tcPr>
            <w:tcW w:w="1548"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napToGrid w:val="0"/>
              <w:rPr>
                <w:rFonts w:ascii="仿宋" w:eastAsia="仿宋" w:hAnsi="仿宋" w:cs="仿宋"/>
              </w:rPr>
            </w:pPr>
          </w:p>
        </w:tc>
      </w:tr>
      <w:tr w:rsidR="00A01E05">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C32B94">
            <w:pPr>
              <w:pStyle w:val="TableParagraph"/>
              <w:snapToGrid w:val="0"/>
              <w:rPr>
                <w:rFonts w:ascii="仿宋" w:eastAsia="仿宋" w:hAnsi="仿宋" w:cs="仿宋"/>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napToGrid w:val="0"/>
              <w:rPr>
                <w:rFonts w:ascii="仿宋" w:eastAsia="仿宋" w:hAnsi="仿宋" w:cs="仿宋"/>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napToGrid w:val="0"/>
              <w:rPr>
                <w:rFonts w:ascii="仿宋" w:eastAsia="仿宋" w:hAnsi="仿宋" w:cs="仿宋"/>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napToGrid w:val="0"/>
              <w:rPr>
                <w:rFonts w:ascii="仿宋" w:eastAsia="仿宋" w:hAnsi="仿宋" w:cs="仿宋"/>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pStyle w:val="TableParagraph"/>
              <w:snapToGrid w:val="0"/>
              <w:rPr>
                <w:rFonts w:ascii="仿宋" w:eastAsia="仿宋" w:hAnsi="仿宋" w:cs="仿宋"/>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r>
      <w:tr w:rsidR="00A01E05">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rPr>
                <w:rFonts w:ascii="仿宋" w:eastAsia="仿宋" w:hAnsi="仿宋" w:cs="仿宋"/>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rPr>
                <w:rFonts w:ascii="仿宋" w:eastAsia="仿宋" w:hAnsi="仿宋" w:cs="仿宋"/>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r>
      <w:tr w:rsidR="00A01E05">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rPr>
                <w:rFonts w:ascii="仿宋" w:eastAsia="仿宋" w:hAnsi="仿宋" w:cs="仿宋"/>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rPr>
                <w:rFonts w:ascii="仿宋" w:eastAsia="仿宋" w:hAnsi="仿宋" w:cs="仿宋"/>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A01E05" w:rsidRDefault="00A01E05">
            <w:pPr>
              <w:snapToGrid w:val="0"/>
              <w:ind w:right="57"/>
              <w:jc w:val="right"/>
              <w:rPr>
                <w:rFonts w:ascii="仿宋" w:eastAsia="仿宋" w:hAnsi="仿宋" w:cs="仿宋"/>
                <w:lang w:val="en-US"/>
              </w:rPr>
            </w:pPr>
          </w:p>
        </w:tc>
      </w:tr>
    </w:tbl>
    <w:p w:rsidR="00A01E05" w:rsidRDefault="00C32B94">
      <w:pPr>
        <w:rPr>
          <w:rFonts w:ascii="仿宋" w:eastAsia="仿宋" w:hAnsi="仿宋" w:cs="仿宋"/>
          <w:b/>
          <w:bCs/>
        </w:rPr>
      </w:pPr>
      <w:r>
        <w:rPr>
          <w:rFonts w:ascii="仿宋" w:eastAsia="仿宋" w:hAnsi="仿宋" w:cs="仿宋" w:hint="eastAsia"/>
          <w:b/>
          <w:bCs/>
        </w:rPr>
        <w:t>注：</w:t>
      </w:r>
      <w:r>
        <w:rPr>
          <w:rFonts w:ascii="仿宋" w:eastAsia="仿宋" w:hAnsi="仿宋" w:cs="仿宋" w:hint="eastAsia"/>
          <w:b/>
          <w:bCs/>
        </w:rPr>
        <w:t>本</w:t>
      </w:r>
      <w:r>
        <w:rPr>
          <w:rFonts w:ascii="仿宋" w:eastAsia="仿宋" w:hAnsi="仿宋" w:cs="仿宋"/>
          <w:b/>
        </w:rPr>
        <w:t>部门无政府采购支出，故本表无数据。</w:t>
      </w:r>
    </w:p>
    <w:p w:rsidR="00A01E05" w:rsidRDefault="00A01E05">
      <w:pPr>
        <w:rPr>
          <w:rFonts w:ascii="仿宋" w:eastAsia="仿宋" w:hAnsi="仿宋" w:cs="仿宋"/>
          <w:b/>
          <w:bCs/>
        </w:rPr>
        <w:sectPr w:rsidR="00A01E05">
          <w:footerReference w:type="default" r:id="rId26"/>
          <w:pgSz w:w="16838" w:h="11906" w:orient="landscape"/>
          <w:pgMar w:top="1320" w:right="567" w:bottom="1320" w:left="567" w:header="170" w:footer="280" w:gutter="0"/>
          <w:pgNumType w:fmt="numberInDash"/>
          <w:cols w:space="720"/>
          <w:formProt w:val="0"/>
          <w:docGrid w:linePitch="100"/>
        </w:sectPr>
      </w:pPr>
    </w:p>
    <w:p w:rsidR="00A01E05" w:rsidRDefault="00C32B94">
      <w:pPr>
        <w:pStyle w:val="4"/>
        <w:tabs>
          <w:tab w:val="left" w:pos="3077"/>
        </w:tabs>
        <w:spacing w:line="616" w:lineRule="exact"/>
      </w:pPr>
      <w:r>
        <w:rPr>
          <w:rFonts w:ascii="仿宋" w:eastAsia="仿宋" w:hAnsi="仿宋" w:cs="仿宋" w:hint="eastAsia"/>
          <w:b/>
          <w:bCs/>
          <w:sz w:val="44"/>
          <w:szCs w:val="44"/>
        </w:rPr>
        <w:lastRenderedPageBreak/>
        <w:t>第三部分</w:t>
      </w:r>
      <w:r>
        <w:rPr>
          <w:rFonts w:ascii="仿宋" w:eastAsia="仿宋" w:hAnsi="仿宋" w:cs="仿宋" w:hint="eastAsia"/>
          <w:b/>
          <w:bCs/>
          <w:sz w:val="44"/>
          <w:szCs w:val="44"/>
        </w:rPr>
        <w:t>2023</w:t>
      </w:r>
      <w:r>
        <w:rPr>
          <w:rFonts w:ascii="仿宋" w:eastAsia="仿宋" w:hAnsi="仿宋" w:cs="仿宋" w:hint="eastAsia"/>
          <w:b/>
          <w:bCs/>
          <w:sz w:val="44"/>
          <w:szCs w:val="44"/>
        </w:rPr>
        <w:t>年度</w:t>
      </w:r>
      <w:r>
        <w:rPr>
          <w:rFonts w:ascii="仿宋" w:eastAsia="仿宋" w:hAnsi="仿宋" w:cs="仿宋"/>
          <w:b/>
          <w:sz w:val="44"/>
        </w:rPr>
        <w:t>部门</w:t>
      </w:r>
      <w:r>
        <w:rPr>
          <w:rFonts w:ascii="仿宋" w:eastAsia="仿宋" w:hAnsi="仿宋" w:cs="仿宋" w:hint="eastAsia"/>
          <w:b/>
          <w:bCs/>
          <w:sz w:val="44"/>
          <w:szCs w:val="44"/>
        </w:rPr>
        <w:t>预算</w:t>
      </w:r>
      <w:r>
        <w:rPr>
          <w:rFonts w:ascii="仿宋" w:eastAsia="仿宋" w:hAnsi="仿宋" w:cs="仿宋" w:hint="eastAsia"/>
          <w:b/>
          <w:bCs/>
          <w:sz w:val="44"/>
          <w:szCs w:val="44"/>
        </w:rPr>
        <w:t>情况说明</w:t>
      </w:r>
    </w:p>
    <w:p w:rsidR="00A01E05" w:rsidRDefault="00A01E05">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一、收支预算总体情况说明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年度收入、支出预算总计</w:t>
      </w:r>
      <w:r>
        <w:rPr>
          <w:rFonts w:ascii="仿宋" w:eastAsia="仿宋" w:hAnsi="仿宋" w:cs="仿宋"/>
        </w:rPr>
        <w:t>5,086.9</w:t>
      </w:r>
      <w:r>
        <w:rPr>
          <w:rFonts w:ascii="仿宋" w:eastAsia="仿宋" w:hAnsi="仿宋" w:cs="仿宋"/>
        </w:rPr>
        <w:t>万元，与上年相比收、支预算总计各减少</w:t>
      </w:r>
      <w:r>
        <w:rPr>
          <w:rFonts w:ascii="仿宋" w:eastAsia="仿宋" w:hAnsi="仿宋" w:cs="仿宋"/>
        </w:rPr>
        <w:t>154.98</w:t>
      </w:r>
      <w:r>
        <w:rPr>
          <w:rFonts w:ascii="仿宋" w:eastAsia="仿宋" w:hAnsi="仿宋" w:cs="仿宋"/>
        </w:rPr>
        <w:t>万元，减少</w:t>
      </w:r>
      <w:r>
        <w:rPr>
          <w:rFonts w:ascii="仿宋" w:eastAsia="仿宋" w:hAnsi="仿宋" w:cs="仿宋"/>
        </w:rPr>
        <w:t>2.96%</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（一）收入预算总计</w:t>
      </w:r>
      <w:r>
        <w:rPr>
          <w:rFonts w:ascii="仿宋" w:eastAsia="仿宋" w:hAnsi="仿宋" w:cs="仿宋"/>
          <w:b/>
        </w:rPr>
        <w:t>5,086.9</w:t>
      </w:r>
      <w:r>
        <w:rPr>
          <w:rFonts w:ascii="仿宋" w:eastAsia="仿宋" w:hAnsi="仿宋" w:cs="仿宋"/>
          <w:b/>
        </w:rPr>
        <w:t>万元。包括：</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．本年收入合计</w:t>
      </w:r>
      <w:r>
        <w:rPr>
          <w:rFonts w:ascii="仿宋" w:eastAsia="仿宋" w:hAnsi="仿宋" w:cs="仿宋"/>
        </w:rPr>
        <w:t>5,086.9</w:t>
      </w:r>
      <w:r>
        <w:rPr>
          <w:rFonts w:ascii="仿宋" w:eastAsia="仿宋" w:hAnsi="仿宋" w:cs="仿宋"/>
        </w:rPr>
        <w:t>万元。</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）一般公共预算拨款收入</w:t>
      </w:r>
      <w:r>
        <w:rPr>
          <w:rFonts w:ascii="仿宋" w:eastAsia="仿宋" w:hAnsi="仿宋" w:cs="仿宋"/>
        </w:rPr>
        <w:t>5,086.9</w:t>
      </w:r>
      <w:r>
        <w:rPr>
          <w:rFonts w:ascii="仿宋" w:eastAsia="仿宋" w:hAnsi="仿宋" w:cs="仿宋"/>
        </w:rPr>
        <w:t>万元，与上年相比减少</w:t>
      </w:r>
      <w:r>
        <w:rPr>
          <w:rFonts w:ascii="仿宋" w:eastAsia="仿宋" w:hAnsi="仿宋" w:cs="仿宋"/>
        </w:rPr>
        <w:t>57.13</w:t>
      </w:r>
      <w:r>
        <w:rPr>
          <w:rFonts w:ascii="仿宋" w:eastAsia="仿宋" w:hAnsi="仿宋" w:cs="仿宋"/>
        </w:rPr>
        <w:t>万元，减少</w:t>
      </w:r>
      <w:r>
        <w:rPr>
          <w:rFonts w:ascii="仿宋" w:eastAsia="仿宋" w:hAnsi="仿宋" w:cs="仿宋"/>
        </w:rPr>
        <w:t>1.11%</w:t>
      </w:r>
      <w:r>
        <w:rPr>
          <w:rFonts w:ascii="仿宋" w:eastAsia="仿宋" w:hAnsi="仿宋" w:cs="仿宋"/>
        </w:rPr>
        <w:t>。主要原因是</w:t>
      </w:r>
      <w:r>
        <w:rPr>
          <w:rFonts w:ascii="仿宋" w:eastAsia="仿宋" w:hAnsi="仿宋" w:cs="仿宋"/>
        </w:rPr>
        <w:t>①2023</w:t>
      </w:r>
      <w:r>
        <w:rPr>
          <w:rFonts w:ascii="仿宋" w:eastAsia="仿宋" w:hAnsi="仿宋" w:cs="仿宋"/>
        </w:rPr>
        <w:t>年部门预算经费压缩</w:t>
      </w:r>
      <w:bookmarkStart w:id="0" w:name="_GoBack"/>
      <w:bookmarkEnd w:id="0"/>
      <w:r>
        <w:rPr>
          <w:rFonts w:ascii="仿宋" w:eastAsia="仿宋" w:hAnsi="仿宋" w:cs="仿宋"/>
        </w:rPr>
        <w:t>人员减少（</w:t>
      </w:r>
      <w:r>
        <w:rPr>
          <w:rFonts w:ascii="仿宋" w:eastAsia="仿宋" w:hAnsi="仿宋" w:cs="仿宋"/>
        </w:rPr>
        <w:t>2023</w:t>
      </w:r>
      <w:r>
        <w:rPr>
          <w:rFonts w:ascii="仿宋" w:eastAsia="仿宋" w:hAnsi="仿宋" w:cs="仿宋"/>
        </w:rPr>
        <w:t>年有在职人员退休）。</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）政府性基金预算拨款收入</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）国有资本经营预算拨款收入</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）财政专户管理资金收入</w:t>
      </w:r>
      <w:r>
        <w:rPr>
          <w:rFonts w:ascii="仿宋" w:eastAsia="仿宋" w:hAnsi="仿宋" w:cs="仿宋"/>
        </w:rPr>
        <w:t>0</w:t>
      </w:r>
      <w:r>
        <w:rPr>
          <w:rFonts w:ascii="仿宋" w:eastAsia="仿宋" w:hAnsi="仿宋" w:cs="仿宋"/>
        </w:rPr>
        <w:t>万元，与上年相比减少</w:t>
      </w:r>
      <w:r>
        <w:rPr>
          <w:rFonts w:ascii="仿宋" w:eastAsia="仿宋" w:hAnsi="仿宋" w:cs="仿宋"/>
        </w:rPr>
        <w:t>97.85</w:t>
      </w:r>
      <w:r>
        <w:rPr>
          <w:rFonts w:ascii="仿宋" w:eastAsia="仿宋" w:hAnsi="仿宋" w:cs="仿宋"/>
        </w:rPr>
        <w:t>万元，减少</w:t>
      </w:r>
      <w:r>
        <w:rPr>
          <w:rFonts w:ascii="仿宋" w:eastAsia="仿宋" w:hAnsi="仿宋" w:cs="仿宋"/>
        </w:rPr>
        <w:t>100%</w:t>
      </w:r>
      <w:r>
        <w:rPr>
          <w:rFonts w:ascii="仿宋" w:eastAsia="仿宋" w:hAnsi="仿宋" w:cs="仿宋"/>
        </w:rPr>
        <w:t>。主要原因是无线电管理监测站、工信综合执法支队历年结余资金已用完，</w:t>
      </w:r>
      <w:r>
        <w:rPr>
          <w:rFonts w:ascii="仿宋" w:eastAsia="仿宋" w:hAnsi="仿宋" w:cs="仿宋"/>
        </w:rPr>
        <w:t>2023</w:t>
      </w:r>
      <w:r>
        <w:rPr>
          <w:rFonts w:ascii="仿宋" w:eastAsia="仿宋" w:hAnsi="仿宋" w:cs="仿宋"/>
        </w:rPr>
        <w:t>年不再安排预算。</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5</w:t>
      </w:r>
      <w:r>
        <w:rPr>
          <w:rFonts w:ascii="仿宋" w:eastAsia="仿宋" w:hAnsi="仿宋" w:cs="仿宋"/>
        </w:rPr>
        <w:t>）事业收入</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6</w:t>
      </w:r>
      <w:r>
        <w:rPr>
          <w:rFonts w:ascii="仿宋" w:eastAsia="仿宋" w:hAnsi="仿宋" w:cs="仿宋"/>
        </w:rPr>
        <w:t>）事业单位经营收入</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7</w:t>
      </w:r>
      <w:r>
        <w:rPr>
          <w:rFonts w:ascii="仿宋" w:eastAsia="仿宋" w:hAnsi="仿宋" w:cs="仿宋"/>
        </w:rPr>
        <w:t>）上级补助收入</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8</w:t>
      </w:r>
      <w:r>
        <w:rPr>
          <w:rFonts w:ascii="仿宋" w:eastAsia="仿宋" w:hAnsi="仿宋" w:cs="仿宋"/>
        </w:rPr>
        <w:t>）附属单位上缴收入</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9</w:t>
      </w:r>
      <w:r>
        <w:rPr>
          <w:rFonts w:ascii="仿宋" w:eastAsia="仿宋" w:hAnsi="仿宋" w:cs="仿宋"/>
        </w:rPr>
        <w:t>）其他收入</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w:t>
      </w:r>
      <w:r>
        <w:rPr>
          <w:rFonts w:ascii="仿宋" w:eastAsia="仿宋" w:hAnsi="仿宋" w:cs="仿宋"/>
        </w:rPr>
        <w:t>．上年结转结余为</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（二）支出预算总计</w:t>
      </w:r>
      <w:r>
        <w:rPr>
          <w:rFonts w:ascii="仿宋" w:eastAsia="仿宋" w:hAnsi="仿宋" w:cs="仿宋"/>
          <w:b/>
        </w:rPr>
        <w:t>5,086.9</w:t>
      </w:r>
      <w:r>
        <w:rPr>
          <w:rFonts w:ascii="仿宋" w:eastAsia="仿宋" w:hAnsi="仿宋" w:cs="仿宋"/>
          <w:b/>
        </w:rPr>
        <w:t>万元。包括：</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．本年支出合计</w:t>
      </w:r>
      <w:r>
        <w:rPr>
          <w:rFonts w:ascii="仿宋" w:eastAsia="仿宋" w:hAnsi="仿宋" w:cs="仿宋"/>
        </w:rPr>
        <w:t>5,086.9</w:t>
      </w:r>
      <w:r>
        <w:rPr>
          <w:rFonts w:ascii="仿宋" w:eastAsia="仿宋" w:hAnsi="仿宋" w:cs="仿宋"/>
        </w:rPr>
        <w:t>万元。</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）一般公共服务支出（类）支出</w:t>
      </w:r>
      <w:r>
        <w:rPr>
          <w:rFonts w:ascii="仿宋" w:eastAsia="仿宋" w:hAnsi="仿宋" w:cs="仿宋"/>
        </w:rPr>
        <w:t>165.7</w:t>
      </w:r>
      <w:r>
        <w:rPr>
          <w:rFonts w:ascii="仿宋" w:eastAsia="仿宋" w:hAnsi="仿宋" w:cs="仿宋"/>
        </w:rPr>
        <w:t>万元，主要用于无线电监测站单位日常运行和无线电监测事务运行保障支出。与上年相比增加</w:t>
      </w:r>
      <w:r>
        <w:rPr>
          <w:rFonts w:ascii="仿宋" w:eastAsia="仿宋" w:hAnsi="仿宋" w:cs="仿宋"/>
        </w:rPr>
        <w:t>28.49</w:t>
      </w:r>
      <w:r>
        <w:rPr>
          <w:rFonts w:ascii="仿宋" w:eastAsia="仿宋" w:hAnsi="仿宋" w:cs="仿宋"/>
        </w:rPr>
        <w:t>万元，增长</w:t>
      </w:r>
      <w:r>
        <w:rPr>
          <w:rFonts w:ascii="仿宋" w:eastAsia="仿宋" w:hAnsi="仿宋" w:cs="仿宋"/>
        </w:rPr>
        <w:t>20.76%</w:t>
      </w:r>
      <w:r>
        <w:rPr>
          <w:rFonts w:ascii="仿宋" w:eastAsia="仿宋" w:hAnsi="仿宋" w:cs="仿宋"/>
        </w:rPr>
        <w:t>。主要原因是无线电监测事务运行保障支出</w:t>
      </w:r>
      <w:r>
        <w:rPr>
          <w:rFonts w:ascii="仿宋" w:eastAsia="仿宋" w:hAnsi="仿宋" w:cs="仿宋"/>
        </w:rPr>
        <w:t>2023</w:t>
      </w:r>
      <w:r>
        <w:rPr>
          <w:rFonts w:ascii="仿宋" w:eastAsia="仿宋" w:hAnsi="仿宋" w:cs="仿宋"/>
        </w:rPr>
        <w:t>年调整到一般公共服务支出（类）。</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）社会保障和就业支出（类）支出</w:t>
      </w:r>
      <w:r>
        <w:rPr>
          <w:rFonts w:ascii="仿宋" w:eastAsia="仿宋" w:hAnsi="仿宋" w:cs="仿宋"/>
        </w:rPr>
        <w:t>65.52</w:t>
      </w:r>
      <w:r>
        <w:rPr>
          <w:rFonts w:ascii="仿宋" w:eastAsia="仿宋" w:hAnsi="仿宋" w:cs="仿宋"/>
        </w:rPr>
        <w:t>万元，主要用于工信局及下属行政事业单位离退休人员的工资支出。与上年相比增加</w:t>
      </w:r>
      <w:r>
        <w:rPr>
          <w:rFonts w:ascii="仿宋" w:eastAsia="仿宋" w:hAnsi="仿宋" w:cs="仿宋"/>
        </w:rPr>
        <w:t>2.18</w:t>
      </w:r>
      <w:r>
        <w:rPr>
          <w:rFonts w:ascii="仿宋" w:eastAsia="仿宋" w:hAnsi="仿宋" w:cs="仿宋"/>
        </w:rPr>
        <w:t>万元，增长</w:t>
      </w:r>
      <w:r>
        <w:rPr>
          <w:rFonts w:ascii="仿宋" w:eastAsia="仿宋" w:hAnsi="仿宋" w:cs="仿宋"/>
        </w:rPr>
        <w:t>3.44%</w:t>
      </w:r>
      <w:r>
        <w:rPr>
          <w:rFonts w:ascii="仿宋" w:eastAsia="仿宋" w:hAnsi="仿宋" w:cs="仿宋"/>
        </w:rPr>
        <w:t>。主要原因是</w:t>
      </w:r>
      <w:r>
        <w:rPr>
          <w:rFonts w:ascii="仿宋" w:eastAsia="仿宋" w:hAnsi="仿宋" w:cs="仿宋"/>
        </w:rPr>
        <w:t>2022</w:t>
      </w:r>
      <w:r>
        <w:rPr>
          <w:rFonts w:ascii="仿宋" w:eastAsia="仿宋" w:hAnsi="仿宋" w:cs="仿宋"/>
        </w:rPr>
        <w:t>年工信局及无线电管理监测站退休人员增加。</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）卫生健康支出（类）支出</w:t>
      </w:r>
      <w:r>
        <w:rPr>
          <w:rFonts w:ascii="仿宋" w:eastAsia="仿宋" w:hAnsi="仿宋" w:cs="仿宋"/>
        </w:rPr>
        <w:t>53.72</w:t>
      </w:r>
      <w:r>
        <w:rPr>
          <w:rFonts w:ascii="仿宋" w:eastAsia="仿宋" w:hAnsi="仿宋" w:cs="仿宋"/>
        </w:rPr>
        <w:t>万元，主要用于工信局及下属行政事业单位在职、退休人员的医保费用支出。与上年相比增加</w:t>
      </w:r>
      <w:r>
        <w:rPr>
          <w:rFonts w:ascii="仿宋" w:eastAsia="仿宋" w:hAnsi="仿宋" w:cs="仿宋"/>
        </w:rPr>
        <w:t>0.19</w:t>
      </w:r>
      <w:r>
        <w:rPr>
          <w:rFonts w:ascii="仿宋" w:eastAsia="仿宋" w:hAnsi="仿宋" w:cs="仿宋"/>
        </w:rPr>
        <w:t>万元，增长</w:t>
      </w:r>
      <w:r>
        <w:rPr>
          <w:rFonts w:ascii="仿宋" w:eastAsia="仿宋" w:hAnsi="仿宋" w:cs="仿宋"/>
        </w:rPr>
        <w:t>0.35%</w:t>
      </w:r>
      <w:r>
        <w:rPr>
          <w:rFonts w:ascii="仿宋" w:eastAsia="仿宋" w:hAnsi="仿宋" w:cs="仿宋"/>
        </w:rPr>
        <w:t>。主要原因是调职人员医保基数增加。</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）资源勘探工业信息等支出（类）支出</w:t>
      </w:r>
      <w:r>
        <w:rPr>
          <w:rFonts w:ascii="仿宋" w:eastAsia="仿宋" w:hAnsi="仿宋" w:cs="仿宋"/>
        </w:rPr>
        <w:t>3,354.16</w:t>
      </w:r>
      <w:r>
        <w:rPr>
          <w:rFonts w:ascii="仿宋" w:eastAsia="仿宋" w:hAnsi="仿宋" w:cs="仿宋"/>
        </w:rPr>
        <w:t>万元，主要用于工信局及下属事业单位人员工资，单位日常运转以及开展业务工作和基础设施修缮及设备购置等工作的支出。与上年相比减少</w:t>
      </w:r>
      <w:r>
        <w:rPr>
          <w:rFonts w:ascii="仿宋" w:eastAsia="仿宋" w:hAnsi="仿宋" w:cs="仿宋"/>
        </w:rPr>
        <w:t>149.12</w:t>
      </w:r>
      <w:r>
        <w:rPr>
          <w:rFonts w:ascii="仿宋" w:eastAsia="仿宋" w:hAnsi="仿宋" w:cs="仿宋"/>
        </w:rPr>
        <w:t>万元，减少</w:t>
      </w:r>
      <w:r>
        <w:rPr>
          <w:rFonts w:ascii="仿宋" w:eastAsia="仿宋" w:hAnsi="仿宋" w:cs="仿宋"/>
        </w:rPr>
        <w:t>4.26%</w:t>
      </w:r>
      <w:r>
        <w:rPr>
          <w:rFonts w:ascii="仿宋" w:eastAsia="仿宋" w:hAnsi="仿宋" w:cs="仿宋"/>
        </w:rPr>
        <w:t>。主要原因是</w:t>
      </w:r>
      <w:r>
        <w:rPr>
          <w:rFonts w:ascii="仿宋" w:eastAsia="仿宋" w:hAnsi="仿宋" w:cs="仿宋"/>
        </w:rPr>
        <w:t>①2023</w:t>
      </w:r>
      <w:r>
        <w:rPr>
          <w:rFonts w:ascii="仿宋" w:eastAsia="仿宋" w:hAnsi="仿宋" w:cs="仿宋"/>
        </w:rPr>
        <w:t>年部门预算经费压缩，</w:t>
      </w:r>
      <w:r>
        <w:rPr>
          <w:rFonts w:ascii="仿宋" w:eastAsia="仿宋" w:hAnsi="仿宋" w:cs="仿宋"/>
        </w:rPr>
        <w:t>②</w:t>
      </w:r>
      <w:r>
        <w:rPr>
          <w:rFonts w:ascii="仿宋" w:eastAsia="仿宋" w:hAnsi="仿宋" w:cs="仿宋"/>
        </w:rPr>
        <w:t>人员减少（</w:t>
      </w:r>
      <w:r>
        <w:rPr>
          <w:rFonts w:ascii="仿宋" w:eastAsia="仿宋" w:hAnsi="仿宋" w:cs="仿宋"/>
        </w:rPr>
        <w:t>2</w:t>
      </w:r>
      <w:r>
        <w:rPr>
          <w:rFonts w:ascii="仿宋" w:eastAsia="仿宋" w:hAnsi="仿宋" w:cs="仿宋"/>
        </w:rPr>
        <w:t>023</w:t>
      </w:r>
      <w:r>
        <w:rPr>
          <w:rFonts w:ascii="仿宋" w:eastAsia="仿宋" w:hAnsi="仿宋" w:cs="仿宋"/>
        </w:rPr>
        <w:t>年有在职人员退休）。</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5</w:t>
      </w:r>
      <w:r>
        <w:rPr>
          <w:rFonts w:ascii="仿宋" w:eastAsia="仿宋" w:hAnsi="仿宋" w:cs="仿宋"/>
        </w:rPr>
        <w:t>）住房保障支出（类）支出</w:t>
      </w:r>
      <w:r>
        <w:rPr>
          <w:rFonts w:ascii="仿宋" w:eastAsia="仿宋" w:hAnsi="仿宋" w:cs="仿宋"/>
        </w:rPr>
        <w:t>1,447.8</w:t>
      </w:r>
      <w:r>
        <w:rPr>
          <w:rFonts w:ascii="仿宋" w:eastAsia="仿宋" w:hAnsi="仿宋" w:cs="仿宋"/>
        </w:rPr>
        <w:t>万元，主要用于工信局及下属行政事业单位按照国家政策规定为职工缴纳住房公积金、新职工补贴以及发放的提租补贴支出。与上年相比减少</w:t>
      </w:r>
      <w:r>
        <w:rPr>
          <w:rFonts w:ascii="仿宋" w:eastAsia="仿宋" w:hAnsi="仿宋" w:cs="仿宋"/>
        </w:rPr>
        <w:t>36.72</w:t>
      </w:r>
      <w:r>
        <w:rPr>
          <w:rFonts w:ascii="仿宋" w:eastAsia="仿宋" w:hAnsi="仿宋" w:cs="仿宋"/>
        </w:rPr>
        <w:t>万元，减少</w:t>
      </w:r>
      <w:r>
        <w:rPr>
          <w:rFonts w:ascii="仿宋" w:eastAsia="仿宋" w:hAnsi="仿宋" w:cs="仿宋"/>
        </w:rPr>
        <w:t>2.47%</w:t>
      </w:r>
      <w:r>
        <w:rPr>
          <w:rFonts w:ascii="仿宋" w:eastAsia="仿宋" w:hAnsi="仿宋" w:cs="仿宋"/>
        </w:rPr>
        <w:t>。主要原因是</w:t>
      </w:r>
      <w:r>
        <w:rPr>
          <w:rFonts w:ascii="仿宋" w:eastAsia="仿宋" w:hAnsi="仿宋" w:cs="仿宋"/>
        </w:rPr>
        <w:t>2023</w:t>
      </w:r>
      <w:r>
        <w:rPr>
          <w:rFonts w:ascii="仿宋" w:eastAsia="仿宋" w:hAnsi="仿宋" w:cs="仿宋"/>
        </w:rPr>
        <w:t>年在职人员正常退休减少。</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w:t>
      </w:r>
      <w:r>
        <w:rPr>
          <w:rFonts w:ascii="仿宋" w:eastAsia="仿宋" w:hAnsi="仿宋" w:cs="仿宋"/>
        </w:rPr>
        <w:t>．年终结转结余为</w:t>
      </w:r>
      <w:r>
        <w:rPr>
          <w:rFonts w:ascii="仿宋" w:eastAsia="仿宋" w:hAnsi="仿宋" w:cs="仿宋"/>
        </w:rPr>
        <w:t>0</w:t>
      </w:r>
      <w:r>
        <w:rPr>
          <w:rFonts w:ascii="仿宋" w:eastAsia="仿宋" w:hAnsi="仿宋" w:cs="仿宋"/>
        </w:rPr>
        <w:t>万元。</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二、收入预算情况说明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年收入预算合计</w:t>
      </w:r>
      <w:r>
        <w:rPr>
          <w:rFonts w:ascii="仿宋" w:eastAsia="仿宋" w:hAnsi="仿宋" w:cs="仿宋"/>
        </w:rPr>
        <w:t>5,086.9</w:t>
      </w:r>
      <w:r>
        <w:rPr>
          <w:rFonts w:ascii="仿宋" w:eastAsia="仿宋" w:hAnsi="仿宋" w:cs="仿宋"/>
        </w:rPr>
        <w:t>万元，包括本年收入</w:t>
      </w:r>
      <w:r>
        <w:rPr>
          <w:rFonts w:ascii="仿宋" w:eastAsia="仿宋" w:hAnsi="仿宋" w:cs="仿宋"/>
        </w:rPr>
        <w:t>5,086.9</w:t>
      </w:r>
      <w:r>
        <w:rPr>
          <w:rFonts w:ascii="仿宋" w:eastAsia="仿宋" w:hAnsi="仿宋" w:cs="仿宋"/>
        </w:rPr>
        <w:t>万元，上年结转结余</w:t>
      </w:r>
      <w:r>
        <w:rPr>
          <w:rFonts w:ascii="仿宋" w:eastAsia="仿宋" w:hAnsi="仿宋" w:cs="仿宋"/>
        </w:rPr>
        <w:t>0</w:t>
      </w:r>
      <w:r>
        <w:rPr>
          <w:rFonts w:ascii="仿宋" w:eastAsia="仿宋" w:hAnsi="仿宋" w:cs="仿宋"/>
        </w:rPr>
        <w:t>万元。</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本年一般公共预算收入</w:t>
      </w:r>
      <w:r>
        <w:rPr>
          <w:rFonts w:ascii="仿宋" w:eastAsia="仿宋" w:hAnsi="仿宋" w:cs="仿宋"/>
        </w:rPr>
        <w:t>5,086.9</w:t>
      </w:r>
      <w:r>
        <w:rPr>
          <w:rFonts w:ascii="仿宋" w:eastAsia="仿宋" w:hAnsi="仿宋" w:cs="仿宋"/>
        </w:rPr>
        <w:t>万元，占</w:t>
      </w:r>
      <w:r>
        <w:rPr>
          <w:rFonts w:ascii="仿宋" w:eastAsia="仿宋" w:hAnsi="仿宋" w:cs="仿宋"/>
        </w:rPr>
        <w:t>100%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本年政府性基金</w:t>
      </w:r>
      <w:r>
        <w:rPr>
          <w:rFonts w:ascii="仿宋" w:eastAsia="仿宋" w:hAnsi="仿宋" w:cs="仿宋"/>
        </w:rPr>
        <w:t>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本年财政专户管理资金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本年事业单位经营收入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本年其他收入</w:t>
      </w:r>
      <w:r w:rsidRPr="00552142">
        <w:rPr>
          <w:rFonts w:ascii="仿宋" w:eastAsia="仿宋" w:hAnsi="仿宋" w:cs="仿宋"/>
          <w:lang w:val="en-US"/>
        </w:rPr>
        <w:t>0</w:t>
      </w:r>
      <w:r>
        <w:rPr>
          <w:rFonts w:ascii="仿宋" w:eastAsia="仿宋" w:hAnsi="仿宋" w:cs="仿宋"/>
        </w:rPr>
        <w:t>万元</w:t>
      </w:r>
      <w:r w:rsidRPr="00552142">
        <w:rPr>
          <w:rFonts w:ascii="仿宋" w:eastAsia="仿宋" w:hAnsi="仿宋" w:cs="仿宋"/>
          <w:lang w:val="en-US"/>
        </w:rPr>
        <w:t>，</w:t>
      </w:r>
      <w:r>
        <w:rPr>
          <w:rFonts w:ascii="仿宋" w:eastAsia="仿宋" w:hAnsi="仿宋" w:cs="仿宋"/>
        </w:rPr>
        <w:t>占</w:t>
      </w:r>
      <w:r w:rsidRPr="00552142">
        <w:rPr>
          <w:rFonts w:ascii="仿宋" w:eastAsia="仿宋" w:hAnsi="仿宋" w:cs="仿宋"/>
          <w:lang w:val="en-US"/>
        </w:rPr>
        <w:t>0%</w:t>
      </w:r>
      <w:r w:rsidRPr="00552142">
        <w:rPr>
          <w:rFonts w:ascii="仿宋" w:eastAsia="仿宋" w:hAnsi="仿宋" w:cs="仿宋"/>
          <w:lang w:val="en-US"/>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上年结转结余的一般公共预算收入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上年结转结余的政府性基金预算收入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上年结转结余的财政专户管理资金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上年结转结余的单位资金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7"/>
                    <a:stretch>
                      <a:fillRect/>
                    </a:stretch>
                  </pic:blipFill>
                  <pic:spPr>
                    <a:xfrm>
                      <a:off x="0" y="0"/>
                      <a:ext cx="6134100" cy="3429000"/>
                    </a:xfrm>
                    <a:prstGeom prst="rect">
                      <a:avLst/>
                    </a:prstGeom>
                  </pic:spPr>
                </pic:pic>
              </a:graphicData>
            </a:graphic>
          </wp:inline>
        </w:drawing>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三、支出预算情况说明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年支出预算合计</w:t>
      </w:r>
      <w:r>
        <w:rPr>
          <w:rFonts w:ascii="仿宋" w:eastAsia="仿宋" w:hAnsi="仿宋" w:cs="仿宋"/>
        </w:rPr>
        <w:t>5,086.9</w:t>
      </w:r>
      <w:r>
        <w:rPr>
          <w:rFonts w:ascii="仿宋" w:eastAsia="仿宋" w:hAnsi="仿宋" w:cs="仿宋"/>
        </w:rPr>
        <w:t>万元，其中：</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基本支出</w:t>
      </w:r>
      <w:r>
        <w:rPr>
          <w:rFonts w:ascii="仿宋" w:eastAsia="仿宋" w:hAnsi="仿宋" w:cs="仿宋"/>
        </w:rPr>
        <w:t>4,772.66</w:t>
      </w:r>
      <w:r>
        <w:rPr>
          <w:rFonts w:ascii="仿宋" w:eastAsia="仿宋" w:hAnsi="仿宋" w:cs="仿宋"/>
        </w:rPr>
        <w:t>万元，占</w:t>
      </w:r>
      <w:r>
        <w:rPr>
          <w:rFonts w:ascii="仿宋" w:eastAsia="仿宋" w:hAnsi="仿宋" w:cs="仿宋"/>
        </w:rPr>
        <w:t>93.82%</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项目支出</w:t>
      </w:r>
      <w:r>
        <w:rPr>
          <w:rFonts w:ascii="仿宋" w:eastAsia="仿宋" w:hAnsi="仿宋" w:cs="仿宋"/>
        </w:rPr>
        <w:t>314.24</w:t>
      </w:r>
      <w:r>
        <w:rPr>
          <w:rFonts w:ascii="仿宋" w:eastAsia="仿宋" w:hAnsi="仿宋" w:cs="仿宋"/>
        </w:rPr>
        <w:t>万元，占</w:t>
      </w:r>
      <w:r>
        <w:rPr>
          <w:rFonts w:ascii="仿宋" w:eastAsia="仿宋" w:hAnsi="仿宋" w:cs="仿宋"/>
        </w:rPr>
        <w:t>6.18%</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事业单位经营支出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A01E05" w:rsidRDefault="00C32B94">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8"/>
                    <a:stretch>
                      <a:fillRect/>
                    </a:stretch>
                  </pic:blipFill>
                  <pic:spPr>
                    <a:xfrm>
                      <a:off x="0" y="0"/>
                      <a:ext cx="6134100" cy="3429000"/>
                    </a:xfrm>
                    <a:prstGeom prst="rect">
                      <a:avLst/>
                    </a:prstGeom>
                  </pic:spPr>
                </pic:pic>
              </a:graphicData>
            </a:graphic>
          </wp:inline>
        </w:drawing>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四、财政拨款收支预算总体情况说明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年度财政拨款收、支总预算</w:t>
      </w:r>
      <w:r>
        <w:rPr>
          <w:rFonts w:ascii="仿宋" w:eastAsia="仿宋" w:hAnsi="仿宋" w:cs="仿宋"/>
        </w:rPr>
        <w:t>5,086.9</w:t>
      </w:r>
      <w:r>
        <w:rPr>
          <w:rFonts w:ascii="仿宋" w:eastAsia="仿宋" w:hAnsi="仿宋" w:cs="仿宋"/>
        </w:rPr>
        <w:t>万元。与上年相比，财政拨款收、支总计各减少</w:t>
      </w:r>
      <w:r>
        <w:rPr>
          <w:rFonts w:ascii="仿宋" w:eastAsia="仿宋" w:hAnsi="仿宋" w:cs="仿宋"/>
        </w:rPr>
        <w:t>57.13</w:t>
      </w:r>
      <w:r>
        <w:rPr>
          <w:rFonts w:ascii="仿宋" w:eastAsia="仿宋" w:hAnsi="仿宋" w:cs="仿宋"/>
        </w:rPr>
        <w:t>万元，减少</w:t>
      </w:r>
      <w:r>
        <w:rPr>
          <w:rFonts w:ascii="仿宋" w:eastAsia="仿宋" w:hAnsi="仿宋" w:cs="仿宋"/>
        </w:rPr>
        <w:t>1.11%</w:t>
      </w:r>
      <w:r>
        <w:rPr>
          <w:rFonts w:ascii="仿宋" w:eastAsia="仿宋" w:hAnsi="仿宋" w:cs="仿宋"/>
        </w:rPr>
        <w:t>。主要原因是</w:t>
      </w:r>
      <w:r>
        <w:rPr>
          <w:rFonts w:ascii="仿宋" w:eastAsia="仿宋" w:hAnsi="仿宋" w:cs="仿宋"/>
        </w:rPr>
        <w:t>①2023</w:t>
      </w:r>
      <w:r>
        <w:rPr>
          <w:rFonts w:ascii="仿宋" w:eastAsia="仿宋" w:hAnsi="仿宋" w:cs="仿宋"/>
        </w:rPr>
        <w:t>年部门预算经费压缩，</w:t>
      </w:r>
      <w:r>
        <w:rPr>
          <w:rFonts w:ascii="仿宋" w:eastAsia="仿宋" w:hAnsi="仿宋" w:cs="仿宋"/>
        </w:rPr>
        <w:t>②</w:t>
      </w:r>
      <w:r>
        <w:rPr>
          <w:rFonts w:ascii="仿宋" w:eastAsia="仿宋" w:hAnsi="仿宋" w:cs="仿宋"/>
        </w:rPr>
        <w:t>人员减少（</w:t>
      </w:r>
      <w:r>
        <w:rPr>
          <w:rFonts w:ascii="仿宋" w:eastAsia="仿宋" w:hAnsi="仿宋" w:cs="仿宋"/>
        </w:rPr>
        <w:t>2023</w:t>
      </w:r>
      <w:r>
        <w:rPr>
          <w:rFonts w:ascii="仿宋" w:eastAsia="仿宋" w:hAnsi="仿宋" w:cs="仿宋"/>
        </w:rPr>
        <w:t>年有在职人员退休）。</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五、财政拨款支出预算情况说明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年财政拨款预算支出</w:t>
      </w:r>
      <w:r>
        <w:rPr>
          <w:rFonts w:ascii="仿宋" w:eastAsia="仿宋" w:hAnsi="仿宋" w:cs="仿宋"/>
        </w:rPr>
        <w:t>5,086.9</w:t>
      </w:r>
      <w:r>
        <w:rPr>
          <w:rFonts w:ascii="仿宋" w:eastAsia="仿宋" w:hAnsi="仿宋" w:cs="仿宋"/>
        </w:rPr>
        <w:t>万元，占本年支出合计的</w:t>
      </w:r>
      <w:r>
        <w:rPr>
          <w:rFonts w:ascii="仿宋" w:eastAsia="仿宋" w:hAnsi="仿宋" w:cs="仿宋"/>
        </w:rPr>
        <w:t>100%</w:t>
      </w:r>
      <w:r>
        <w:rPr>
          <w:rFonts w:ascii="仿宋" w:eastAsia="仿宋" w:hAnsi="仿宋" w:cs="仿宋"/>
        </w:rPr>
        <w:t>。与上年相比，财政拨款支出减少</w:t>
      </w:r>
      <w:r>
        <w:rPr>
          <w:rFonts w:ascii="仿宋" w:eastAsia="仿宋" w:hAnsi="仿宋" w:cs="仿宋"/>
        </w:rPr>
        <w:t>57.13</w:t>
      </w:r>
      <w:r>
        <w:rPr>
          <w:rFonts w:ascii="仿宋" w:eastAsia="仿宋" w:hAnsi="仿宋" w:cs="仿宋"/>
        </w:rPr>
        <w:t>万元，减少</w:t>
      </w:r>
      <w:r>
        <w:rPr>
          <w:rFonts w:ascii="仿宋" w:eastAsia="仿宋" w:hAnsi="仿宋" w:cs="仿宋"/>
        </w:rPr>
        <w:t>1.11%</w:t>
      </w:r>
      <w:r>
        <w:rPr>
          <w:rFonts w:ascii="仿宋" w:eastAsia="仿宋" w:hAnsi="仿宋" w:cs="仿宋"/>
        </w:rPr>
        <w:t>。主要原因是</w:t>
      </w:r>
      <w:r>
        <w:rPr>
          <w:rFonts w:ascii="仿宋" w:eastAsia="仿宋" w:hAnsi="仿宋" w:cs="仿宋"/>
        </w:rPr>
        <w:t>①2023</w:t>
      </w:r>
      <w:r>
        <w:rPr>
          <w:rFonts w:ascii="仿宋" w:eastAsia="仿宋" w:hAnsi="仿宋" w:cs="仿宋"/>
        </w:rPr>
        <w:t>年部门预算经费压缩，</w:t>
      </w:r>
      <w:r>
        <w:rPr>
          <w:rFonts w:ascii="仿宋" w:eastAsia="仿宋" w:hAnsi="仿宋" w:cs="仿宋"/>
        </w:rPr>
        <w:t>②</w:t>
      </w:r>
      <w:r>
        <w:rPr>
          <w:rFonts w:ascii="仿宋" w:eastAsia="仿宋" w:hAnsi="仿宋" w:cs="仿宋"/>
        </w:rPr>
        <w:t>人员减少（</w:t>
      </w:r>
      <w:r>
        <w:rPr>
          <w:rFonts w:ascii="仿宋" w:eastAsia="仿宋" w:hAnsi="仿宋" w:cs="仿宋"/>
        </w:rPr>
        <w:t>2023</w:t>
      </w:r>
      <w:r>
        <w:rPr>
          <w:rFonts w:ascii="仿宋" w:eastAsia="仿宋" w:hAnsi="仿宋" w:cs="仿宋"/>
        </w:rPr>
        <w:t>年有在职人员退休）。</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（一）一般公共服务</w:t>
      </w:r>
      <w:r>
        <w:rPr>
          <w:rFonts w:ascii="仿宋" w:eastAsia="仿宋" w:hAnsi="仿宋" w:cs="仿宋"/>
        </w:rPr>
        <w:t>支出（类）</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政府办公厅（室）及相关机构事务（款）行政运行（项）支出</w:t>
      </w:r>
      <w:r>
        <w:rPr>
          <w:rFonts w:ascii="仿宋" w:eastAsia="仿宋" w:hAnsi="仿宋" w:cs="仿宋"/>
        </w:rPr>
        <w:t>135.7</w:t>
      </w:r>
      <w:r>
        <w:rPr>
          <w:rFonts w:ascii="仿宋" w:eastAsia="仿宋" w:hAnsi="仿宋" w:cs="仿宋"/>
        </w:rPr>
        <w:t>万元，与上年相比减少</w:t>
      </w:r>
      <w:r>
        <w:rPr>
          <w:rFonts w:ascii="仿宋" w:eastAsia="仿宋" w:hAnsi="仿宋" w:cs="仿宋"/>
        </w:rPr>
        <w:t>1.51</w:t>
      </w:r>
      <w:r>
        <w:rPr>
          <w:rFonts w:ascii="仿宋" w:eastAsia="仿宋" w:hAnsi="仿宋" w:cs="仿宋"/>
        </w:rPr>
        <w:t>万元，减少</w:t>
      </w:r>
      <w:r>
        <w:rPr>
          <w:rFonts w:ascii="仿宋" w:eastAsia="仿宋" w:hAnsi="仿宋" w:cs="仿宋"/>
        </w:rPr>
        <w:t>1.1%</w:t>
      </w:r>
      <w:r>
        <w:rPr>
          <w:rFonts w:ascii="仿宋" w:eastAsia="仿宋" w:hAnsi="仿宋" w:cs="仿宋"/>
        </w:rPr>
        <w:t>。主要原因</w:t>
      </w:r>
      <w:r>
        <w:rPr>
          <w:rFonts w:ascii="仿宋" w:eastAsia="仿宋" w:hAnsi="仿宋" w:cs="仿宋"/>
        </w:rPr>
        <w:lastRenderedPageBreak/>
        <w:t>是无线电管理监测站</w:t>
      </w:r>
      <w:r>
        <w:rPr>
          <w:rFonts w:ascii="仿宋" w:eastAsia="仿宋" w:hAnsi="仿宋" w:cs="仿宋"/>
        </w:rPr>
        <w:t>2023</w:t>
      </w:r>
      <w:r>
        <w:rPr>
          <w:rFonts w:ascii="仿宋" w:eastAsia="仿宋" w:hAnsi="仿宋" w:cs="仿宋"/>
        </w:rPr>
        <w:t>年项目预算经费按规定压缩。</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其他一般公共服务支出（款）其他一般公共服务支出（项）支出</w:t>
      </w:r>
      <w:r>
        <w:rPr>
          <w:rFonts w:ascii="仿宋" w:eastAsia="仿宋" w:hAnsi="仿宋" w:cs="仿宋"/>
        </w:rPr>
        <w:t>30</w:t>
      </w:r>
      <w:r>
        <w:rPr>
          <w:rFonts w:ascii="仿宋" w:eastAsia="仿宋" w:hAnsi="仿宋" w:cs="仿宋"/>
        </w:rPr>
        <w:t>万元，与上年相比增加</w:t>
      </w:r>
      <w:r>
        <w:rPr>
          <w:rFonts w:ascii="仿宋" w:eastAsia="仿宋" w:hAnsi="仿宋" w:cs="仿宋"/>
        </w:rPr>
        <w:t>30</w:t>
      </w:r>
      <w:r>
        <w:rPr>
          <w:rFonts w:ascii="仿宋" w:eastAsia="仿宋" w:hAnsi="仿宋" w:cs="仿宋"/>
        </w:rPr>
        <w:t>万元（去年预算数为</w:t>
      </w:r>
      <w:r>
        <w:rPr>
          <w:rFonts w:ascii="仿宋" w:eastAsia="仿宋" w:hAnsi="仿宋" w:cs="仿宋"/>
        </w:rPr>
        <w:t>0</w:t>
      </w:r>
      <w:r>
        <w:rPr>
          <w:rFonts w:ascii="仿宋" w:eastAsia="仿宋" w:hAnsi="仿宋" w:cs="仿宋"/>
        </w:rPr>
        <w:t>万元，无法计算增减比率）。主要原因是无线电监测事务运行保障支出</w:t>
      </w:r>
      <w:r>
        <w:rPr>
          <w:rFonts w:ascii="仿宋" w:eastAsia="仿宋" w:hAnsi="仿宋" w:cs="仿宋"/>
        </w:rPr>
        <w:t>2023</w:t>
      </w:r>
      <w:r>
        <w:rPr>
          <w:rFonts w:ascii="仿宋" w:eastAsia="仿宋" w:hAnsi="仿宋" w:cs="仿宋"/>
        </w:rPr>
        <w:t>年调整到其他一般公共服务支出（类）。</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（二）社会保障和就业支出（类）</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行政事业单位养老支出（款）行政单位离退休（项）支出</w:t>
      </w:r>
      <w:r>
        <w:rPr>
          <w:rFonts w:ascii="仿宋" w:eastAsia="仿宋" w:hAnsi="仿宋" w:cs="仿宋"/>
        </w:rPr>
        <w:t>62.53</w:t>
      </w:r>
      <w:r>
        <w:rPr>
          <w:rFonts w:ascii="仿宋" w:eastAsia="仿宋" w:hAnsi="仿宋" w:cs="仿宋"/>
        </w:rPr>
        <w:t>万元，与上</w:t>
      </w:r>
      <w:r>
        <w:rPr>
          <w:rFonts w:ascii="仿宋" w:eastAsia="仿宋" w:hAnsi="仿宋" w:cs="仿宋"/>
        </w:rPr>
        <w:t>年相比增加</w:t>
      </w:r>
      <w:r>
        <w:rPr>
          <w:rFonts w:ascii="仿宋" w:eastAsia="仿宋" w:hAnsi="仿宋" w:cs="仿宋"/>
        </w:rPr>
        <w:t>2.23</w:t>
      </w:r>
      <w:r>
        <w:rPr>
          <w:rFonts w:ascii="仿宋" w:eastAsia="仿宋" w:hAnsi="仿宋" w:cs="仿宋"/>
        </w:rPr>
        <w:t>万元，增长</w:t>
      </w:r>
      <w:r>
        <w:rPr>
          <w:rFonts w:ascii="仿宋" w:eastAsia="仿宋" w:hAnsi="仿宋" w:cs="仿宋"/>
        </w:rPr>
        <w:t>3.7%</w:t>
      </w:r>
      <w:r>
        <w:rPr>
          <w:rFonts w:ascii="仿宋" w:eastAsia="仿宋" w:hAnsi="仿宋" w:cs="仿宋"/>
        </w:rPr>
        <w:t>。主要原因是</w:t>
      </w:r>
      <w:r>
        <w:rPr>
          <w:rFonts w:ascii="仿宋" w:eastAsia="仿宋" w:hAnsi="仿宋" w:cs="仿宋"/>
        </w:rPr>
        <w:t>2022</w:t>
      </w:r>
      <w:r>
        <w:rPr>
          <w:rFonts w:ascii="仿宋" w:eastAsia="仿宋" w:hAnsi="仿宋" w:cs="仿宋"/>
        </w:rPr>
        <w:t>年工信局及无线电管理监测站退休人员增加。</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行政事业单位养老支出（款）事业单位离退休（项）支出</w:t>
      </w:r>
      <w:r>
        <w:rPr>
          <w:rFonts w:ascii="仿宋" w:eastAsia="仿宋" w:hAnsi="仿宋" w:cs="仿宋"/>
        </w:rPr>
        <w:t>2.99</w:t>
      </w:r>
      <w:r>
        <w:rPr>
          <w:rFonts w:ascii="仿宋" w:eastAsia="仿宋" w:hAnsi="仿宋" w:cs="仿宋"/>
        </w:rPr>
        <w:t>万元，与上年相比减少</w:t>
      </w:r>
      <w:r>
        <w:rPr>
          <w:rFonts w:ascii="仿宋" w:eastAsia="仿宋" w:hAnsi="仿宋" w:cs="仿宋"/>
        </w:rPr>
        <w:t>0.05</w:t>
      </w:r>
      <w:r>
        <w:rPr>
          <w:rFonts w:ascii="仿宋" w:eastAsia="仿宋" w:hAnsi="仿宋" w:cs="仿宋"/>
        </w:rPr>
        <w:t>万元，减少</w:t>
      </w:r>
      <w:r>
        <w:rPr>
          <w:rFonts w:ascii="仿宋" w:eastAsia="仿宋" w:hAnsi="仿宋" w:cs="仿宋"/>
        </w:rPr>
        <w:t>1.64%</w:t>
      </w:r>
      <w:r>
        <w:rPr>
          <w:rFonts w:ascii="仿宋" w:eastAsia="仿宋" w:hAnsi="仿宋" w:cs="仿宋"/>
        </w:rPr>
        <w:t>。主要原因是工信综合执法支队退休人员减少。</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（三）卫生健康支出（类）</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行政事业单位医疗（款）公务员医疗补助（项）支出</w:t>
      </w:r>
      <w:r>
        <w:rPr>
          <w:rFonts w:ascii="仿宋" w:eastAsia="仿宋" w:hAnsi="仿宋" w:cs="仿宋"/>
        </w:rPr>
        <w:t>53.72</w:t>
      </w:r>
      <w:r>
        <w:rPr>
          <w:rFonts w:ascii="仿宋" w:eastAsia="仿宋" w:hAnsi="仿宋" w:cs="仿宋"/>
        </w:rPr>
        <w:t>万元，与上年相比增加</w:t>
      </w:r>
      <w:r>
        <w:rPr>
          <w:rFonts w:ascii="仿宋" w:eastAsia="仿宋" w:hAnsi="仿宋" w:cs="仿宋"/>
        </w:rPr>
        <w:t>0.19</w:t>
      </w:r>
      <w:r>
        <w:rPr>
          <w:rFonts w:ascii="仿宋" w:eastAsia="仿宋" w:hAnsi="仿宋" w:cs="仿宋"/>
        </w:rPr>
        <w:t>万元，增长</w:t>
      </w:r>
      <w:r>
        <w:rPr>
          <w:rFonts w:ascii="仿宋" w:eastAsia="仿宋" w:hAnsi="仿宋" w:cs="仿宋"/>
        </w:rPr>
        <w:t>0.35%</w:t>
      </w:r>
      <w:r>
        <w:rPr>
          <w:rFonts w:ascii="仿宋" w:eastAsia="仿宋" w:hAnsi="仿宋" w:cs="仿宋"/>
        </w:rPr>
        <w:t>。主要原因是调职人员医保基数增加。</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（四）资源勘探工业信息等支出（类）</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工业和信息产业监管（款）行政运行（项）支出</w:t>
      </w:r>
      <w:r>
        <w:rPr>
          <w:rFonts w:ascii="仿宋" w:eastAsia="仿宋" w:hAnsi="仿宋" w:cs="仿宋"/>
        </w:rPr>
        <w:t>2,430.</w:t>
      </w:r>
      <w:r>
        <w:rPr>
          <w:rFonts w:ascii="仿宋" w:eastAsia="仿宋" w:hAnsi="仿宋" w:cs="仿宋"/>
        </w:rPr>
        <w:t>8</w:t>
      </w:r>
      <w:r>
        <w:rPr>
          <w:rFonts w:ascii="仿宋" w:eastAsia="仿宋" w:hAnsi="仿宋" w:cs="仿宋"/>
        </w:rPr>
        <w:t>万元，与上年相比减少</w:t>
      </w:r>
      <w:r>
        <w:rPr>
          <w:rFonts w:ascii="仿宋" w:eastAsia="仿宋" w:hAnsi="仿宋" w:cs="仿宋"/>
        </w:rPr>
        <w:t>13.18</w:t>
      </w:r>
      <w:r>
        <w:rPr>
          <w:rFonts w:ascii="仿宋" w:eastAsia="仿宋" w:hAnsi="仿宋" w:cs="仿宋"/>
        </w:rPr>
        <w:t>万元，减少</w:t>
      </w:r>
      <w:r>
        <w:rPr>
          <w:rFonts w:ascii="仿宋" w:eastAsia="仿宋" w:hAnsi="仿宋" w:cs="仿宋"/>
        </w:rPr>
        <w:t>0.54%</w:t>
      </w:r>
      <w:r>
        <w:rPr>
          <w:rFonts w:ascii="仿宋" w:eastAsia="仿宋" w:hAnsi="仿宋" w:cs="仿宋"/>
        </w:rPr>
        <w:t>。主要原因是</w:t>
      </w:r>
      <w:r>
        <w:rPr>
          <w:rFonts w:ascii="仿宋" w:eastAsia="仿宋" w:hAnsi="仿宋" w:cs="仿宋"/>
        </w:rPr>
        <w:t>2023</w:t>
      </w:r>
      <w:r>
        <w:rPr>
          <w:rFonts w:ascii="仿宋" w:eastAsia="仿宋" w:hAnsi="仿宋" w:cs="仿宋"/>
        </w:rPr>
        <w:t>年在职人员减少。</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工业和信息产业监管（款）一般行政管理事务（项）支出</w:t>
      </w:r>
      <w:r>
        <w:rPr>
          <w:rFonts w:ascii="仿宋" w:eastAsia="仿宋" w:hAnsi="仿宋" w:cs="仿宋"/>
        </w:rPr>
        <w:t>204.55</w:t>
      </w:r>
      <w:r>
        <w:rPr>
          <w:rFonts w:ascii="仿宋" w:eastAsia="仿宋" w:hAnsi="仿宋" w:cs="仿宋"/>
        </w:rPr>
        <w:t>万元，与上年相比减少</w:t>
      </w:r>
      <w:r>
        <w:rPr>
          <w:rFonts w:ascii="仿宋" w:eastAsia="仿宋" w:hAnsi="仿宋" w:cs="仿宋"/>
        </w:rPr>
        <w:t>22.45</w:t>
      </w:r>
      <w:r>
        <w:rPr>
          <w:rFonts w:ascii="仿宋" w:eastAsia="仿宋" w:hAnsi="仿宋" w:cs="仿宋"/>
        </w:rPr>
        <w:t>万元，减少</w:t>
      </w:r>
      <w:r>
        <w:rPr>
          <w:rFonts w:ascii="仿宋" w:eastAsia="仿宋" w:hAnsi="仿宋" w:cs="仿宋"/>
        </w:rPr>
        <w:t>9.89%</w:t>
      </w:r>
      <w:r>
        <w:rPr>
          <w:rFonts w:ascii="仿宋" w:eastAsia="仿宋" w:hAnsi="仿宋" w:cs="仿宋"/>
        </w:rPr>
        <w:t>。主要原因是</w:t>
      </w:r>
      <w:r>
        <w:rPr>
          <w:rFonts w:ascii="仿宋" w:eastAsia="仿宋" w:hAnsi="仿宋" w:cs="仿宋"/>
        </w:rPr>
        <w:t>2023</w:t>
      </w:r>
      <w:r>
        <w:rPr>
          <w:rFonts w:ascii="仿宋" w:eastAsia="仿宋" w:hAnsi="仿宋" w:cs="仿宋"/>
        </w:rPr>
        <w:t>年项目预算经费按规定压缩。</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3.</w:t>
      </w:r>
      <w:r>
        <w:rPr>
          <w:rFonts w:ascii="仿宋" w:eastAsia="仿宋" w:hAnsi="仿宋" w:cs="仿宋"/>
        </w:rPr>
        <w:t>工业和信息产业监管（款）无线电及信息通信监管（项）支出</w:t>
      </w:r>
      <w:r>
        <w:rPr>
          <w:rFonts w:ascii="仿宋" w:eastAsia="仿宋" w:hAnsi="仿宋" w:cs="仿宋"/>
        </w:rPr>
        <w:t>0</w:t>
      </w:r>
      <w:r>
        <w:rPr>
          <w:rFonts w:ascii="仿宋" w:eastAsia="仿宋" w:hAnsi="仿宋" w:cs="仿宋"/>
        </w:rPr>
        <w:t>万元，与上年相比减少</w:t>
      </w:r>
      <w:r>
        <w:rPr>
          <w:rFonts w:ascii="仿宋" w:eastAsia="仿宋" w:hAnsi="仿宋" w:cs="仿宋"/>
        </w:rPr>
        <w:t>23.02</w:t>
      </w:r>
      <w:r>
        <w:rPr>
          <w:rFonts w:ascii="仿宋" w:eastAsia="仿宋" w:hAnsi="仿宋" w:cs="仿宋"/>
        </w:rPr>
        <w:t>万元，减少</w:t>
      </w:r>
      <w:r>
        <w:rPr>
          <w:rFonts w:ascii="仿宋" w:eastAsia="仿宋" w:hAnsi="仿宋" w:cs="仿宋"/>
        </w:rPr>
        <w:t>100%</w:t>
      </w:r>
      <w:r>
        <w:rPr>
          <w:rFonts w:ascii="仿宋" w:eastAsia="仿宋" w:hAnsi="仿宋" w:cs="仿宋"/>
        </w:rPr>
        <w:t>。主要原因是科目调整，无线电监测事务运行保障支出调整到一般公共服务支出（类）。</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w:t>
      </w:r>
      <w:r>
        <w:rPr>
          <w:rFonts w:ascii="仿宋" w:eastAsia="仿宋" w:hAnsi="仿宋" w:cs="仿宋"/>
        </w:rPr>
        <w:t>工业和信息产业监管（款）其他工业和信息产业监管支出（项）支出</w:t>
      </w:r>
      <w:r>
        <w:rPr>
          <w:rFonts w:ascii="仿宋" w:eastAsia="仿宋" w:hAnsi="仿宋" w:cs="仿宋"/>
        </w:rPr>
        <w:t>706</w:t>
      </w:r>
      <w:r>
        <w:rPr>
          <w:rFonts w:ascii="仿宋" w:eastAsia="仿宋" w:hAnsi="仿宋" w:cs="仿宋"/>
        </w:rPr>
        <w:t>.81</w:t>
      </w:r>
      <w:r>
        <w:rPr>
          <w:rFonts w:ascii="仿宋" w:eastAsia="仿宋" w:hAnsi="仿宋" w:cs="仿宋"/>
        </w:rPr>
        <w:t>万元，与上年相比增加</w:t>
      </w:r>
      <w:r>
        <w:rPr>
          <w:rFonts w:ascii="仿宋" w:eastAsia="仿宋" w:hAnsi="仿宋" w:cs="仿宋"/>
        </w:rPr>
        <w:t>12.88</w:t>
      </w:r>
      <w:r>
        <w:rPr>
          <w:rFonts w:ascii="仿宋" w:eastAsia="仿宋" w:hAnsi="仿宋" w:cs="仿宋"/>
        </w:rPr>
        <w:t>万元，增长</w:t>
      </w:r>
      <w:r>
        <w:rPr>
          <w:rFonts w:ascii="仿宋" w:eastAsia="仿宋" w:hAnsi="仿宋" w:cs="仿宋"/>
        </w:rPr>
        <w:t>1.86%</w:t>
      </w:r>
      <w:r>
        <w:rPr>
          <w:rFonts w:ascii="仿宋" w:eastAsia="仿宋" w:hAnsi="仿宋" w:cs="仿宋"/>
        </w:rPr>
        <w:t>。主要原因是工信综合执法支队</w:t>
      </w:r>
      <w:r>
        <w:rPr>
          <w:rFonts w:ascii="仿宋" w:eastAsia="仿宋" w:hAnsi="仿宋" w:cs="仿宋"/>
        </w:rPr>
        <w:t>2022</w:t>
      </w:r>
      <w:r>
        <w:rPr>
          <w:rFonts w:ascii="仿宋" w:eastAsia="仿宋" w:hAnsi="仿宋" w:cs="仿宋"/>
        </w:rPr>
        <w:t>年有部分项目支出是由财政专户管理资金支出，</w:t>
      </w:r>
      <w:r>
        <w:rPr>
          <w:rFonts w:ascii="仿宋" w:eastAsia="仿宋" w:hAnsi="仿宋" w:cs="仿宋"/>
        </w:rPr>
        <w:t>2023</w:t>
      </w:r>
      <w:r>
        <w:rPr>
          <w:rFonts w:ascii="仿宋" w:eastAsia="仿宋" w:hAnsi="仿宋" w:cs="仿宋"/>
        </w:rPr>
        <w:t>年的项目支出全部由财政拨款支出。</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w:t>
      </w:r>
      <w:r>
        <w:rPr>
          <w:rFonts w:ascii="仿宋" w:eastAsia="仿宋" w:hAnsi="仿宋" w:cs="仿宋"/>
        </w:rPr>
        <w:t>支持中小企业发展和管理支出（款）其他支持中小企业发展和管理支出（项）支出</w:t>
      </w:r>
      <w:r>
        <w:rPr>
          <w:rFonts w:ascii="仿宋" w:eastAsia="仿宋" w:hAnsi="仿宋" w:cs="仿宋"/>
        </w:rPr>
        <w:t>12</w:t>
      </w:r>
      <w:r>
        <w:rPr>
          <w:rFonts w:ascii="仿宋" w:eastAsia="仿宋" w:hAnsi="仿宋" w:cs="仿宋"/>
        </w:rPr>
        <w:t>万元，与上年相比减少</w:t>
      </w:r>
      <w:r>
        <w:rPr>
          <w:rFonts w:ascii="仿宋" w:eastAsia="仿宋" w:hAnsi="仿宋" w:cs="仿宋"/>
        </w:rPr>
        <w:t>5.5</w:t>
      </w:r>
      <w:r>
        <w:rPr>
          <w:rFonts w:ascii="仿宋" w:eastAsia="仿宋" w:hAnsi="仿宋" w:cs="仿宋"/>
        </w:rPr>
        <w:t>万元，减少</w:t>
      </w:r>
      <w:r>
        <w:rPr>
          <w:rFonts w:ascii="仿宋" w:eastAsia="仿宋" w:hAnsi="仿宋" w:cs="仿宋"/>
        </w:rPr>
        <w:t>31.43%</w:t>
      </w:r>
      <w:r>
        <w:rPr>
          <w:rFonts w:ascii="仿宋" w:eastAsia="仿宋" w:hAnsi="仿宋" w:cs="仿宋"/>
        </w:rPr>
        <w:t>。主要原因是</w:t>
      </w:r>
      <w:r>
        <w:rPr>
          <w:rFonts w:ascii="仿宋" w:eastAsia="仿宋" w:hAnsi="仿宋" w:cs="仿宋"/>
        </w:rPr>
        <w:t>2023</w:t>
      </w:r>
      <w:r>
        <w:rPr>
          <w:rFonts w:ascii="仿宋" w:eastAsia="仿宋" w:hAnsi="仿宋" w:cs="仿宋"/>
        </w:rPr>
        <w:t>年软博会经费按规定进行压缩。</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（五）住房保障支出（类）</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住房改革支出（款）住房公积金（项）支出</w:t>
      </w:r>
      <w:r>
        <w:rPr>
          <w:rFonts w:ascii="仿宋" w:eastAsia="仿宋" w:hAnsi="仿宋" w:cs="仿宋"/>
        </w:rPr>
        <w:t>329.88</w:t>
      </w:r>
      <w:r>
        <w:rPr>
          <w:rFonts w:ascii="仿宋" w:eastAsia="仿宋" w:hAnsi="仿宋" w:cs="仿宋"/>
        </w:rPr>
        <w:t>万元，与上年相比减少</w:t>
      </w:r>
      <w:r>
        <w:rPr>
          <w:rFonts w:ascii="仿宋" w:eastAsia="仿宋" w:hAnsi="仿宋" w:cs="仿宋"/>
        </w:rPr>
        <w:t>18.58</w:t>
      </w:r>
      <w:r>
        <w:rPr>
          <w:rFonts w:ascii="仿宋" w:eastAsia="仿宋" w:hAnsi="仿宋" w:cs="仿宋"/>
        </w:rPr>
        <w:t>万元，减少</w:t>
      </w:r>
      <w:r>
        <w:rPr>
          <w:rFonts w:ascii="仿宋" w:eastAsia="仿宋" w:hAnsi="仿宋" w:cs="仿宋"/>
        </w:rPr>
        <w:t>5.33%</w:t>
      </w:r>
      <w:r>
        <w:rPr>
          <w:rFonts w:ascii="仿宋" w:eastAsia="仿宋" w:hAnsi="仿宋" w:cs="仿宋"/>
        </w:rPr>
        <w:t>。主要原因是</w:t>
      </w:r>
      <w:r>
        <w:rPr>
          <w:rFonts w:ascii="仿宋" w:eastAsia="仿宋" w:hAnsi="仿宋" w:cs="仿宋"/>
        </w:rPr>
        <w:t>2023</w:t>
      </w:r>
      <w:r>
        <w:rPr>
          <w:rFonts w:ascii="仿宋" w:eastAsia="仿宋" w:hAnsi="仿宋" w:cs="仿宋"/>
        </w:rPr>
        <w:t>年在职人</w:t>
      </w:r>
      <w:r>
        <w:rPr>
          <w:rFonts w:ascii="仿宋" w:eastAsia="仿宋" w:hAnsi="仿宋" w:cs="仿宋"/>
        </w:rPr>
        <w:t>员正常退休减少。</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住房改革支出（款）提租补贴（项）支出</w:t>
      </w:r>
      <w:r>
        <w:rPr>
          <w:rFonts w:ascii="仿宋" w:eastAsia="仿宋" w:hAnsi="仿宋" w:cs="仿宋"/>
        </w:rPr>
        <w:t>786.34</w:t>
      </w:r>
      <w:r>
        <w:rPr>
          <w:rFonts w:ascii="仿宋" w:eastAsia="仿宋" w:hAnsi="仿宋" w:cs="仿宋"/>
        </w:rPr>
        <w:t>万元，与上年相比减少</w:t>
      </w:r>
      <w:r>
        <w:rPr>
          <w:rFonts w:ascii="仿宋" w:eastAsia="仿宋" w:hAnsi="仿宋" w:cs="仿宋"/>
        </w:rPr>
        <w:t>37.32</w:t>
      </w:r>
      <w:r>
        <w:rPr>
          <w:rFonts w:ascii="仿宋" w:eastAsia="仿宋" w:hAnsi="仿宋" w:cs="仿宋"/>
        </w:rPr>
        <w:t>万元，减少</w:t>
      </w:r>
      <w:r>
        <w:rPr>
          <w:rFonts w:ascii="仿宋" w:eastAsia="仿宋" w:hAnsi="仿宋" w:cs="仿宋"/>
        </w:rPr>
        <w:t>4.53%</w:t>
      </w:r>
      <w:r>
        <w:rPr>
          <w:rFonts w:ascii="仿宋" w:eastAsia="仿宋" w:hAnsi="仿宋" w:cs="仿宋"/>
        </w:rPr>
        <w:t>。主要原因是</w:t>
      </w:r>
      <w:r>
        <w:rPr>
          <w:rFonts w:ascii="仿宋" w:eastAsia="仿宋" w:hAnsi="仿宋" w:cs="仿宋"/>
        </w:rPr>
        <w:t>2023</w:t>
      </w:r>
      <w:r>
        <w:rPr>
          <w:rFonts w:ascii="仿宋" w:eastAsia="仿宋" w:hAnsi="仿宋" w:cs="仿宋"/>
        </w:rPr>
        <w:t>年在职人员正常退休减少。</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住房改革支出（款）购房补贴（项）支出</w:t>
      </w:r>
      <w:r>
        <w:rPr>
          <w:rFonts w:ascii="仿宋" w:eastAsia="仿宋" w:hAnsi="仿宋" w:cs="仿宋"/>
        </w:rPr>
        <w:t>331.58</w:t>
      </w:r>
      <w:r>
        <w:rPr>
          <w:rFonts w:ascii="仿宋" w:eastAsia="仿宋" w:hAnsi="仿宋" w:cs="仿宋"/>
        </w:rPr>
        <w:t>万元，与上年相比增加</w:t>
      </w:r>
      <w:r>
        <w:rPr>
          <w:rFonts w:ascii="仿宋" w:eastAsia="仿宋" w:hAnsi="仿宋" w:cs="仿宋"/>
        </w:rPr>
        <w:t>19.18</w:t>
      </w:r>
      <w:r>
        <w:rPr>
          <w:rFonts w:ascii="仿宋" w:eastAsia="仿宋" w:hAnsi="仿宋" w:cs="仿宋"/>
        </w:rPr>
        <w:t>万元，增长</w:t>
      </w:r>
      <w:r>
        <w:rPr>
          <w:rFonts w:ascii="仿宋" w:eastAsia="仿宋" w:hAnsi="仿宋" w:cs="仿宋"/>
        </w:rPr>
        <w:t>6.14%</w:t>
      </w:r>
      <w:r>
        <w:rPr>
          <w:rFonts w:ascii="仿宋" w:eastAsia="仿宋" w:hAnsi="仿宋" w:cs="仿宋"/>
        </w:rPr>
        <w:t>。主要原因是财政科目调整。</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六、财政拨款基本支出预算情况说明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年度财政拨款基本支出预算</w:t>
      </w:r>
      <w:r>
        <w:rPr>
          <w:rFonts w:ascii="仿宋" w:eastAsia="仿宋" w:hAnsi="仿宋" w:cs="仿宋"/>
        </w:rPr>
        <w:lastRenderedPageBreak/>
        <w:t>4,772.66</w:t>
      </w:r>
      <w:r>
        <w:rPr>
          <w:rFonts w:ascii="仿宋" w:eastAsia="仿宋" w:hAnsi="仿宋" w:cs="仿宋"/>
        </w:rPr>
        <w:t>万元，其中：</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w:t>
      </w:r>
      <w:r>
        <w:rPr>
          <w:rFonts w:ascii="仿宋" w:eastAsia="仿宋" w:hAnsi="仿宋" w:cs="仿宋"/>
        </w:rPr>
        <w:t>4,465.42</w:t>
      </w:r>
      <w:r>
        <w:rPr>
          <w:rFonts w:ascii="仿宋" w:eastAsia="仿宋" w:hAnsi="仿宋" w:cs="仿宋"/>
        </w:rPr>
        <w:t>万元。主要包括：基本工资、津贴补贴、奖金、绩效工资、机关事业单位基本养老保险缴费、职业年金缴费、职工基本医疗保险缴费、公务员医疗补助缴费、其他社会保障缴费、住房公积金、离休费、退休费、奖励金、其他对个人和家庭的补助。</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w:t>
      </w:r>
      <w:r>
        <w:rPr>
          <w:rFonts w:ascii="仿宋" w:eastAsia="仿宋" w:hAnsi="仿宋" w:cs="仿宋"/>
        </w:rPr>
        <w:t>307.24</w:t>
      </w:r>
      <w:r>
        <w:rPr>
          <w:rFonts w:ascii="仿宋" w:eastAsia="仿宋" w:hAnsi="仿宋" w:cs="仿宋"/>
        </w:rPr>
        <w:t>万元。主要包括：办公费、水费、电费、差旅费、会议费、培训费、公务接待费、工会经费、福利费、公务用车运行维护费、其他交通费用、其他商品和服务支出。</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七、一般公共预算支出预算情况说明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年一般公共预算财政拨款支出预算</w:t>
      </w:r>
      <w:r>
        <w:rPr>
          <w:rFonts w:ascii="仿宋" w:eastAsia="仿宋" w:hAnsi="仿宋" w:cs="仿宋"/>
        </w:rPr>
        <w:t>5,086.9</w:t>
      </w:r>
      <w:r>
        <w:rPr>
          <w:rFonts w:ascii="仿宋" w:eastAsia="仿宋" w:hAnsi="仿宋" w:cs="仿宋"/>
        </w:rPr>
        <w:t>万元，与上年相比减少</w:t>
      </w:r>
      <w:r>
        <w:rPr>
          <w:rFonts w:ascii="仿宋" w:eastAsia="仿宋" w:hAnsi="仿宋" w:cs="仿宋"/>
        </w:rPr>
        <w:t>57.13</w:t>
      </w:r>
      <w:r>
        <w:rPr>
          <w:rFonts w:ascii="仿宋" w:eastAsia="仿宋" w:hAnsi="仿宋" w:cs="仿宋"/>
        </w:rPr>
        <w:t>万元，减少</w:t>
      </w:r>
      <w:r>
        <w:rPr>
          <w:rFonts w:ascii="仿宋" w:eastAsia="仿宋" w:hAnsi="仿宋" w:cs="仿宋"/>
        </w:rPr>
        <w:t>1.11%</w:t>
      </w:r>
      <w:r>
        <w:rPr>
          <w:rFonts w:ascii="仿宋" w:eastAsia="仿宋" w:hAnsi="仿宋" w:cs="仿宋"/>
        </w:rPr>
        <w:t>。主要原因是</w:t>
      </w:r>
      <w:r>
        <w:rPr>
          <w:rFonts w:ascii="仿宋" w:eastAsia="仿宋" w:hAnsi="仿宋" w:cs="仿宋"/>
        </w:rPr>
        <w:t>①2023</w:t>
      </w:r>
      <w:r>
        <w:rPr>
          <w:rFonts w:ascii="仿宋" w:eastAsia="仿宋" w:hAnsi="仿宋" w:cs="仿宋"/>
        </w:rPr>
        <w:t>年部门预算经费压缩，</w:t>
      </w:r>
      <w:r>
        <w:rPr>
          <w:rFonts w:ascii="仿宋" w:eastAsia="仿宋" w:hAnsi="仿宋" w:cs="仿宋"/>
        </w:rPr>
        <w:t>②</w:t>
      </w:r>
      <w:r>
        <w:rPr>
          <w:rFonts w:ascii="仿宋" w:eastAsia="仿宋" w:hAnsi="仿宋" w:cs="仿宋"/>
        </w:rPr>
        <w:t>人员减少（</w:t>
      </w:r>
      <w:r>
        <w:rPr>
          <w:rFonts w:ascii="仿宋" w:eastAsia="仿宋" w:hAnsi="仿宋" w:cs="仿宋"/>
        </w:rPr>
        <w:t>2023</w:t>
      </w:r>
      <w:r>
        <w:rPr>
          <w:rFonts w:ascii="仿宋" w:eastAsia="仿宋" w:hAnsi="仿宋" w:cs="仿宋"/>
        </w:rPr>
        <w:t>年有在职人员退休）。</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八、一般公共预算基本支出预算情况说明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年度一般公共预算财政拨款基本支出预算</w:t>
      </w:r>
      <w:r>
        <w:rPr>
          <w:rFonts w:ascii="仿宋" w:eastAsia="仿宋" w:hAnsi="仿宋" w:cs="仿宋"/>
        </w:rPr>
        <w:t>4,772.66</w:t>
      </w:r>
      <w:r>
        <w:rPr>
          <w:rFonts w:ascii="仿宋" w:eastAsia="仿宋" w:hAnsi="仿宋" w:cs="仿宋"/>
        </w:rPr>
        <w:t>万元，其中：</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w:t>
      </w:r>
      <w:r>
        <w:rPr>
          <w:rFonts w:ascii="仿宋" w:eastAsia="仿宋" w:hAnsi="仿宋" w:cs="仿宋"/>
        </w:rPr>
        <w:t>4,465.42</w:t>
      </w:r>
      <w:r>
        <w:rPr>
          <w:rFonts w:ascii="仿宋" w:eastAsia="仿宋" w:hAnsi="仿宋" w:cs="仿宋"/>
        </w:rPr>
        <w:t>万元。主要包括：基本工资、津贴补贴、奖金、绩效工资、机关事业单位基本养老保险缴费、职业年金缴费、职工基本医疗保险缴费、公务员医疗补助缴费、其他社会保障缴费、住房公积金、离休费、退休费、奖励金、其他对个人</w:t>
      </w:r>
      <w:r>
        <w:rPr>
          <w:rFonts w:ascii="仿宋" w:eastAsia="仿宋" w:hAnsi="仿宋" w:cs="仿宋"/>
        </w:rPr>
        <w:t>和家庭的补助。</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w:t>
      </w:r>
      <w:r>
        <w:rPr>
          <w:rFonts w:ascii="仿宋" w:eastAsia="仿宋" w:hAnsi="仿宋" w:cs="仿宋"/>
        </w:rPr>
        <w:t>307.24</w:t>
      </w:r>
      <w:r>
        <w:rPr>
          <w:rFonts w:ascii="仿宋" w:eastAsia="仿宋" w:hAnsi="仿宋" w:cs="仿宋"/>
        </w:rPr>
        <w:t>万元。主要包括：办公费、水费、电</w:t>
      </w:r>
      <w:r>
        <w:rPr>
          <w:rFonts w:ascii="仿宋" w:eastAsia="仿宋" w:hAnsi="仿宋" w:cs="仿宋"/>
        </w:rPr>
        <w:lastRenderedPageBreak/>
        <w:t>费、差旅费、会议费、培训费、公务接待费、工会经费、福利费、公务用车运行维护费、其他交通费用、其他商品和服务支出。</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经费、会议费、培训费支出预算情况说明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年度一般公共预算拨款安排的</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经费预算支出中，因公出国（境）费支出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；公务用车购置及运行维护费支出</w:t>
      </w:r>
      <w:r>
        <w:rPr>
          <w:rFonts w:ascii="仿宋" w:eastAsia="仿宋" w:hAnsi="仿宋" w:cs="仿宋"/>
        </w:rPr>
        <w:t>10.5</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58.66%</w:t>
      </w:r>
      <w:r>
        <w:rPr>
          <w:rFonts w:ascii="仿宋" w:eastAsia="仿宋" w:hAnsi="仿宋" w:cs="仿宋"/>
        </w:rPr>
        <w:t>；公务接待费支出</w:t>
      </w:r>
      <w:r>
        <w:rPr>
          <w:rFonts w:ascii="仿宋" w:eastAsia="仿宋" w:hAnsi="仿宋" w:cs="仿宋"/>
        </w:rPr>
        <w:t>7.4</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41.34%</w:t>
      </w:r>
      <w:r>
        <w:rPr>
          <w:rFonts w:ascii="仿宋" w:eastAsia="仿宋" w:hAnsi="仿宋" w:cs="仿宋"/>
        </w:rPr>
        <w:t>。具体情况如下：</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．因公出国（境）费预算支出</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．公务用车购置及运行维护费预算支出</w:t>
      </w:r>
      <w:r>
        <w:rPr>
          <w:rFonts w:ascii="仿宋" w:eastAsia="仿宋" w:hAnsi="仿宋" w:cs="仿宋"/>
        </w:rPr>
        <w:t>10.5</w:t>
      </w:r>
      <w:r>
        <w:rPr>
          <w:rFonts w:ascii="仿宋" w:eastAsia="仿宋" w:hAnsi="仿宋" w:cs="仿宋"/>
        </w:rPr>
        <w:t>万元。其中：</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）公务用车购置预算支出</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）公务用车运行维护费预算支出</w:t>
      </w:r>
      <w:r>
        <w:rPr>
          <w:rFonts w:ascii="仿宋" w:eastAsia="仿宋" w:hAnsi="仿宋" w:cs="仿宋"/>
        </w:rPr>
        <w:t>10.5</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w:t>
      </w:r>
      <w:r>
        <w:rPr>
          <w:rFonts w:ascii="仿宋" w:eastAsia="仿宋" w:hAnsi="仿宋" w:cs="仿宋"/>
        </w:rPr>
        <w:t>务接待费预算支出</w:t>
      </w:r>
      <w:r>
        <w:rPr>
          <w:rFonts w:ascii="仿宋" w:eastAsia="仿宋" w:hAnsi="仿宋" w:cs="仿宋"/>
        </w:rPr>
        <w:t>7.4</w:t>
      </w:r>
      <w:r>
        <w:rPr>
          <w:rFonts w:ascii="仿宋" w:eastAsia="仿宋" w:hAnsi="仿宋" w:cs="仿宋"/>
        </w:rPr>
        <w:t>万元，比上年预算减少</w:t>
      </w:r>
      <w:r>
        <w:rPr>
          <w:rFonts w:ascii="仿宋" w:eastAsia="仿宋" w:hAnsi="仿宋" w:cs="仿宋"/>
        </w:rPr>
        <w:t>0.27</w:t>
      </w:r>
      <w:r>
        <w:rPr>
          <w:rFonts w:ascii="仿宋" w:eastAsia="仿宋" w:hAnsi="仿宋" w:cs="仿宋"/>
        </w:rPr>
        <w:t>万元，主要原因是厉行节约，严格控制公务接待费的预算支出。</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年度一般公共预算拨款安排的会议费预算支出</w:t>
      </w:r>
      <w:r>
        <w:rPr>
          <w:rFonts w:ascii="仿宋" w:eastAsia="仿宋" w:hAnsi="仿宋" w:cs="仿宋"/>
        </w:rPr>
        <w:t>55.45</w:t>
      </w:r>
      <w:r>
        <w:rPr>
          <w:rFonts w:ascii="仿宋" w:eastAsia="仿宋" w:hAnsi="仿宋" w:cs="仿宋"/>
        </w:rPr>
        <w:t>万元，比上年预算减少</w:t>
      </w:r>
      <w:r>
        <w:rPr>
          <w:rFonts w:ascii="仿宋" w:eastAsia="仿宋" w:hAnsi="仿宋" w:cs="仿宋"/>
        </w:rPr>
        <w:t>15.18</w:t>
      </w:r>
      <w:r>
        <w:rPr>
          <w:rFonts w:ascii="仿宋" w:eastAsia="仿宋" w:hAnsi="仿宋" w:cs="仿宋"/>
        </w:rPr>
        <w:t>万元，主要原因是</w:t>
      </w:r>
      <w:r>
        <w:rPr>
          <w:rFonts w:ascii="仿宋" w:eastAsia="仿宋" w:hAnsi="仿宋" w:cs="仿宋"/>
        </w:rPr>
        <w:t>2023</w:t>
      </w:r>
      <w:r>
        <w:rPr>
          <w:rFonts w:ascii="仿宋" w:eastAsia="仿宋" w:hAnsi="仿宋" w:cs="仿宋"/>
        </w:rPr>
        <w:t>年会议费预算按财政要求统一进行压缩。</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年度一般公共预算拨款安排的培训费预算支出</w:t>
      </w:r>
      <w:r>
        <w:rPr>
          <w:rFonts w:ascii="仿宋" w:eastAsia="仿宋" w:hAnsi="仿宋" w:cs="仿宋"/>
        </w:rPr>
        <w:t>160.75</w:t>
      </w:r>
      <w:r>
        <w:rPr>
          <w:rFonts w:ascii="仿宋" w:eastAsia="仿宋" w:hAnsi="仿宋" w:cs="仿宋"/>
        </w:rPr>
        <w:t>万元，比上年预算减少</w:t>
      </w:r>
      <w:r>
        <w:rPr>
          <w:rFonts w:ascii="仿宋" w:eastAsia="仿宋" w:hAnsi="仿宋" w:cs="仿宋"/>
        </w:rPr>
        <w:t>17.29</w:t>
      </w:r>
      <w:r>
        <w:rPr>
          <w:rFonts w:ascii="仿宋" w:eastAsia="仿宋" w:hAnsi="仿宋" w:cs="仿宋"/>
        </w:rPr>
        <w:t>万元，主要原因是</w:t>
      </w:r>
      <w:r>
        <w:rPr>
          <w:rFonts w:ascii="仿宋" w:eastAsia="仿宋" w:hAnsi="仿宋" w:cs="仿宋"/>
        </w:rPr>
        <w:t>2023</w:t>
      </w:r>
      <w:r>
        <w:rPr>
          <w:rFonts w:ascii="仿宋" w:eastAsia="仿宋" w:hAnsi="仿宋" w:cs="仿宋"/>
        </w:rPr>
        <w:t>年培训费预算按财政要求统一进行压缩。</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十、政府性基金预算支出预算情况说明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常州市工业和信息化局</w:t>
      </w:r>
      <w:r>
        <w:rPr>
          <w:rFonts w:ascii="仿宋" w:eastAsia="仿宋" w:hAnsi="仿宋" w:cs="仿宋"/>
        </w:rPr>
        <w:t>2023</w:t>
      </w:r>
      <w:r>
        <w:rPr>
          <w:rFonts w:ascii="仿宋" w:eastAsia="仿宋" w:hAnsi="仿宋" w:cs="仿宋"/>
        </w:rPr>
        <w:t>年政府性基金支出预算支出</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十一、国有资本经营预算支出预算情况说明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常州市工业和信息化局</w:t>
      </w:r>
      <w:r>
        <w:rPr>
          <w:rFonts w:ascii="仿宋" w:eastAsia="仿宋" w:hAnsi="仿宋" w:cs="仿宋"/>
        </w:rPr>
        <w:t>2023</w:t>
      </w:r>
      <w:r>
        <w:rPr>
          <w:rFonts w:ascii="仿宋" w:eastAsia="仿宋" w:hAnsi="仿宋" w:cs="仿宋"/>
        </w:rPr>
        <w:t>年国有资本经营预算支出</w:t>
      </w:r>
      <w:r>
        <w:rPr>
          <w:rFonts w:ascii="仿宋" w:eastAsia="仿宋" w:hAnsi="仿宋" w:cs="仿宋"/>
        </w:rPr>
        <w:t>0</w:t>
      </w:r>
      <w:r>
        <w:rPr>
          <w:rFonts w:ascii="仿宋" w:eastAsia="仿宋" w:hAnsi="仿宋" w:cs="仿宋"/>
        </w:rPr>
        <w:t>万元。与上年预算数相同。</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十二、一般公共预算机关运行经费支出预算情况说明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w:t>
      </w:r>
      <w:r>
        <w:rPr>
          <w:rFonts w:ascii="仿宋" w:eastAsia="仿宋" w:hAnsi="仿宋" w:cs="仿宋"/>
        </w:rPr>
        <w:t>年本部门一般公共预算机关运行经费预算支出</w:t>
      </w:r>
      <w:r>
        <w:rPr>
          <w:rFonts w:ascii="仿宋" w:eastAsia="仿宋" w:hAnsi="仿宋" w:cs="仿宋"/>
        </w:rPr>
        <w:t>257.02</w:t>
      </w:r>
      <w:r>
        <w:rPr>
          <w:rFonts w:ascii="仿宋" w:eastAsia="仿宋" w:hAnsi="仿宋" w:cs="仿宋"/>
        </w:rPr>
        <w:t>万元。与上年相比减少</w:t>
      </w:r>
      <w:r>
        <w:rPr>
          <w:rFonts w:ascii="仿宋" w:eastAsia="仿宋" w:hAnsi="仿宋" w:cs="仿宋"/>
        </w:rPr>
        <w:t>8.36</w:t>
      </w:r>
      <w:r>
        <w:rPr>
          <w:rFonts w:ascii="仿宋" w:eastAsia="仿宋" w:hAnsi="仿宋" w:cs="仿宋"/>
        </w:rPr>
        <w:t>万元，减少</w:t>
      </w:r>
      <w:r>
        <w:rPr>
          <w:rFonts w:ascii="仿宋" w:eastAsia="仿宋" w:hAnsi="仿宋" w:cs="仿宋"/>
        </w:rPr>
        <w:t>3.15%</w:t>
      </w:r>
      <w:r>
        <w:rPr>
          <w:rFonts w:ascii="仿宋" w:eastAsia="仿宋" w:hAnsi="仿宋" w:cs="仿宋"/>
        </w:rPr>
        <w:t>。主要原因是厉行节约，压缩一般公共预算经费。</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十三、政府采购支出预算情况说明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w:t>
      </w:r>
      <w:r>
        <w:rPr>
          <w:rFonts w:ascii="仿宋" w:eastAsia="仿宋" w:hAnsi="仿宋" w:cs="仿宋"/>
        </w:rPr>
        <w:t>年度政府采购支出预算总额</w:t>
      </w:r>
      <w:r>
        <w:rPr>
          <w:rFonts w:ascii="仿宋" w:eastAsia="仿宋" w:hAnsi="仿宋" w:cs="仿宋"/>
        </w:rPr>
        <w:t>0</w:t>
      </w:r>
      <w:r>
        <w:rPr>
          <w:rFonts w:ascii="仿宋" w:eastAsia="仿宋" w:hAnsi="仿宋" w:cs="仿宋"/>
        </w:rPr>
        <w:t>万元，其中：拟采购货物支出</w:t>
      </w:r>
      <w:r>
        <w:rPr>
          <w:rFonts w:ascii="仿宋" w:eastAsia="仿宋" w:hAnsi="仿宋" w:cs="仿宋"/>
        </w:rPr>
        <w:t>0</w:t>
      </w:r>
      <w:r>
        <w:rPr>
          <w:rFonts w:ascii="仿宋" w:eastAsia="仿宋" w:hAnsi="仿宋" w:cs="仿宋"/>
        </w:rPr>
        <w:t>万元、拟采购工程支</w:t>
      </w:r>
      <w:r>
        <w:rPr>
          <w:rFonts w:ascii="仿宋" w:eastAsia="仿宋" w:hAnsi="仿宋" w:cs="仿宋"/>
        </w:rPr>
        <w:t>出</w:t>
      </w:r>
      <w:r>
        <w:rPr>
          <w:rFonts w:ascii="仿宋" w:eastAsia="仿宋" w:hAnsi="仿宋" w:cs="仿宋"/>
        </w:rPr>
        <w:t>0</w:t>
      </w:r>
      <w:r>
        <w:rPr>
          <w:rFonts w:ascii="仿宋" w:eastAsia="仿宋" w:hAnsi="仿宋" w:cs="仿宋"/>
        </w:rPr>
        <w:t>万元、拟采购服务支出</w:t>
      </w:r>
      <w:r>
        <w:rPr>
          <w:rFonts w:ascii="仿宋" w:eastAsia="仿宋" w:hAnsi="仿宋" w:cs="仿宋"/>
        </w:rPr>
        <w:t>0</w:t>
      </w:r>
      <w:r>
        <w:rPr>
          <w:rFonts w:ascii="仿宋" w:eastAsia="仿宋" w:hAnsi="仿宋" w:cs="仿宋"/>
        </w:rPr>
        <w:t>万元。</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本部门共有车辆</w:t>
      </w:r>
      <w:r>
        <w:rPr>
          <w:rFonts w:ascii="仿宋" w:eastAsia="仿宋" w:hAnsi="仿宋" w:cs="仿宋"/>
        </w:rPr>
        <w:t>10</w:t>
      </w:r>
      <w:r>
        <w:rPr>
          <w:rFonts w:ascii="仿宋" w:eastAsia="仿宋" w:hAnsi="仿宋" w:cs="仿宋"/>
        </w:rPr>
        <w:t>辆，其中，副部（省）级及以上领导用车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7</w:t>
      </w:r>
      <w:r>
        <w:rPr>
          <w:rFonts w:ascii="仿宋" w:eastAsia="仿宋" w:hAnsi="仿宋" w:cs="仿宋"/>
        </w:rPr>
        <w:t>辆、特种专业技术用车</w:t>
      </w:r>
      <w:r>
        <w:rPr>
          <w:rFonts w:ascii="仿宋" w:eastAsia="仿宋" w:hAnsi="仿宋" w:cs="仿宋"/>
        </w:rPr>
        <w:t>3</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0</w:t>
      </w:r>
      <w:r>
        <w:rPr>
          <w:rFonts w:ascii="仿宋" w:eastAsia="仿宋" w:hAnsi="仿宋" w:cs="仿宋"/>
        </w:rPr>
        <w:t>辆；单价</w:t>
      </w:r>
      <w:r>
        <w:rPr>
          <w:rFonts w:ascii="仿宋" w:eastAsia="仿宋" w:hAnsi="仿宋" w:cs="仿宋"/>
        </w:rPr>
        <w:t>50</w:t>
      </w:r>
      <w:r>
        <w:rPr>
          <w:rFonts w:ascii="仿宋" w:eastAsia="仿宋" w:hAnsi="仿宋" w:cs="仿宋"/>
        </w:rPr>
        <w:t>万元（含）以上的通用设备</w:t>
      </w:r>
      <w:r>
        <w:rPr>
          <w:rFonts w:ascii="仿宋" w:eastAsia="仿宋" w:hAnsi="仿宋" w:cs="仿宋"/>
        </w:rPr>
        <w:t>0</w:t>
      </w:r>
      <w:r>
        <w:rPr>
          <w:rFonts w:ascii="仿宋" w:eastAsia="仿宋" w:hAnsi="仿宋" w:cs="仿宋"/>
        </w:rPr>
        <w:t>台（套），单价</w:t>
      </w:r>
      <w:r>
        <w:rPr>
          <w:rFonts w:ascii="仿宋" w:eastAsia="仿宋" w:hAnsi="仿宋" w:cs="仿宋"/>
        </w:rPr>
        <w:t>100</w:t>
      </w:r>
      <w:r>
        <w:rPr>
          <w:rFonts w:ascii="仿宋" w:eastAsia="仿宋" w:hAnsi="仿宋" w:cs="仿宋"/>
        </w:rPr>
        <w:t>万元（含）以上的专用设备</w:t>
      </w:r>
      <w:r>
        <w:rPr>
          <w:rFonts w:ascii="仿宋" w:eastAsia="仿宋" w:hAnsi="仿宋" w:cs="仿宋"/>
        </w:rPr>
        <w:t>9</w:t>
      </w:r>
      <w:r>
        <w:rPr>
          <w:rFonts w:ascii="仿宋" w:eastAsia="仿宋" w:hAnsi="仿宋" w:cs="仿宋"/>
        </w:rPr>
        <w:t>台（套）。</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十五、预算绩效目标设置情况说明</w:t>
      </w:r>
    </w:p>
    <w:p w:rsidR="00A01E05" w:rsidRDefault="00C32B94">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w:t>
      </w:r>
      <w:r>
        <w:rPr>
          <w:rFonts w:ascii="仿宋" w:eastAsia="仿宋" w:hAnsi="仿宋" w:cs="仿宋"/>
        </w:rPr>
        <w:t>年度，本部门整体支出纳入绩效目标管理，涉及财政性资金</w:t>
      </w:r>
      <w:r>
        <w:rPr>
          <w:rFonts w:ascii="仿宋" w:eastAsia="仿宋" w:hAnsi="仿宋" w:cs="仿宋"/>
        </w:rPr>
        <w:t>34,487.04</w:t>
      </w:r>
      <w:r>
        <w:rPr>
          <w:rFonts w:ascii="仿宋" w:eastAsia="仿宋" w:hAnsi="仿宋" w:cs="仿宋"/>
        </w:rPr>
        <w:t>万元；本部门共</w:t>
      </w:r>
      <w:r>
        <w:rPr>
          <w:rFonts w:ascii="仿宋" w:eastAsia="仿宋" w:hAnsi="仿宋" w:cs="仿宋"/>
        </w:rPr>
        <w:t>13</w:t>
      </w:r>
      <w:r>
        <w:rPr>
          <w:rFonts w:ascii="仿宋" w:eastAsia="仿宋" w:hAnsi="仿宋" w:cs="仿宋"/>
        </w:rPr>
        <w:t>个项目纳入绩效目标管理，涉及财政性资金</w:t>
      </w:r>
      <w:r>
        <w:rPr>
          <w:rFonts w:ascii="仿宋" w:eastAsia="仿宋" w:hAnsi="仿宋" w:cs="仿宋"/>
        </w:rPr>
        <w:t>合计</w:t>
      </w:r>
      <w:r>
        <w:rPr>
          <w:rFonts w:ascii="仿宋" w:eastAsia="仿宋" w:hAnsi="仿宋" w:cs="仿宋"/>
        </w:rPr>
        <w:t>29,714.24</w:t>
      </w:r>
      <w:r>
        <w:rPr>
          <w:rFonts w:ascii="仿宋" w:eastAsia="仿宋" w:hAnsi="仿宋" w:cs="仿宋"/>
        </w:rPr>
        <w:t>万元，占财政性资金</w:t>
      </w:r>
      <w:r>
        <w:rPr>
          <w:rFonts w:ascii="仿宋" w:eastAsia="仿宋" w:hAnsi="仿宋" w:cs="仿宋"/>
        </w:rPr>
        <w:t>(</w:t>
      </w:r>
      <w:r>
        <w:rPr>
          <w:rFonts w:ascii="仿宋" w:eastAsia="仿宋" w:hAnsi="仿宋" w:cs="仿宋"/>
        </w:rPr>
        <w:t>基本支出除外</w:t>
      </w:r>
      <w:r>
        <w:rPr>
          <w:rFonts w:ascii="仿宋" w:eastAsia="仿宋" w:hAnsi="仿宋" w:cs="仿宋"/>
        </w:rPr>
        <w:t>)</w:t>
      </w:r>
      <w:r>
        <w:rPr>
          <w:rFonts w:ascii="仿宋" w:eastAsia="仿宋" w:hAnsi="仿宋" w:cs="仿宋"/>
        </w:rPr>
        <w:t>总额的比例为</w:t>
      </w:r>
      <w:r>
        <w:rPr>
          <w:rFonts w:ascii="仿宋" w:eastAsia="仿宋" w:hAnsi="仿宋" w:cs="仿宋"/>
        </w:rPr>
        <w:t>100%</w:t>
      </w:r>
      <w:r>
        <w:rPr>
          <w:rFonts w:ascii="仿宋" w:eastAsia="仿宋" w:hAnsi="仿宋" w:cs="仿宋"/>
        </w:rPr>
        <w:t>。</w:t>
      </w:r>
    </w:p>
    <w:p w:rsidR="00A01E05" w:rsidRDefault="00C32B94">
      <w:pPr>
        <w:pStyle w:val="a4"/>
        <w:tabs>
          <w:tab w:val="left" w:pos="3864"/>
          <w:tab w:val="left" w:pos="6248"/>
          <w:tab w:val="left" w:pos="7386"/>
        </w:tabs>
        <w:jc w:val="center"/>
        <w:rPr>
          <w:rFonts w:ascii="仿宋" w:eastAsia="仿宋" w:hAnsi="仿宋" w:cs="仿宋"/>
          <w:b/>
          <w:bCs/>
          <w:sz w:val="36"/>
          <w:szCs w:val="36"/>
        </w:rPr>
      </w:pPr>
      <w:r>
        <w:rPr>
          <w:rFonts w:ascii="仿宋" w:eastAsia="仿宋" w:hAnsi="仿宋" w:cs="仿宋" w:hint="eastAsia"/>
          <w:b/>
          <w:bCs/>
          <w:sz w:val="36"/>
          <w:szCs w:val="36"/>
        </w:rPr>
        <w:lastRenderedPageBreak/>
        <w:t>第四部分</w:t>
      </w:r>
      <w:r>
        <w:rPr>
          <w:rFonts w:ascii="仿宋" w:eastAsia="仿宋" w:hAnsi="仿宋" w:cs="仿宋" w:hint="eastAsia"/>
          <w:b/>
          <w:bCs/>
          <w:sz w:val="36"/>
          <w:szCs w:val="36"/>
        </w:rPr>
        <w:t xml:space="preserve"> </w:t>
      </w:r>
      <w:r>
        <w:rPr>
          <w:rFonts w:ascii="仿宋" w:eastAsia="仿宋" w:hAnsi="仿宋" w:cs="仿宋" w:hint="eastAsia"/>
          <w:b/>
          <w:bCs/>
          <w:sz w:val="36"/>
          <w:szCs w:val="36"/>
        </w:rPr>
        <w:t>名词解释</w:t>
      </w:r>
    </w:p>
    <w:p w:rsidR="00A01E05" w:rsidRDefault="00A01E05">
      <w:pPr>
        <w:pStyle w:val="a4"/>
        <w:tabs>
          <w:tab w:val="left" w:pos="3864"/>
          <w:tab w:val="left" w:pos="6248"/>
          <w:tab w:val="left" w:pos="7386"/>
        </w:tabs>
        <w:ind w:leftChars="200" w:left="440" w:firstLineChars="206" w:firstLine="659"/>
        <w:jc w:val="both"/>
        <w:rPr>
          <w:rFonts w:ascii="仿宋" w:eastAsia="仿宋" w:hAnsi="仿宋" w:cs="仿宋"/>
        </w:rPr>
      </w:pP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单位从同级财政部门取得的各类财政拨款，包括一般公共预算拨款、政府性基金预算拨款、国有资本经营预算拨款。</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除财政拨款收入和财政专户管理资金以外的收入，包括事业收入（不含教育收费）、上级补助收入、附属单位上缴收入、事业单位经营收入及其他收入（包含债务收入、投资收益等）。</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五、项目支出</w:t>
      </w:r>
      <w:r>
        <w:rPr>
          <w:rFonts w:ascii="仿宋" w:eastAsia="仿宋" w:hAnsi="仿宋" w:cs="仿宋"/>
          <w:b/>
        </w:rPr>
        <w:t>：</w:t>
      </w:r>
      <w:r>
        <w:rPr>
          <w:rFonts w:ascii="仿宋" w:eastAsia="仿宋" w:hAnsi="仿宋" w:cs="仿宋" w:hint="eastAsia"/>
        </w:rPr>
        <w:t>指在基本支出之外为完成特定工作任务和事业发展目标所发生的支出。</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w:t>
      </w:r>
      <w:r>
        <w:rPr>
          <w:rFonts w:ascii="仿宋" w:eastAsia="仿宋" w:hAnsi="仿宋" w:cs="仿宋" w:hint="eastAsia"/>
        </w:rPr>
        <w:lastRenderedPageBreak/>
        <w:t>单位）使用一般公共预算安排的基本支出中的日常公用经费支出，包括办公及印刷费、邮电费、差旅费、会议费、福利费、</w:t>
      </w:r>
      <w:r>
        <w:rPr>
          <w:rFonts w:ascii="仿宋" w:eastAsia="仿宋" w:hAnsi="仿宋" w:cs="仿宋" w:hint="eastAsia"/>
        </w:rPr>
        <w:t>日常维修费、专用材料及一般设备购置费、办公用房水电费、办公用房取暖费、办公用房物业管理费、公务用车运行维护费及其他费用等。</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政府办公厅（室）及相关机构事务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其他一般公共服务支出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其他一般公共服务支出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反映除上述项目以外的其他一般公共服务支出。</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反映行政单位（包括实行公务员管理的事业单位）开支的离</w:t>
      </w:r>
      <w:r>
        <w:rPr>
          <w:rFonts w:ascii="仿宋" w:eastAsia="仿宋" w:hAnsi="仿宋" w:cs="仿宋" w:hint="eastAsia"/>
        </w:rPr>
        <w:t>退休经费。</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事业单位离退休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反映事业单位开支的离退休经费。</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公务员医疗补助</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反映财政部门安排的公务员医疗补助经费。</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十三、资源勘探工业信息等支出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工业和信息产业监管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十四、资源勘探工业信息等支出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工业和信息产业监管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一般行政管理事务</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反映行政单位（包括实行公务员管理的事业单位）未单独设置项级科目的其他</w:t>
      </w:r>
      <w:r>
        <w:rPr>
          <w:rFonts w:ascii="仿宋" w:eastAsia="仿宋" w:hAnsi="仿宋" w:cs="仿宋" w:hint="eastAsia"/>
        </w:rPr>
        <w:t>项目支出。</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十五、资源勘探工业信息等支出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工业和信息产业监管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其他工业和信息产业监管支出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反映除上述项目以外其他用于工业和信息产业监管方面的支出。</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十六、资源勘探工业信息等支出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支持中小企业发展和管理支出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其他支持中小企业发展和管理支出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反映除上述项目以外其他用于支持中小企业发展和管理方面的支出。</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十八、住房保障支</w:t>
      </w:r>
      <w:r>
        <w:rPr>
          <w:rFonts w:ascii="仿宋" w:eastAsia="仿宋" w:hAnsi="仿宋" w:cs="仿宋" w:hint="eastAsia"/>
          <w:b/>
          <w:bCs/>
        </w:rPr>
        <w:t>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A01E05" w:rsidRDefault="00C32B94">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向转役复员离退休人员发放的用于购买住房的补贴。</w:t>
      </w:r>
    </w:p>
    <w:sectPr w:rsidR="00A01E05" w:rsidSect="00A01E05">
      <w:pgSz w:w="11906" w:h="16838"/>
      <w:pgMar w:top="1580" w:right="820" w:bottom="770" w:left="822"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2B94" w:rsidRDefault="00C32B94" w:rsidP="00A01E05">
      <w:pPr>
        <w:ind w:firstLine="420"/>
      </w:pPr>
      <w:r>
        <w:separator/>
      </w:r>
    </w:p>
  </w:endnote>
  <w:endnote w:type="continuationSeparator" w:id="1">
    <w:p w:rsidR="00C32B94" w:rsidRDefault="00C32B94" w:rsidP="00A01E05">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Times New Roman">
    <w:panose1 w:val="02020603050405020304"/>
    <w:charset w:val="00"/>
    <w:family w:val="roman"/>
    <w:pitch w:val="variable"/>
    <w:sig w:usb0="20002A87" w:usb1="00000000" w:usb2="00000000" w:usb3="00000000" w:csb0="000001FF" w:csb1="00000000"/>
  </w:font>
  <w:font w:name="Liberation Sans">
    <w:altName w:val="宋体"/>
    <w:charset w:val="86"/>
    <w:family w:val="roman"/>
    <w:pitch w:val="default"/>
    <w:sig w:usb0="00000000" w:usb1="00000000" w:usb2="00000021" w:usb3="00000000" w:csb0="600001BF" w:csb1="DFF70000"/>
  </w:font>
  <w:font w:name="Liberation Mono">
    <w:altName w:val="宋体"/>
    <w:charset w:val="86"/>
    <w:family w:val="roman"/>
    <w:pitch w:val="default"/>
    <w:sig w:usb0="00000000" w:usb1="00000000" w:usb2="00000001" w:usb3="00000000" w:csb0="600001BF" w:csb1="DFF7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2142" w:rsidRDefault="00552142">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2142" w:rsidRDefault="00552142">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2142" w:rsidRDefault="00552142">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rPr>
        <w:rFonts w:ascii="黑体" w:eastAsia="黑体" w:hAnsi="黑体" w:cs="黑体"/>
      </w:rPr>
    </w:pPr>
    <w:r w:rsidRPr="00A01E05">
      <w:rPr>
        <w:rFonts w:ascii="黑体" w:eastAsia="黑体" w:hAnsi="黑体" w:cs="黑体"/>
      </w:rPr>
      <w:pict>
        <v:shapetype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5107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DDc8oBAACc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lW&#10;q1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QDDc8oBAACcAwAADgAAAAAAAAABACAAAAAeAQAAZHJzL2Uyb0Rv&#10;Yy54bWxQSwUGAAAAAAYABgBZAQAAWgUAAAAA&#10;" filled="f" stroked="f">
          <v:textbox style="mso-fit-shape-to-text:t" inset="0,0,0,0">
            <w:txbxContent>
              <w:p w:rsidR="00A01E05" w:rsidRDefault="00A01E05">
                <w:pPr>
                  <w:pStyle w:val="a5"/>
                  <w:rPr>
                    <w:rFonts w:ascii="黑体" w:eastAsia="黑体" w:hAnsi="黑体" w:cs="黑体"/>
                  </w:rPr>
                </w:pPr>
                <w:r>
                  <w:rPr>
                    <w:rFonts w:ascii="黑体" w:eastAsia="黑体" w:hAnsi="黑体" w:cs="黑体" w:hint="eastAsia"/>
                  </w:rPr>
                  <w:fldChar w:fldCharType="begin"/>
                </w:r>
                <w:r w:rsidR="00C32B94">
                  <w:rPr>
                    <w:rFonts w:ascii="黑体" w:eastAsia="黑体" w:hAnsi="黑体" w:cs="黑体" w:hint="eastAsia"/>
                  </w:rPr>
                  <w:instrText xml:space="preserve"> PAGE  \* MERGEFORMAT </w:instrText>
                </w:r>
                <w:r>
                  <w:rPr>
                    <w:rFonts w:ascii="黑体" w:eastAsia="黑体" w:hAnsi="黑体" w:cs="黑体" w:hint="eastAsia"/>
                  </w:rPr>
                  <w:fldChar w:fldCharType="separate"/>
                </w:r>
                <w:r w:rsidR="00552142">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rPr>
        <w:rFonts w:ascii="黑体" w:eastAsia="黑体" w:hAnsi="黑体" w:cs="黑体"/>
      </w:rPr>
    </w:pPr>
    <w:r w:rsidRPr="00A01E05">
      <w:rPr>
        <w:rFonts w:ascii="黑体" w:eastAsia="黑体" w:hAnsi="黑体" w:cs="黑体"/>
      </w:rPr>
      <w:pict>
        <v:shapetype id="_x0000_t202" coordsize="21600,21600" o:spt="202" path="m,l,21600r21600,l21600,xe">
          <v:stroke joinstyle="miter"/>
          <v:path gradientshapeok="t" o:connecttype="rect"/>
        </v:shapetype>
        <v:shape id="文本框 1041" o:spid="_x0000_s3085" type="#_x0000_t202" style="position:absolute;left:0;text-align:left;margin-left:0;margin-top:0;width:2in;height:2in;z-index:251652096;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awtAMsBAACcAwAADgAAAGRycy9lMm9Eb2MueG1srVPNjtMwEL4j8Q6W&#10;79RptUJ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y&#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GsLQDLAQAAnAMAAA4AAAAAAAAAAQAgAAAAHgEAAGRycy9lMm9E&#10;b2MueG1sUEsFBgAAAAAGAAYAWQEAAFsFAAAAAA==&#10;" filled="f" stroked="f">
          <v:textbox style="mso-fit-shape-to-text:t" inset="0,0,0,0">
            <w:txbxContent>
              <w:p w:rsidR="00A01E05" w:rsidRDefault="00A01E05">
                <w:pPr>
                  <w:pStyle w:val="a5"/>
                  <w:rPr>
                    <w:rFonts w:ascii="黑体" w:eastAsia="黑体" w:hAnsi="黑体" w:cs="黑体"/>
                  </w:rPr>
                </w:pPr>
                <w:r>
                  <w:rPr>
                    <w:rFonts w:ascii="黑体" w:eastAsia="黑体" w:hAnsi="黑体" w:cs="黑体" w:hint="eastAsia"/>
                  </w:rPr>
                  <w:fldChar w:fldCharType="begin"/>
                </w:r>
                <w:r w:rsidR="00C32B94">
                  <w:rPr>
                    <w:rFonts w:ascii="黑体" w:eastAsia="黑体" w:hAnsi="黑体" w:cs="黑体" w:hint="eastAsia"/>
                  </w:rPr>
                  <w:instrText xml:space="preserve"> PAGE  \* MERGEFORMAT </w:instrText>
                </w:r>
                <w:r>
                  <w:rPr>
                    <w:rFonts w:ascii="黑体" w:eastAsia="黑体" w:hAnsi="黑体" w:cs="黑体" w:hint="eastAsia"/>
                  </w:rPr>
                  <w:fldChar w:fldCharType="separate"/>
                </w:r>
                <w:r w:rsidR="006236D8">
                  <w:rPr>
                    <w:rFonts w:ascii="黑体" w:eastAsia="黑体" w:hAnsi="黑体" w:cs="黑体"/>
                    <w:noProof/>
                  </w:rPr>
                  <w:t>- 12 -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39" o:spid="_x0000_s3084" type="#_x0000_t202" style="position:absolute;left:0;text-align:left;margin-left:0;margin-top:0;width:2in;height:2in;z-index:25165312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uFb6coBAACcAwAADgAAAAAAAAABACAAAAAeAQAAZHJzL2Uyb0Rv&#10;Yy54bWxQSwUGAAAAAAYABgBZAQAAWgU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552142">
                  <w:rPr>
                    <w:noProof/>
                  </w:rPr>
                  <w:t>- 15 -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40" o:spid="_x0000_s3083" type="#_x0000_t202" style="position:absolute;left:0;text-align:left;margin-left:0;margin-top:0;width:2in;height:2in;z-index:25165414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36fm8oBAACcAwAADgAAAAAAAAABACAAAAAeAQAAZHJzL2Uyb0Rv&#10;Yy54bWxQSwUGAAAAAAYABgBZAQAAWgU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552142">
                  <w:rPr>
                    <w:noProof/>
                  </w:rPr>
                  <w:t>- 16 -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27" o:spid="_x0000_s3082" type="#_x0000_t202" style="position:absolute;left:0;text-align:left;margin-left:0;margin-top:0;width:2in;height:2in;z-index:25165516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KPXn8oBAACcAwAADgAAAGRycy9lMm9Eb2MueG1srVPNjtMwEL4j8Q6W&#10;79RpD2wV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KPXn8oBAACcAwAADgAAAAAAAAABACAAAAAeAQAAZHJzL2Uyb0Rv&#10;Yy54bWxQSwUGAAAAAAYABgBZAQAAWgU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552142">
                  <w:rPr>
                    <w:noProof/>
                  </w:rPr>
                  <w:t>- 18 -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28" o:spid="_x0000_s3081" type="#_x0000_t202" style="position:absolute;left:0;text-align:left;margin-left:0;margin-top:0;width:2in;height:2in;z-index:25165619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N7nMoBAACcAwAADgAAAAAAAAABACAAAAAeAQAAZHJzL2Uyb0Rv&#10;Yy54bWxQSwUGAAAAAAYABgBZAQAAWgU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552142">
                  <w:rPr>
                    <w:noProof/>
                  </w:rPr>
                  <w:t>- 20 -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29" o:spid="_x0000_s3080" type="#_x0000_t202" style="position:absolute;left:0;text-align:left;margin-left:0;margin-top:0;width:2in;height:2in;z-index:251657216;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f7gKsoBAACcAwAADgAAAGRycy9lMm9Eb2MueG1srVPNjtMwEL4j8Q6W&#10;79RpD6gb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2f7gKsoBAACcAwAADgAAAAAAAAABACAAAAAeAQAAZHJzL2Uyb0Rv&#10;Yy54bWxQSwUGAAAAAAYABgBZAQAAWgU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552142">
                  <w:rPr>
                    <w:noProof/>
                  </w:rPr>
                  <w:t>- 22 -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30" o:spid="_x0000_s3079" type="#_x0000_t202" style="position:absolute;left:0;text-align:left;margin-left:0;margin-top:0;width:2in;height:2in;z-index:25165824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U+CAckBAACd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BY3ASVx3OLEL9+/XX78uvz8SpbV&#10;yyJRH6DGzIeAuWl44wdMz9JlP6AzMx9UtPmLnAjGEe18FVgOiYj8aL1arysMCYzNF8Rht+chQnor&#10;vSXZaGjECRZh+ek9pDF1TsnVnL/XxpQpGveXAzGzh916zFYa9sPU+N63Z+TT4/Ab6nDXKTHvHGqL&#10;/aXZiLOxn41jiPrQlUXK9SC8PiZsovSWK4ywU2GcWmE3bVheiz/vJev2V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hT4IByQEAAJ0DAAAOAAAAAAAAAAEAIAAAAB4BAABkcnMvZTJvRG9j&#10;LnhtbFBLBQYAAAAABgAGAFkBAABZBQ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552142">
                  <w:rPr>
                    <w:noProof/>
                  </w:rPr>
                  <w:t>- 23 -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31" o:spid="_x0000_s3078" type="#_x0000_t202" style="position:absolute;left:0;text-align:left;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tCGbfLAQAAnQMAAA4AAAAAAAAAAQAgAAAAHgEAAGRycy9lMm9E&#10;b2MueG1sUEsFBgAAAAAGAAYAWQEAAFsFA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6236D8">
                  <w:rPr>
                    <w:noProof/>
                  </w:rPr>
                  <w:t>- 25 -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32" o:spid="_x0000_s3077" type="#_x0000_t202" style="position:absolute;left:0;text-align:left;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FLFt8sBAACdAwAADgAAAGRycy9lMm9Eb2MueG1srVNLbtswEN0XyB0I&#10;7mPKKlA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BjehpMRygxM/f/92/vHr/PMr&#10;WRZvyyRR76HCzCePuXG4cwOmz35AZ2I+tMGkL3IiGEeBTxeB5RCJSI9W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RSxbfLAQAAnQMAAA4AAAAAAAAAAQAgAAAAHgEAAGRycy9lMm9E&#10;b2MueG1sUEsFBgAAAAAGAAYAWQEAAFsFA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6236D8">
                  <w:rPr>
                    <w:noProof/>
                  </w:rPr>
                  <w:t>- 26 -</w:t>
                </w:r>
                <w:r>
                  <w:rPr>
                    <w:rFonts w:hint="eastAsia"/>
                  </w:rP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33" o:spid="_x0000_s3076" type="#_x0000_t202" style="position:absolute;left:0;text-align:left;margin-left:0;margin-top:0;width:2in;height:2in;z-index:25166131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5fXgHLAQAAnQMAAA4AAAAAAAAAAQAgAAAAHgEAAGRycy9lMm9E&#10;b2MueG1sUEsFBgAAAAAGAAYAWQEAAFsFA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6236D8">
                  <w:rPr>
                    <w:noProof/>
                  </w:rPr>
                  <w:t>- 27 -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34" o:spid="_x0000_s3075" type="#_x0000_t202" style="position:absolute;left:0;text-align:left;margin-left:0;margin-top:0;width:2in;height:2in;z-index:251662336;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nJ9tssBAACdAwAADgAAAGRycy9lMm9Eb2MueG1srVPNjtMwEL4j8Q6W&#10;79RpWaE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pyfbbLAQAAnQMAAA4AAAAAAAAAAQAgAAAAHgEAAGRycy9lMm9E&#10;b2MueG1sUEsFBgAAAAAGAAYAWQEAAFsFA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6236D8">
                  <w:rPr>
                    <w:noProof/>
                  </w:rPr>
                  <w:t>- 29 -</w:t>
                </w:r>
                <w:r>
                  <w:rPr>
                    <w:rFonts w:hint="eastAsia"/>
                  </w:rP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35" o:spid="_x0000_s3074" type="#_x0000_t202" style="position:absolute;left:0;text-align:left;margin-left:0;margin-top:0;width:2in;height:2in;z-index:25166336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H/mAMsBAACdAwAADgAAAGRycy9lMm9Eb2MueG1srVPNjtMwEL4j8Q6W&#10;79Rp0aI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B/5gDLAQAAnQMAAA4AAAAAAAAAAQAgAAAAHgEAAGRycy9lMm9E&#10;b2MueG1sUEsFBgAAAAAGAAYAWQEAAFsFA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6236D8">
                  <w:rPr>
                    <w:noProof/>
                  </w:rPr>
                  <w:t>- 30 -</w:t>
                </w:r>
                <w:r>
                  <w:rPr>
                    <w:rFonts w:hint="eastAsia"/>
                  </w:rP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5"/>
      <w:jc w:val="center"/>
    </w:pPr>
    <w:r w:rsidRPr="00A01E05">
      <w:pict>
        <v:shapetype id="_x0000_t202" coordsize="21600,21600" o:spt="202" path="m,l,21600r21600,l21600,xe">
          <v:stroke joinstyle="miter"/>
          <v:path gradientshapeok="t" o:connecttype="rect"/>
        </v:shapetype>
        <v:shape id="文本框 1036" o:spid="_x0000_s3073" type="#_x0000_t202" style="position:absolute;left:0;text-align:left;margin-left:0;margin-top:0;width:2in;height:2in;z-index:25166438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9vOgDLAQAAnQMAAA4AAAAAAAAAAQAgAAAAHgEAAGRycy9lMm9E&#10;b2MueG1sUEsFBgAAAAAGAAYAWQEAAFsFAAAAAA==&#10;" filled="f" stroked="f">
          <v:textbox style="mso-fit-shape-to-text:t" inset="0,0,0,0">
            <w:txbxContent>
              <w:p w:rsidR="00A01E05" w:rsidRDefault="00A01E05">
                <w:pPr>
                  <w:pStyle w:val="a5"/>
                </w:pPr>
                <w:r>
                  <w:rPr>
                    <w:rFonts w:hint="eastAsia"/>
                  </w:rPr>
                  <w:fldChar w:fldCharType="begin"/>
                </w:r>
                <w:r w:rsidR="00C32B94">
                  <w:rPr>
                    <w:rFonts w:hint="eastAsia"/>
                  </w:rPr>
                  <w:instrText xml:space="preserve"> PAGE  \* MERGEFORMAT </w:instrText>
                </w:r>
                <w:r>
                  <w:rPr>
                    <w:rFonts w:hint="eastAsia"/>
                  </w:rPr>
                  <w:fldChar w:fldCharType="separate"/>
                </w:r>
                <w:r w:rsidR="006236D8">
                  <w:rPr>
                    <w:noProof/>
                  </w:rPr>
                  <w:t>- 44 -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2B94" w:rsidRDefault="00C32B94">
      <w:r>
        <w:separator/>
      </w:r>
    </w:p>
  </w:footnote>
  <w:footnote w:type="continuationSeparator" w:id="1">
    <w:p w:rsidR="00C32B94" w:rsidRDefault="00C32B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2142" w:rsidRDefault="00552142">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C32B94">
    <w:pPr>
      <w:pStyle w:val="a6"/>
      <w:pBdr>
        <w:bottom w:val="single" w:sz="4" w:space="1" w:color="000000"/>
      </w:pBdr>
      <w:jc w:val="both"/>
      <w:rPr>
        <w:lang w:val="en-US"/>
      </w:rPr>
    </w:pPr>
    <w:r>
      <w:rPr>
        <w:rFonts w:hint="eastAsia"/>
        <w:lang w:val="en-US"/>
      </w:rPr>
      <w:t>常州市工业和信息化局</w:t>
    </w:r>
    <w:r>
      <w:t>2023</w:t>
    </w:r>
    <w:r>
      <w:t>年度部门预算公开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1E05" w:rsidRDefault="00A01E05">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0"/>
  <w:autoHyphenation/>
  <w:noPunctuationKerning/>
  <w:characterSpacingControl w:val="doNotCompress"/>
  <w:hdrShapeDefaults>
    <o:shapedefaults v:ext="edit" spidmax="6146"/>
    <o:shapelayout v:ext="edit">
      <o:idmap v:ext="edit" data="1,3"/>
    </o:shapelayout>
  </w:hdrShapeDefaults>
  <w:footnotePr>
    <w:footnote w:id="0"/>
    <w:footnote w:id="1"/>
  </w:footnotePr>
  <w:endnotePr>
    <w:endnote w:id="0"/>
    <w:endnote w:id="1"/>
  </w:endnotePr>
  <w:compat>
    <w:doNotExpandShiftReturn/>
    <w:useFELayout/>
  </w:compat>
  <w:docVars>
    <w:docVar w:name="commondata" w:val="eyJoZGlkIjoiMDQzZjBjM2Y4ZmQxNWE1NmFjZjhiNzE4YTJiODAzNzcifQ=="/>
  </w:docVars>
  <w:rsids>
    <w:rsidRoot w:val="00A01E05"/>
    <w:rsid w:val="DBEED555"/>
    <w:rsid w:val="00064984"/>
    <w:rsid w:val="00071288"/>
    <w:rsid w:val="00071789"/>
    <w:rsid w:val="000F12AB"/>
    <w:rsid w:val="001C31F9"/>
    <w:rsid w:val="00407CA7"/>
    <w:rsid w:val="00413AD8"/>
    <w:rsid w:val="004460AE"/>
    <w:rsid w:val="00552142"/>
    <w:rsid w:val="005F037B"/>
    <w:rsid w:val="006236D8"/>
    <w:rsid w:val="00671ED7"/>
    <w:rsid w:val="00672164"/>
    <w:rsid w:val="00867423"/>
    <w:rsid w:val="008B5B05"/>
    <w:rsid w:val="00925913"/>
    <w:rsid w:val="009965EA"/>
    <w:rsid w:val="00A01E05"/>
    <w:rsid w:val="00A61D7A"/>
    <w:rsid w:val="00A6752E"/>
    <w:rsid w:val="00BD7F33"/>
    <w:rsid w:val="00C15920"/>
    <w:rsid w:val="00C32B94"/>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A7C48"/>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931509"/>
    <w:rsid w:val="08A333FC"/>
    <w:rsid w:val="08B16290"/>
    <w:rsid w:val="08BD1AAD"/>
    <w:rsid w:val="08D342E7"/>
    <w:rsid w:val="08E134F8"/>
    <w:rsid w:val="08FC0605"/>
    <w:rsid w:val="08FE52B0"/>
    <w:rsid w:val="090F5FB7"/>
    <w:rsid w:val="09165D85"/>
    <w:rsid w:val="092660BA"/>
    <w:rsid w:val="0932487E"/>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747AF"/>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15F97"/>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405BCB"/>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1037A82"/>
    <w:rsid w:val="1106739D"/>
    <w:rsid w:val="11082369"/>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290F74"/>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61AB0"/>
    <w:rsid w:val="167F1A6B"/>
    <w:rsid w:val="16971C37"/>
    <w:rsid w:val="16BC7A59"/>
    <w:rsid w:val="16BE14E7"/>
    <w:rsid w:val="16BE34FA"/>
    <w:rsid w:val="16E22E32"/>
    <w:rsid w:val="16ED632E"/>
    <w:rsid w:val="170E72F7"/>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936F0"/>
    <w:rsid w:val="1D0E4D1B"/>
    <w:rsid w:val="1D0F64B4"/>
    <w:rsid w:val="1D103F06"/>
    <w:rsid w:val="1D201166"/>
    <w:rsid w:val="1D3214B5"/>
    <w:rsid w:val="1D383DB3"/>
    <w:rsid w:val="1D387361"/>
    <w:rsid w:val="1D387D1B"/>
    <w:rsid w:val="1D552DD9"/>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D2622D"/>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37CF"/>
    <w:rsid w:val="1F724421"/>
    <w:rsid w:val="1F8122F8"/>
    <w:rsid w:val="1F8B39C7"/>
    <w:rsid w:val="1F8C1569"/>
    <w:rsid w:val="1FA17CC2"/>
    <w:rsid w:val="1FB1012B"/>
    <w:rsid w:val="1FD5645B"/>
    <w:rsid w:val="1FD866E0"/>
    <w:rsid w:val="1FE16BA6"/>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650D4A"/>
    <w:rsid w:val="21776D10"/>
    <w:rsid w:val="21837115"/>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2B2707"/>
    <w:rsid w:val="24361C71"/>
    <w:rsid w:val="2443382C"/>
    <w:rsid w:val="244706D0"/>
    <w:rsid w:val="244E4876"/>
    <w:rsid w:val="2455798C"/>
    <w:rsid w:val="246E4FE1"/>
    <w:rsid w:val="247771B1"/>
    <w:rsid w:val="24797436"/>
    <w:rsid w:val="24893698"/>
    <w:rsid w:val="248A0DA1"/>
    <w:rsid w:val="248B0DC9"/>
    <w:rsid w:val="24EF440E"/>
    <w:rsid w:val="25175618"/>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36C3A"/>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269B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660CEE"/>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75736"/>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9B06AC"/>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0C25"/>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EA0FD5"/>
    <w:rsid w:val="35F036ED"/>
    <w:rsid w:val="35F11C61"/>
    <w:rsid w:val="35F50D12"/>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A04C6E"/>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55B41"/>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4C3E35"/>
    <w:rsid w:val="3E535C24"/>
    <w:rsid w:val="3E570308"/>
    <w:rsid w:val="3E600BB4"/>
    <w:rsid w:val="3E8A2129"/>
    <w:rsid w:val="3E8C3990"/>
    <w:rsid w:val="3E917B3F"/>
    <w:rsid w:val="3EB3767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2D2B6A"/>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23DA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42A3E"/>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5E4F5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52F0C"/>
    <w:rsid w:val="4E0911A0"/>
    <w:rsid w:val="4E0D72D8"/>
    <w:rsid w:val="4E1F24C4"/>
    <w:rsid w:val="4E2F0959"/>
    <w:rsid w:val="4E383ED6"/>
    <w:rsid w:val="4E5172B9"/>
    <w:rsid w:val="4E560D60"/>
    <w:rsid w:val="4E564593"/>
    <w:rsid w:val="4E5A2684"/>
    <w:rsid w:val="4E66521C"/>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0E4A13"/>
    <w:rsid w:val="4F1E4B12"/>
    <w:rsid w:val="4F301FB1"/>
    <w:rsid w:val="4F3A2B02"/>
    <w:rsid w:val="4F4F7329"/>
    <w:rsid w:val="4F5260B5"/>
    <w:rsid w:val="4F560168"/>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150E3"/>
    <w:rsid w:val="505C4D01"/>
    <w:rsid w:val="50654763"/>
    <w:rsid w:val="50664937"/>
    <w:rsid w:val="507419FE"/>
    <w:rsid w:val="507C7DBC"/>
    <w:rsid w:val="508A7F4D"/>
    <w:rsid w:val="508B1CA1"/>
    <w:rsid w:val="50A568E9"/>
    <w:rsid w:val="50AA168D"/>
    <w:rsid w:val="50AF4B30"/>
    <w:rsid w:val="50BC5CDC"/>
    <w:rsid w:val="50E21CB3"/>
    <w:rsid w:val="50E74C38"/>
    <w:rsid w:val="50E76F7B"/>
    <w:rsid w:val="50EB303A"/>
    <w:rsid w:val="51025571"/>
    <w:rsid w:val="510819A0"/>
    <w:rsid w:val="510C31D4"/>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5837C3"/>
    <w:rsid w:val="5371534A"/>
    <w:rsid w:val="53720C63"/>
    <w:rsid w:val="53760DD8"/>
    <w:rsid w:val="537700D3"/>
    <w:rsid w:val="53811681"/>
    <w:rsid w:val="538A520F"/>
    <w:rsid w:val="538C6CFB"/>
    <w:rsid w:val="53933E3F"/>
    <w:rsid w:val="53A45110"/>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A48F8"/>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D9"/>
    <w:rsid w:val="56CF2CF8"/>
    <w:rsid w:val="56D50BC3"/>
    <w:rsid w:val="56E34EAC"/>
    <w:rsid w:val="570203D1"/>
    <w:rsid w:val="571159E3"/>
    <w:rsid w:val="571D3ABE"/>
    <w:rsid w:val="571F6B78"/>
    <w:rsid w:val="57477BC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D261A6"/>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564CD"/>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30A1C"/>
    <w:rsid w:val="5DAB4981"/>
    <w:rsid w:val="5DAF2ED6"/>
    <w:rsid w:val="5DCD5EDE"/>
    <w:rsid w:val="5DDD01B0"/>
    <w:rsid w:val="5DE31BF8"/>
    <w:rsid w:val="5DEE4FE1"/>
    <w:rsid w:val="5DEE7E4B"/>
    <w:rsid w:val="5DF434DB"/>
    <w:rsid w:val="5E040F9B"/>
    <w:rsid w:val="5E163DAD"/>
    <w:rsid w:val="5E18199F"/>
    <w:rsid w:val="5E276BBA"/>
    <w:rsid w:val="5E4A3124"/>
    <w:rsid w:val="5E4A34BA"/>
    <w:rsid w:val="5E525F9E"/>
    <w:rsid w:val="5E555E36"/>
    <w:rsid w:val="5E572B7B"/>
    <w:rsid w:val="5E715DE0"/>
    <w:rsid w:val="5E817F26"/>
    <w:rsid w:val="5E993BCD"/>
    <w:rsid w:val="5EA248D0"/>
    <w:rsid w:val="5EC875D4"/>
    <w:rsid w:val="5ED929BD"/>
    <w:rsid w:val="5EDD61AF"/>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B4C28"/>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3FA6EBC"/>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CD22CB"/>
    <w:rsid w:val="64D17A33"/>
    <w:rsid w:val="64DB0DE6"/>
    <w:rsid w:val="65192F42"/>
    <w:rsid w:val="651C413F"/>
    <w:rsid w:val="651F176C"/>
    <w:rsid w:val="652354FE"/>
    <w:rsid w:val="65243799"/>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A57E71"/>
    <w:rsid w:val="66A76320"/>
    <w:rsid w:val="66BD4460"/>
    <w:rsid w:val="66BD4681"/>
    <w:rsid w:val="66D37DBF"/>
    <w:rsid w:val="66D47A94"/>
    <w:rsid w:val="66D82ABA"/>
    <w:rsid w:val="66E4759D"/>
    <w:rsid w:val="66E75B92"/>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A07B7"/>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017C6D"/>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95A80"/>
    <w:rsid w:val="6F7E2770"/>
    <w:rsid w:val="6F8776A7"/>
    <w:rsid w:val="6F957D21"/>
    <w:rsid w:val="6F9A1B5B"/>
    <w:rsid w:val="6FA57C2A"/>
    <w:rsid w:val="6FC22E70"/>
    <w:rsid w:val="6FD175F7"/>
    <w:rsid w:val="6FD95378"/>
    <w:rsid w:val="6FF47B92"/>
    <w:rsid w:val="6FFD1488"/>
    <w:rsid w:val="70027824"/>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56131D"/>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0E161B"/>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306EF8"/>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83576"/>
    <w:rsid w:val="7D9B3D45"/>
    <w:rsid w:val="7D9C553A"/>
    <w:rsid w:val="7DBB346B"/>
    <w:rsid w:val="7DD0508B"/>
    <w:rsid w:val="7DE4119D"/>
    <w:rsid w:val="7DEE5B58"/>
    <w:rsid w:val="7DEF4E30"/>
    <w:rsid w:val="7E0B1390"/>
    <w:rsid w:val="7E2B13AE"/>
    <w:rsid w:val="7E676A56"/>
    <w:rsid w:val="7E690FF4"/>
    <w:rsid w:val="7E947A7E"/>
    <w:rsid w:val="7EA36676"/>
    <w:rsid w:val="7ED03245"/>
    <w:rsid w:val="7ED25E9B"/>
    <w:rsid w:val="7ED37D6E"/>
    <w:rsid w:val="7F0A2251"/>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A01E05"/>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A01E05"/>
    <w:pPr>
      <w:ind w:left="-40"/>
      <w:outlineLvl w:val="0"/>
    </w:pPr>
    <w:rPr>
      <w:sz w:val="52"/>
      <w:szCs w:val="52"/>
    </w:rPr>
  </w:style>
  <w:style w:type="paragraph" w:styleId="2">
    <w:name w:val="heading 2"/>
    <w:basedOn w:val="a"/>
    <w:next w:val="a"/>
    <w:uiPriority w:val="1"/>
    <w:qFormat/>
    <w:rsid w:val="00A01E05"/>
    <w:pPr>
      <w:ind w:right="18"/>
      <w:jc w:val="center"/>
      <w:outlineLvl w:val="1"/>
    </w:pPr>
    <w:rPr>
      <w:sz w:val="44"/>
      <w:szCs w:val="44"/>
    </w:rPr>
  </w:style>
  <w:style w:type="paragraph" w:styleId="3">
    <w:name w:val="heading 3"/>
    <w:basedOn w:val="a"/>
    <w:next w:val="a"/>
    <w:uiPriority w:val="1"/>
    <w:qFormat/>
    <w:rsid w:val="00A01E05"/>
    <w:pPr>
      <w:ind w:left="1"/>
      <w:jc w:val="center"/>
      <w:outlineLvl w:val="2"/>
    </w:pPr>
    <w:rPr>
      <w:sz w:val="40"/>
      <w:szCs w:val="40"/>
    </w:rPr>
  </w:style>
  <w:style w:type="paragraph" w:styleId="4">
    <w:name w:val="heading 4"/>
    <w:basedOn w:val="a"/>
    <w:next w:val="a"/>
    <w:uiPriority w:val="1"/>
    <w:qFormat/>
    <w:rsid w:val="00A01E05"/>
    <w:pPr>
      <w:jc w:val="center"/>
      <w:outlineLvl w:val="3"/>
    </w:pPr>
    <w:rPr>
      <w:sz w:val="36"/>
      <w:szCs w:val="36"/>
    </w:rPr>
  </w:style>
  <w:style w:type="paragraph" w:styleId="5">
    <w:name w:val="heading 5"/>
    <w:basedOn w:val="a"/>
    <w:next w:val="a"/>
    <w:uiPriority w:val="1"/>
    <w:qFormat/>
    <w:rsid w:val="00A01E05"/>
    <w:pPr>
      <w:ind w:left="112"/>
      <w:outlineLvl w:val="4"/>
    </w:pPr>
    <w:rPr>
      <w:sz w:val="33"/>
      <w:szCs w:val="33"/>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A01E05"/>
    <w:pPr>
      <w:suppressLineNumbers/>
      <w:spacing w:before="120" w:after="120"/>
    </w:pPr>
    <w:rPr>
      <w:i/>
      <w:iCs/>
      <w:sz w:val="24"/>
      <w:szCs w:val="24"/>
    </w:rPr>
  </w:style>
  <w:style w:type="paragraph" w:styleId="a4">
    <w:name w:val="Body Text"/>
    <w:basedOn w:val="a"/>
    <w:uiPriority w:val="1"/>
    <w:qFormat/>
    <w:rsid w:val="00A01E05"/>
    <w:rPr>
      <w:sz w:val="32"/>
      <w:szCs w:val="32"/>
    </w:rPr>
  </w:style>
  <w:style w:type="paragraph" w:styleId="a5">
    <w:name w:val="footer"/>
    <w:basedOn w:val="a"/>
    <w:qFormat/>
    <w:rsid w:val="00A01E05"/>
    <w:pPr>
      <w:tabs>
        <w:tab w:val="center" w:pos="4153"/>
        <w:tab w:val="right" w:pos="8306"/>
      </w:tabs>
      <w:snapToGrid w:val="0"/>
    </w:pPr>
    <w:rPr>
      <w:sz w:val="18"/>
      <w:szCs w:val="18"/>
    </w:rPr>
  </w:style>
  <w:style w:type="paragraph" w:styleId="a6">
    <w:name w:val="header"/>
    <w:basedOn w:val="a"/>
    <w:qFormat/>
    <w:rsid w:val="00A01E05"/>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A01E05"/>
  </w:style>
  <w:style w:type="table" w:styleId="a8">
    <w:name w:val="Table Grid"/>
    <w:basedOn w:val="a1"/>
    <w:qFormat/>
    <w:rsid w:val="00A01E0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A01E05"/>
  </w:style>
  <w:style w:type="character" w:customStyle="1" w:styleId="aa">
    <w:name w:val="页眉 字符"/>
    <w:basedOn w:val="a0"/>
    <w:qFormat/>
    <w:rsid w:val="00A01E05"/>
    <w:rPr>
      <w:rFonts w:ascii="Arial Unicode MS" w:eastAsia="Arial Unicode MS" w:hAnsi="Arial Unicode MS" w:cs="Arial Unicode MS"/>
      <w:sz w:val="18"/>
      <w:szCs w:val="18"/>
      <w:lang w:val="zh-CN" w:bidi="zh-CN"/>
    </w:rPr>
  </w:style>
  <w:style w:type="character" w:customStyle="1" w:styleId="ab">
    <w:name w:val="页脚 字符"/>
    <w:basedOn w:val="a0"/>
    <w:qFormat/>
    <w:rsid w:val="00A01E05"/>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A01E05"/>
    <w:pPr>
      <w:keepNext/>
      <w:spacing w:before="240" w:after="120"/>
    </w:pPr>
    <w:rPr>
      <w:rFonts w:ascii="Liberation Sans" w:hAnsi="Liberation Sans"/>
      <w:sz w:val="28"/>
      <w:szCs w:val="28"/>
    </w:rPr>
  </w:style>
  <w:style w:type="paragraph" w:customStyle="1" w:styleId="ad">
    <w:name w:val="索引"/>
    <w:basedOn w:val="a"/>
    <w:qFormat/>
    <w:rsid w:val="00A01E05"/>
    <w:pPr>
      <w:suppressLineNumbers/>
    </w:pPr>
  </w:style>
  <w:style w:type="paragraph" w:customStyle="1" w:styleId="ae">
    <w:name w:val="页眉与页脚"/>
    <w:basedOn w:val="a"/>
    <w:qFormat/>
    <w:rsid w:val="00A01E05"/>
  </w:style>
  <w:style w:type="paragraph" w:customStyle="1" w:styleId="10">
    <w:name w:val="列出段落1"/>
    <w:basedOn w:val="a"/>
    <w:uiPriority w:val="1"/>
    <w:qFormat/>
    <w:rsid w:val="00A01E05"/>
    <w:pPr>
      <w:ind w:left="2039" w:hanging="782"/>
    </w:pPr>
  </w:style>
  <w:style w:type="paragraph" w:customStyle="1" w:styleId="TableParagraph">
    <w:name w:val="Table Paragraph"/>
    <w:basedOn w:val="a"/>
    <w:uiPriority w:val="1"/>
    <w:qFormat/>
    <w:rsid w:val="00A01E05"/>
    <w:rPr>
      <w:rFonts w:ascii="宋体" w:eastAsia="宋体" w:hAnsi="宋体" w:cs="宋体"/>
    </w:rPr>
  </w:style>
  <w:style w:type="paragraph" w:customStyle="1" w:styleId="af">
    <w:name w:val="表格内容"/>
    <w:basedOn w:val="a"/>
    <w:qFormat/>
    <w:rsid w:val="00A01E05"/>
    <w:pPr>
      <w:suppressLineNumbers/>
    </w:pPr>
  </w:style>
  <w:style w:type="paragraph" w:customStyle="1" w:styleId="af0">
    <w:name w:val="表格标题"/>
    <w:basedOn w:val="af"/>
    <w:qFormat/>
    <w:rsid w:val="00A01E05"/>
    <w:pPr>
      <w:jc w:val="center"/>
    </w:pPr>
    <w:rPr>
      <w:b/>
      <w:bCs/>
    </w:rPr>
  </w:style>
  <w:style w:type="paragraph" w:customStyle="1" w:styleId="af1">
    <w:name w:val="预格式化的文本"/>
    <w:basedOn w:val="a"/>
    <w:qFormat/>
    <w:rsid w:val="00A01E05"/>
    <w:rPr>
      <w:rFonts w:ascii="Liberation Mono" w:eastAsia="新宋体" w:hAnsi="Liberation Mono" w:cs="Liberation Mono"/>
      <w:sz w:val="20"/>
      <w:szCs w:val="20"/>
    </w:rPr>
  </w:style>
  <w:style w:type="table" w:customStyle="1" w:styleId="TableNormal">
    <w:name w:val="Table Normal"/>
    <w:uiPriority w:val="2"/>
    <w:unhideWhenUsed/>
    <w:qFormat/>
    <w:rsid w:val="00A01E05"/>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1.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45</Pages>
  <Words>3185</Words>
  <Characters>18158</Characters>
  <Application>Microsoft Office Word</Application>
  <DocSecurity>0</DocSecurity>
  <Lines>151</Lines>
  <Paragraphs>42</Paragraphs>
  <ScaleCrop>false</ScaleCrop>
  <Company/>
  <LinksUpToDate>false</LinksUpToDate>
  <CharactersWithSpaces>21301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a</cp:lastModifiedBy>
  <cp:revision>177</cp:revision>
  <dcterms:created xsi:type="dcterms:W3CDTF">2021-04-16T03:22:00Z</dcterms:created>
  <dcterms:modified xsi:type="dcterms:W3CDTF">2023-07-27T08:34:00Z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7D96D9D309134A9FAC1BBD96A4A699BA_13</vt:lpwstr>
  </property>
  <property fmtid="{D5CDD505-2E9C-101B-9397-08002B2CF9AE}" pid="5" name="KSOProductBuildVer">
    <vt:lpwstr>2052-11.1.0.14309</vt:lpwstr>
  </property>
  <property fmtid="{D5CDD505-2E9C-101B-9397-08002B2CF9AE}" pid="6" name="LastSaved">
    <vt:filetime>2021-04-15T00:00:00Z</vt:filetime>
  </property>
</Properties>
</file>