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AF0ECA">
        <w:trPr>
          <w:trHeight w:val="3592"/>
        </w:trPr>
        <w:tc>
          <w:tcPr>
            <w:tcW w:w="10402" w:type="dxa"/>
            <w:tcBorders>
              <w:top w:val="nil"/>
              <w:left w:val="nil"/>
              <w:bottom w:val="nil"/>
              <w:right w:val="nil"/>
            </w:tcBorders>
          </w:tcPr>
          <w:p w:rsidR="00AF0ECA" w:rsidRDefault="00AF0ECA">
            <w:pPr>
              <w:pStyle w:val="a4"/>
              <w:spacing w:line="360" w:lineRule="auto"/>
              <w:rPr>
                <w:rFonts w:ascii="仿宋" w:eastAsia="仿宋" w:hAnsi="仿宋" w:cs="仿宋"/>
                <w:b/>
                <w:bCs/>
                <w:color w:val="FF0000"/>
                <w:sz w:val="22"/>
                <w:szCs w:val="22"/>
              </w:rPr>
            </w:pPr>
            <w:bookmarkStart w:id="0" w:name="_GoBack"/>
            <w:bookmarkEnd w:id="0"/>
          </w:p>
        </w:tc>
      </w:tr>
      <w:tr w:rsidR="00AF0ECA">
        <w:trPr>
          <w:trHeight w:val="4945"/>
        </w:trPr>
        <w:tc>
          <w:tcPr>
            <w:tcW w:w="10402" w:type="dxa"/>
            <w:tcBorders>
              <w:top w:val="nil"/>
              <w:left w:val="nil"/>
              <w:bottom w:val="nil"/>
              <w:right w:val="nil"/>
            </w:tcBorders>
          </w:tcPr>
          <w:p w:rsidR="00AF0ECA" w:rsidRDefault="00996CBB">
            <w:pPr>
              <w:ind w:rightChars="129" w:right="284"/>
              <w:jc w:val="center"/>
              <w:rPr>
                <w:rFonts w:ascii="宋体" w:eastAsia="宋体" w:hAnsi="宋体" w:cs="宋体"/>
                <w:b/>
                <w:bCs/>
                <w:sz w:val="52"/>
                <w:szCs w:val="52"/>
                <w:lang w:val="en-US"/>
              </w:rPr>
            </w:pPr>
            <w:r>
              <w:rPr>
                <w:rFonts w:ascii="宋体" w:eastAsia="宋体" w:hAnsi="宋体" w:cs="宋体"/>
                <w:b/>
                <w:sz w:val="52"/>
              </w:rPr>
              <w:t>2022</w:t>
            </w:r>
            <w:r>
              <w:rPr>
                <w:rFonts w:ascii="宋体" w:eastAsia="宋体" w:hAnsi="宋体" w:cs="宋体"/>
                <w:b/>
                <w:sz w:val="52"/>
              </w:rPr>
              <w:t>年度</w:t>
            </w:r>
            <w:r>
              <w:rPr>
                <w:rFonts w:ascii="宋体" w:eastAsia="宋体" w:hAnsi="宋体" w:cs="宋体"/>
                <w:b/>
                <w:sz w:val="52"/>
              </w:rPr>
              <w:cr/>
            </w:r>
            <w:r>
              <w:rPr>
                <w:rFonts w:ascii="宋体" w:eastAsia="宋体" w:hAnsi="宋体" w:cs="宋体"/>
                <w:b/>
                <w:sz w:val="52"/>
              </w:rPr>
              <w:br/>
            </w:r>
            <w:r>
              <w:rPr>
                <w:rFonts w:ascii="宋体" w:eastAsia="宋体" w:hAnsi="宋体" w:cs="宋体"/>
                <w:b/>
                <w:sz w:val="52"/>
              </w:rPr>
              <w:t>常州市工业和信息化局</w:t>
            </w:r>
            <w:r>
              <w:rPr>
                <w:rFonts w:ascii="宋体" w:eastAsia="宋体" w:hAnsi="宋体" w:cs="宋体"/>
                <w:b/>
                <w:sz w:val="52"/>
              </w:rPr>
              <w:cr/>
            </w:r>
            <w:r>
              <w:rPr>
                <w:rFonts w:ascii="宋体" w:eastAsia="宋体" w:hAnsi="宋体" w:cs="宋体"/>
                <w:b/>
                <w:sz w:val="52"/>
              </w:rPr>
              <w:br/>
            </w:r>
            <w:r>
              <w:rPr>
                <w:rFonts w:ascii="宋体" w:eastAsia="宋体" w:hAnsi="宋体" w:cs="宋体"/>
                <w:b/>
                <w:sz w:val="52"/>
              </w:rPr>
              <w:t>部门决算公开</w:t>
            </w:r>
          </w:p>
        </w:tc>
      </w:tr>
    </w:tbl>
    <w:p w:rsidR="00AF0ECA" w:rsidRDefault="00AF0ECA">
      <w:pPr>
        <w:ind w:rightChars="129" w:right="284"/>
        <w:jc w:val="both"/>
        <w:rPr>
          <w:rFonts w:ascii="宋体" w:eastAsia="宋体" w:hAnsi="宋体" w:cs="宋体"/>
          <w:b/>
          <w:bCs/>
          <w:sz w:val="52"/>
          <w:szCs w:val="52"/>
        </w:rPr>
        <w:sectPr w:rsidR="00AF0ECA">
          <w:headerReference w:type="even" r:id="rId7"/>
          <w:headerReference w:type="default" r:id="rId8"/>
          <w:footerReference w:type="even" r:id="rId9"/>
          <w:footerReference w:type="default" r:id="rId10"/>
          <w:headerReference w:type="first" r:id="rId11"/>
          <w:footerReference w:type="first" r:id="rId12"/>
          <w:pgSz w:w="11906" w:h="16838"/>
          <w:pgMar w:top="1580" w:right="700" w:bottom="770" w:left="1020" w:header="170" w:footer="280" w:gutter="0"/>
          <w:cols w:space="720"/>
          <w:formProt w:val="0"/>
          <w:titlePg/>
          <w:docGrid w:linePitch="100"/>
        </w:sectPr>
      </w:pPr>
    </w:p>
    <w:p w:rsidR="00AF0ECA" w:rsidRDefault="00AF0ECA">
      <w:pPr>
        <w:pStyle w:val="a4"/>
        <w:spacing w:before="4"/>
        <w:rPr>
          <w:rFonts w:ascii="华文仿宋" w:eastAsia="华文仿宋" w:hAnsi="华文仿宋" w:cs="仿宋"/>
          <w:sz w:val="10"/>
        </w:rPr>
      </w:pPr>
    </w:p>
    <w:p w:rsidR="00AF0ECA" w:rsidRDefault="00996CBB">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AF0ECA" w:rsidRDefault="00AF0ECA">
      <w:pPr>
        <w:pStyle w:val="a4"/>
        <w:spacing w:before="7"/>
        <w:rPr>
          <w:rFonts w:ascii="仿宋" w:eastAsia="仿宋" w:hAnsi="仿宋" w:cs="仿宋"/>
          <w:sz w:val="27"/>
        </w:rPr>
      </w:pPr>
    </w:p>
    <w:p w:rsidR="00AF0ECA" w:rsidRDefault="00996CBB">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第一部分</w:t>
      </w:r>
      <w:r>
        <w:rPr>
          <w:rFonts w:ascii="黑体" w:eastAsia="黑体" w:hAnsi="黑体" w:cs="黑体" w:hint="eastAsia"/>
        </w:rPr>
        <w:t xml:space="preserve"> </w:t>
      </w:r>
      <w:r>
        <w:rPr>
          <w:rFonts w:ascii="黑体" w:eastAsia="黑体" w:hAnsi="黑体" w:cs="黑体" w:hint="eastAsia"/>
          <w:lang w:val="en-US"/>
        </w:rPr>
        <w:t>部门</w:t>
      </w:r>
      <w:r>
        <w:rPr>
          <w:rFonts w:ascii="黑体" w:eastAsia="黑体" w:hAnsi="黑体" w:cs="黑体" w:hint="eastAsia"/>
        </w:rPr>
        <w:t>概况</w:t>
      </w:r>
    </w:p>
    <w:p w:rsidR="00AF0ECA" w:rsidRDefault="00996CBB">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AF0ECA" w:rsidRDefault="00996CBB">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机构设置及决算单位构成情况</w:t>
      </w:r>
    </w:p>
    <w:p w:rsidR="00AF0ECA" w:rsidRDefault="00996CBB">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w:t>
      </w:r>
      <w:r>
        <w:rPr>
          <w:rFonts w:ascii="仿宋" w:eastAsia="仿宋" w:hAnsi="仿宋" w:cs="仿宋" w:hint="eastAsia"/>
          <w:lang w:val="en-US"/>
        </w:rPr>
        <w:t>2</w:t>
      </w:r>
      <w:r>
        <w:rPr>
          <w:rFonts w:ascii="仿宋" w:eastAsia="仿宋" w:hAnsi="仿宋" w:cs="仿宋" w:hint="eastAsia"/>
        </w:rPr>
        <w:t>年度主要工作完成情况</w:t>
      </w:r>
    </w:p>
    <w:p w:rsidR="00AF0ECA" w:rsidRDefault="00996CBB">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w:t>
      </w:r>
      <w:r>
        <w:rPr>
          <w:rFonts w:ascii="黑体" w:eastAsia="黑体" w:hAnsi="黑体" w:cs="黑体" w:hint="eastAsia"/>
          <w:lang w:val="en-US"/>
        </w:rPr>
        <w:t xml:space="preserve"> 2022</w:t>
      </w:r>
      <w:r>
        <w:rPr>
          <w:rFonts w:ascii="黑体" w:eastAsia="黑体" w:hAnsi="黑体" w:cs="黑体" w:hint="eastAsia"/>
          <w:lang w:val="en-US"/>
        </w:rPr>
        <w:t>年度</w:t>
      </w:r>
      <w:r>
        <w:rPr>
          <w:rFonts w:ascii="黑体" w:eastAsia="黑体" w:hAnsi="黑体" w:cs="黑体"/>
        </w:rPr>
        <w:t>部门决算表</w:t>
      </w:r>
    </w:p>
    <w:p w:rsidR="00AF0ECA" w:rsidRDefault="00996CBB">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AF0ECA" w:rsidRDefault="00996CBB">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AF0ECA" w:rsidRDefault="00996CBB">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AF0ECA" w:rsidRDefault="00996CBB">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AF0ECA" w:rsidRDefault="00996CBB">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AF0ECA" w:rsidRDefault="00996CBB">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p>
    <w:p w:rsidR="00AF0ECA" w:rsidRDefault="00996CBB">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七、一般公共预算支出决算表（功能科目）</w:t>
      </w:r>
    </w:p>
    <w:p w:rsidR="00AF0ECA" w:rsidRDefault="00996CBB">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AF0ECA" w:rsidRDefault="00996CBB">
      <w:pPr>
        <w:pStyle w:val="a4"/>
        <w:spacing w:line="360" w:lineRule="auto"/>
        <w:ind w:leftChars="300" w:left="671" w:hanging="11"/>
        <w:jc w:val="both"/>
        <w:rPr>
          <w:rFonts w:ascii="仿宋" w:eastAsia="仿宋" w:hAnsi="仿宋" w:cs="仿宋"/>
        </w:rPr>
      </w:pPr>
      <w:r>
        <w:rPr>
          <w:rFonts w:ascii="仿宋" w:eastAsia="仿宋" w:hAnsi="仿宋" w:cs="仿宋" w:hint="eastAsia"/>
        </w:rPr>
        <w:t>九、</w:t>
      </w:r>
      <w:r>
        <w:rPr>
          <w:rFonts w:ascii="仿宋" w:eastAsia="仿宋" w:hAnsi="仿宋" w:cs="仿宋" w:hint="eastAsia"/>
          <w:lang w:val="en-US"/>
        </w:rPr>
        <w:t>财政拨款“三公”经费、会议费和培训费支出决算表</w:t>
      </w:r>
    </w:p>
    <w:p w:rsidR="00AF0ECA" w:rsidRDefault="00996CBB">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AF0ECA" w:rsidRDefault="00996CBB">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AF0ECA" w:rsidRDefault="00996CBB">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w:t>
      </w:r>
      <w:r>
        <w:rPr>
          <w:rFonts w:ascii="仿宋" w:eastAsia="仿宋" w:hAnsi="仿宋" w:cs="仿宋" w:hint="eastAsia"/>
          <w:lang w:val="en-US"/>
        </w:rPr>
        <w:t>财政拨款</w:t>
      </w:r>
      <w:r>
        <w:rPr>
          <w:rFonts w:ascii="仿宋" w:eastAsia="仿宋" w:hAnsi="仿宋" w:cs="仿宋" w:hint="eastAsia"/>
        </w:rPr>
        <w:t>机关运行经费支出决算表</w:t>
      </w:r>
    </w:p>
    <w:p w:rsidR="00AF0ECA" w:rsidRDefault="00996CBB">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AF0ECA" w:rsidRDefault="00996CBB">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w:t>
      </w:r>
      <w:r>
        <w:rPr>
          <w:rFonts w:ascii="黑体" w:eastAsia="黑体" w:hAnsi="黑体" w:cs="黑体" w:hint="eastAsia"/>
          <w:lang w:val="en-US"/>
        </w:rPr>
        <w:t xml:space="preserve"> 2022</w:t>
      </w:r>
      <w:r>
        <w:rPr>
          <w:rFonts w:ascii="黑体" w:eastAsia="黑体" w:hAnsi="黑体" w:cs="黑体" w:hint="eastAsia"/>
          <w:lang w:val="en-US"/>
        </w:rPr>
        <w:t>年度</w:t>
      </w:r>
      <w:r>
        <w:rPr>
          <w:rFonts w:ascii="黑体" w:eastAsia="黑体" w:hAnsi="黑体" w:cs="黑体"/>
        </w:rPr>
        <w:t>部门决算情况说明</w:t>
      </w:r>
    </w:p>
    <w:p w:rsidR="00AF0ECA" w:rsidRDefault="00996CBB">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w:t>
      </w:r>
      <w:r>
        <w:rPr>
          <w:rFonts w:ascii="黑体" w:eastAsia="黑体" w:hAnsi="黑体" w:cs="黑体" w:hint="eastAsia"/>
          <w:lang w:val="en-US"/>
        </w:rPr>
        <w:t xml:space="preserve"> </w:t>
      </w:r>
      <w:r>
        <w:rPr>
          <w:rFonts w:ascii="黑体" w:eastAsia="黑体" w:hAnsi="黑体" w:cs="黑体" w:hint="eastAsia"/>
          <w:lang w:val="en-US"/>
        </w:rPr>
        <w:t>名词解释</w:t>
      </w:r>
    </w:p>
    <w:p w:rsidR="00AF0ECA" w:rsidRDefault="00AF0ECA">
      <w:pPr>
        <w:pStyle w:val="a4"/>
        <w:spacing w:line="235" w:lineRule="auto"/>
        <w:ind w:leftChars="300" w:left="669" w:right="2414" w:hanging="9"/>
        <w:jc w:val="both"/>
        <w:rPr>
          <w:rFonts w:ascii="仿宋" w:eastAsia="仿宋" w:hAnsi="仿宋" w:cs="仿宋"/>
        </w:rPr>
        <w:sectPr w:rsidR="00AF0ECA">
          <w:footerReference w:type="default" r:id="rId13"/>
          <w:pgSz w:w="11906" w:h="16838"/>
          <w:pgMar w:top="1580" w:right="700" w:bottom="770" w:left="1020" w:header="283" w:footer="280" w:gutter="0"/>
          <w:pgNumType w:fmt="numberInDash" w:start="1"/>
          <w:cols w:space="720"/>
          <w:formProt w:val="0"/>
          <w:docGrid w:linePitch="100"/>
        </w:sectPr>
      </w:pPr>
    </w:p>
    <w:p w:rsidR="00AF0ECA" w:rsidRDefault="00AF0ECA">
      <w:pPr>
        <w:pStyle w:val="a4"/>
        <w:spacing w:before="1"/>
        <w:rPr>
          <w:rFonts w:ascii="华文仿宋" w:eastAsia="华文仿宋" w:hAnsi="华文仿宋" w:cs="仿宋"/>
          <w:sz w:val="14"/>
        </w:rPr>
      </w:pPr>
    </w:p>
    <w:p w:rsidR="00AF0ECA" w:rsidRDefault="00996CBB">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第一部分部门概况</w:t>
      </w:r>
    </w:p>
    <w:p w:rsidR="00AF0ECA" w:rsidRDefault="00AF0ECA">
      <w:pPr>
        <w:ind w:rightChars="229" w:right="504"/>
        <w:jc w:val="both"/>
      </w:pPr>
    </w:p>
    <w:p w:rsidR="00AF0ECA" w:rsidRDefault="00996CBB">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贯彻执行党和国家有关工业和信息化工作的方针政策、法律法规以及省、市决策部署，统筹协调全市工业和信息化工作，对工业和信息化发展的重大问题进行研究分析并提出意见和建议，依法组织起草有关地方性法规、规章草案和政策并督促实施。</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推进全市工业和信息化高质量发展。根据全市经济社会发展总体规划，制定实施工业和信息化高质量发展的产业政策、发展规划，提出优化产业布局、调整产业结构、推动产业转型升级的政策建议，推进信息化与工业化深度融合。按分工承担供给侧结构性改革任务。</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推进制造强市建设。贯彻实施新型工业化发展战略，统筹推进制造强市建设，培育先进制造业集群。推动全市工业和信息化领域的战略性新兴产业发展，牵头推进重大项目建设，培育新产业、新技术、新业态、新模式。</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（四）负责全市工业和信息化运行监测协调。制订并实施近期工业、信息化运行</w:t>
      </w:r>
      <w:r>
        <w:rPr>
          <w:rFonts w:ascii="仿宋" w:eastAsia="仿宋" w:hAnsi="仿宋" w:cs="仿宋"/>
        </w:rPr>
        <w:t>调控目标、政策措施，开展企业信息采集、行业统计分析和产业发展报告等工作，进行监测预警、预期引导，协调解决运行发展中的重大问题。</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（五）负责全市工业和信息化领域的投资和技术改造相关工作。提出全市工业和信息化领域固定资产投资方向和规模，按规定权限管理工业和信息化领域固定资产投资项目。制订并实施推</w:t>
      </w:r>
      <w:r>
        <w:rPr>
          <w:rFonts w:ascii="仿宋" w:eastAsia="仿宋" w:hAnsi="仿宋" w:cs="仿宋"/>
        </w:rPr>
        <w:lastRenderedPageBreak/>
        <w:t>进企业技术改造的有关政策，按规定负责企业技术改造项目的核准备案等工作。</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（六）负责全市自主可控的先进制造业体系建设。推动提升关键技术的控制力、产业集群的带动力、产业链条的整合力、信息化的引领力和标准的主导力。推动工业和信</w:t>
      </w:r>
      <w:r>
        <w:rPr>
          <w:rFonts w:ascii="仿宋" w:eastAsia="仿宋" w:hAnsi="仿宋" w:cs="仿宋"/>
        </w:rPr>
        <w:t>息化领域技术创新，推进产业创新体系和能力建设。组织实施重大技术装备攻关。推广应用新技术、新材料、新工艺，促进产学研用结合和技术成果转化。协同推进工业和信息化领域品牌、质量、标准、知识产权等工作。</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推进全市有关生产性服务业发展。制订并实施服务型制造、工业和信息化领域生产性服务业发展政策，推动先进制造业和现代服务业深度融合。推动工业设计、现代物流、会展业等发展，负责工业遗产保护、工业文化建设和工业、信息产品市场建设。</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（八）负责全市工业和信息化领域的行业管理。研究提出推动行业发展、加强行业管理的政策建议，</w:t>
      </w:r>
      <w:r>
        <w:rPr>
          <w:rFonts w:ascii="仿宋" w:eastAsia="仿宋" w:hAnsi="仿宋" w:cs="仿宋"/>
        </w:rPr>
        <w:t>制订并实施行业发展规划、准入标准，协调解决行业发展中重大问题。负责全市盐业专营工作和全市盐业行业管理。指导相关行业安全生产工作。负责工业和信息化应急管理、产业安全和国防动员有关工作。指导工业和信息化领域的对外交流与合作。做好央企对接服务工作。</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（九）统筹推进全市信息化发展。协调推进经济社会信息化发展，深化信息技术应用。协调重大信息基础设施建设，协调信息服务业领域涉及公共社会利益的重大事项，推动跨行业、跨部</w:t>
      </w:r>
      <w:r>
        <w:rPr>
          <w:rFonts w:ascii="仿宋" w:eastAsia="仿宋" w:hAnsi="仿宋" w:cs="仿宋"/>
        </w:rPr>
        <w:lastRenderedPageBreak/>
        <w:t>门的</w:t>
      </w:r>
      <w:r w:rsidR="002E7D27" w:rsidRPr="002E7D27">
        <w:rPr>
          <w:rFonts w:ascii="仿宋" w:eastAsia="仿宋" w:hAnsi="仿宋" w:cs="仿宋" w:hint="eastAsia"/>
        </w:rPr>
        <w:t>互联互通</w:t>
      </w:r>
      <w:r>
        <w:rPr>
          <w:rFonts w:ascii="仿宋" w:eastAsia="仿宋" w:hAnsi="仿宋" w:cs="仿宋"/>
        </w:rPr>
        <w:t>。负责全市无线电管理。</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（十）负责推进工业化和信息化融合发展。指导推进</w:t>
      </w:r>
      <w:r>
        <w:rPr>
          <w:rFonts w:ascii="仿宋" w:eastAsia="仿宋" w:hAnsi="仿宋" w:cs="仿宋"/>
        </w:rPr>
        <w:t>“</w:t>
      </w:r>
      <w:r>
        <w:rPr>
          <w:rFonts w:ascii="仿宋" w:eastAsia="仿宋" w:hAnsi="仿宋" w:cs="仿宋"/>
        </w:rPr>
        <w:t>互联网＋先进制造业</w:t>
      </w:r>
      <w:r>
        <w:rPr>
          <w:rFonts w:ascii="仿宋" w:eastAsia="仿宋" w:hAnsi="仿宋" w:cs="仿宋"/>
        </w:rPr>
        <w:t>”</w:t>
      </w:r>
      <w:r>
        <w:rPr>
          <w:rFonts w:ascii="仿宋" w:eastAsia="仿宋" w:hAnsi="仿宋" w:cs="仿宋"/>
        </w:rPr>
        <w:t>、人工智能与制造业融合创新应用、智能制造发展和产业数字化转型。指导推进工业信息安全保障工作。</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（十一）制订并实施促进工业和信息化领域数字经济和大数据产业发展的战略、规划和政策措施。推进信息产业发展和结构调整，培育推广云计算、物联网、人工智能等产业。</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二）综合协调全社会节能工作。制订并实施全社会工业节能规划和工业和信息化领域循环经济发展、清洁生产、资源综合利用规划及促进政策，实施能耗强度管理，承担节能监督管理、工业技改项目能评管理工作。组织协调节能改造和绿色制造示范工程，指导节能环保产业发展。指导全市墙体</w:t>
      </w:r>
      <w:r>
        <w:rPr>
          <w:rFonts w:ascii="仿宋" w:eastAsia="仿宋" w:hAnsi="仿宋" w:cs="仿宋"/>
        </w:rPr>
        <w:t>材料革新和发展散装水泥工作。</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三）培育发展全市大企业大集团和龙头骨干企业。制订并实施培育发展大企业大集团、龙头骨干企业的政策措施。推动企业管理创新和建立现代企业制度，推动企业家队伍建设和产业人才开发，组织指导企业经营管理人才教育培训。协调企业重大资产重组项目。牵头推进企业减负降本。</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四）负责全市中小企业和民营经济发展的宏观指导和服务。会同有关部门制订并组织实施促进中小企业和民营经济发展政策，协调解决发展中的有关重大问题。负责中小企业公共服务平台和社会化服务体系建设。开展中小企业梯次培育，推进中小企业</w:t>
      </w:r>
      <w:r>
        <w:rPr>
          <w:rFonts w:ascii="仿宋" w:eastAsia="仿宋" w:hAnsi="仿宋" w:cs="仿宋"/>
        </w:rPr>
        <w:t>专精特新发展，培育</w:t>
      </w:r>
      <w:r>
        <w:rPr>
          <w:rFonts w:ascii="仿宋" w:eastAsia="仿宋" w:hAnsi="仿宋" w:cs="仿宋"/>
        </w:rPr>
        <w:t>“</w:t>
      </w:r>
      <w:r>
        <w:rPr>
          <w:rFonts w:ascii="仿宋" w:eastAsia="仿宋" w:hAnsi="仿宋" w:cs="仿宋"/>
        </w:rPr>
        <w:t>隐形冠军</w:t>
      </w:r>
      <w:r>
        <w:rPr>
          <w:rFonts w:ascii="仿宋" w:eastAsia="仿宋" w:hAnsi="仿宋" w:cs="仿宋"/>
        </w:rPr>
        <w:t>”</w:t>
      </w:r>
      <w:r>
        <w:rPr>
          <w:rFonts w:ascii="仿宋" w:eastAsia="仿宋" w:hAnsi="仿宋" w:cs="仿宋"/>
        </w:rPr>
        <w:t>企业，促进中小企业与大</w:t>
      </w:r>
      <w:r>
        <w:rPr>
          <w:rFonts w:ascii="仿宋" w:eastAsia="仿宋" w:hAnsi="仿宋" w:cs="仿宋"/>
        </w:rPr>
        <w:lastRenderedPageBreak/>
        <w:t>企业融通发展。</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五）组织拟订全市国防科技工业规划。协助省国防科技工业办公室做好军工能力调整、资产重组、军品科研及生产、固定资产投资管理、武器装备科研生产许可、保密认证以及军工统计等工作。配合上级部门做好民用爆破器材生产和流通的行业管理。负责军工系统安全生产标准化达标建设推进工作和全市国防科技工业保密监督管理工作。负责军民两用技术双向转移等相关工作。配合上级部门做好全市船舶行业管理。</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（十六）完成市委、市政府交办的其他任务。</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（十七）职能转变。深化供给侧</w:t>
      </w:r>
      <w:r>
        <w:rPr>
          <w:rFonts w:ascii="仿宋" w:eastAsia="仿宋" w:hAnsi="仿宋" w:cs="仿宋"/>
        </w:rPr>
        <w:t>结构性改革，推动信息化和工业化、先进制造业和现代服务业深度融合发展，打造自主可控的先进制造业体系，建设制造强市、网络强市。强化战略规划、政策标准的引领和约束作用，提升工业和信息化运行监测、预测预警和预期引导能力，推动工业和信息化高质量发展。优化产行业管理，逐步减少微观管理事务，最大程度减少对工业和信息化领域市场资源的直接配置，进一步激发市场活力，创造良好营商环境。</w:t>
      </w:r>
    </w:p>
    <w:p w:rsidR="00AF0ECA" w:rsidRDefault="00996CBB">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二、</w:t>
      </w:r>
      <w:r>
        <w:rPr>
          <w:rFonts w:ascii="黑体" w:eastAsia="黑体" w:hAnsi="黑体" w:cs="黑体"/>
        </w:rPr>
        <w:t>部门</w:t>
      </w:r>
      <w:r>
        <w:rPr>
          <w:rFonts w:ascii="黑体" w:eastAsia="黑体" w:hAnsi="黑体" w:cs="黑体" w:hint="eastAsia"/>
        </w:rPr>
        <w:t>机构设置及决算单位构成情况</w:t>
      </w:r>
    </w:p>
    <w:p w:rsidR="00AF0ECA" w:rsidRDefault="00996CBB">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本部门内设机构包括（一）办公室（财务处）。（二）组织人事处。</w:t>
      </w:r>
      <w:r>
        <w:rPr>
          <w:rFonts w:ascii="仿宋" w:eastAsia="仿宋" w:hAnsi="仿宋" w:cs="仿宋"/>
        </w:rPr>
        <w:t>(</w:t>
      </w:r>
      <w:r>
        <w:rPr>
          <w:rFonts w:ascii="仿宋" w:eastAsia="仿宋" w:hAnsi="仿宋" w:cs="仿宋"/>
        </w:rPr>
        <w:t>三）综合规划处。（四）法规处（行政服务处）。（五）先进制造业推进处（新兴产业处）。（六）产业政策处（市汽车工业办公室）。（七）运行监测协调处（市减轻企业负担工作办公室）。（八）投资与技术改造处。</w:t>
      </w:r>
      <w:r>
        <w:rPr>
          <w:rFonts w:ascii="仿宋" w:eastAsia="仿宋" w:hAnsi="仿宋" w:cs="仿宋"/>
        </w:rPr>
        <w:lastRenderedPageBreak/>
        <w:t>（九）技术创新处。（十）节能与综合利用处。（十一）产业人才与合作处。（十二）生产服务业处。（十三）装备工业处。</w:t>
      </w:r>
      <w:r>
        <w:rPr>
          <w:rFonts w:ascii="仿宋" w:eastAsia="仿宋" w:hAnsi="仿宋" w:cs="仿宋"/>
        </w:rPr>
        <w:t>(</w:t>
      </w:r>
      <w:r>
        <w:rPr>
          <w:rFonts w:ascii="仿宋" w:eastAsia="仿宋" w:hAnsi="仿宋" w:cs="仿宋"/>
        </w:rPr>
        <w:t>十四）材料工业处（市履行《禁止化学武器公约》工作办公室）。（十五）墙体材料和散装水泥管理处。（十六）消费品工业处。（十七）信息化发展处（工业信息</w:t>
      </w:r>
      <w:r>
        <w:rPr>
          <w:rFonts w:ascii="仿宋" w:eastAsia="仿宋" w:hAnsi="仿宋" w:cs="仿宋"/>
        </w:rPr>
        <w:t>安全处）。（十八）电子软件与信息服务业处（互联网产业管理处）。（十九）两化融合推进处（工业互联网办公室）。（二十）无线电管理监督处（江苏省工业和信息化厅常州市无线电管理处）。（二十一）中小企业促进处。（二十二）服务体系建设处。（二十三）国防科技工业办公室。</w:t>
      </w:r>
      <w:r>
        <w:rPr>
          <w:rFonts w:ascii="仿宋" w:eastAsia="仿宋" w:hAnsi="仿宋" w:cs="仿宋"/>
        </w:rPr>
        <w:t>(</w:t>
      </w:r>
      <w:r>
        <w:rPr>
          <w:rFonts w:ascii="仿宋" w:eastAsia="仿宋" w:hAnsi="仿宋" w:cs="仿宋"/>
        </w:rPr>
        <w:t>二十四）机关党委。本部门下属单位包括：常州市工业和信息化局，常州市无线电管理监测站，常州市工信综合行政执法支队。</w:t>
      </w:r>
    </w:p>
    <w:p w:rsidR="00AF0ECA" w:rsidRDefault="00996CBB">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2.</w:t>
      </w:r>
      <w:r>
        <w:rPr>
          <w:rFonts w:ascii="仿宋" w:eastAsia="仿宋" w:hAnsi="仿宋" w:cs="仿宋" w:hint="eastAsia"/>
        </w:rPr>
        <w:t>从决算单位构成看，纳入本</w:t>
      </w:r>
      <w:r>
        <w:rPr>
          <w:rFonts w:ascii="仿宋" w:eastAsia="仿宋" w:hAnsi="仿宋" w:cs="仿宋" w:hint="eastAsia"/>
          <w:lang w:val="en-US"/>
        </w:rPr>
        <w:t>部门</w:t>
      </w:r>
      <w:r>
        <w:rPr>
          <w:rFonts w:ascii="仿宋" w:eastAsia="仿宋" w:hAnsi="仿宋" w:cs="仿宋" w:hint="eastAsia"/>
        </w:rPr>
        <w:t>2022</w:t>
      </w:r>
      <w:r>
        <w:rPr>
          <w:rFonts w:ascii="仿宋" w:eastAsia="仿宋" w:hAnsi="仿宋" w:cs="仿宋" w:hint="eastAsia"/>
        </w:rPr>
        <w:t>年</w:t>
      </w:r>
      <w:r>
        <w:rPr>
          <w:rFonts w:ascii="仿宋" w:eastAsia="仿宋" w:hAnsi="仿宋" w:cs="仿宋" w:hint="eastAsia"/>
          <w:lang w:val="en-US"/>
        </w:rPr>
        <w:t>部门</w:t>
      </w:r>
      <w:r>
        <w:rPr>
          <w:rFonts w:ascii="仿宋" w:eastAsia="仿宋" w:hAnsi="仿宋" w:cs="仿宋" w:hint="eastAsia"/>
        </w:rPr>
        <w:t>汇总决算编制范围的预算单位共计</w:t>
      </w:r>
      <w:r>
        <w:rPr>
          <w:rFonts w:ascii="仿宋" w:eastAsia="仿宋" w:hAnsi="仿宋" w:cs="仿宋"/>
        </w:rPr>
        <w:t>3</w:t>
      </w:r>
      <w:r>
        <w:rPr>
          <w:rFonts w:ascii="仿宋" w:eastAsia="仿宋" w:hAnsi="仿宋" w:cs="仿宋" w:hint="eastAsia"/>
        </w:rPr>
        <w:t>家，具体包括：</w:t>
      </w:r>
      <w:r>
        <w:rPr>
          <w:rFonts w:ascii="仿宋" w:eastAsia="仿宋" w:hAnsi="仿宋" w:cs="仿宋"/>
        </w:rPr>
        <w:t>常州市工业和信息化局，常州市无线电管理监测站，常州市工信综合行政执法支队。</w:t>
      </w:r>
    </w:p>
    <w:p w:rsidR="00AF0ECA" w:rsidRDefault="00996CBB">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w:t>
      </w:r>
      <w:r>
        <w:rPr>
          <w:rFonts w:ascii="黑体" w:eastAsia="黑体" w:hAnsi="黑体" w:cs="黑体" w:hint="eastAsia"/>
        </w:rPr>
        <w:t>2022</w:t>
      </w:r>
      <w:r>
        <w:rPr>
          <w:rFonts w:ascii="黑体" w:eastAsia="黑体" w:hAnsi="黑体" w:cs="黑体" w:hint="eastAsia"/>
        </w:rPr>
        <w:t>年度主要工作完成情况</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（一）坚持把握</w:t>
      </w:r>
      <w:r>
        <w:rPr>
          <w:rFonts w:ascii="仿宋" w:eastAsia="仿宋" w:hAnsi="仿宋" w:cs="仿宋"/>
        </w:rPr>
        <w:t>“</w:t>
      </w:r>
      <w:r>
        <w:rPr>
          <w:rFonts w:ascii="仿宋" w:eastAsia="仿宋" w:hAnsi="仿宋" w:cs="仿宋"/>
        </w:rPr>
        <w:t>时度效</w:t>
      </w:r>
      <w:r>
        <w:rPr>
          <w:rFonts w:ascii="仿宋" w:eastAsia="仿宋" w:hAnsi="仿宋" w:cs="仿宋"/>
        </w:rPr>
        <w:t>”</w:t>
      </w:r>
      <w:r>
        <w:rPr>
          <w:rFonts w:ascii="仿宋" w:eastAsia="仿宋" w:hAnsi="仿宋" w:cs="仿宋"/>
        </w:rPr>
        <w:t>，工业经济实现稳定增长。一是科学开展疫情防控。切实履行企业防控专班牵头职责，落实</w:t>
      </w:r>
      <w:r>
        <w:rPr>
          <w:rFonts w:ascii="仿宋" w:eastAsia="仿宋" w:hAnsi="仿宋" w:cs="仿宋"/>
        </w:rPr>
        <w:t>“</w:t>
      </w:r>
      <w:r>
        <w:rPr>
          <w:rFonts w:ascii="仿宋" w:eastAsia="仿宋" w:hAnsi="仿宋" w:cs="仿宋"/>
        </w:rPr>
        <w:t>人物环境</w:t>
      </w:r>
      <w:r>
        <w:rPr>
          <w:rFonts w:ascii="仿宋" w:eastAsia="仿宋" w:hAnsi="仿宋" w:cs="仿宋"/>
        </w:rPr>
        <w:t>”</w:t>
      </w:r>
      <w:r>
        <w:rPr>
          <w:rFonts w:ascii="仿宋" w:eastAsia="仿宋" w:hAnsi="仿宋" w:cs="仿宋"/>
        </w:rPr>
        <w:t>同防，严守企业防线。及时转换应急响应和常态防控模式，有效应对</w:t>
      </w:r>
      <w:r>
        <w:rPr>
          <w:rFonts w:ascii="仿宋" w:eastAsia="仿宋" w:hAnsi="仿宋" w:cs="仿宋"/>
        </w:rPr>
        <w:t>“3.13”</w:t>
      </w:r>
      <w:r>
        <w:rPr>
          <w:rFonts w:ascii="仿宋" w:eastAsia="仿宋" w:hAnsi="仿宋" w:cs="仿宋"/>
        </w:rPr>
        <w:t>疫情；根据形势变化，不断优化调整策略，督促指导企业做好常态化疫情防控。二是全力保障双链畅通。创新设立货运车辆快速入常通道，上线</w:t>
      </w:r>
      <w:r>
        <w:rPr>
          <w:rFonts w:ascii="仿宋" w:eastAsia="仿宋" w:hAnsi="仿宋" w:cs="仿宋"/>
        </w:rPr>
        <w:t>“</w:t>
      </w:r>
      <w:r>
        <w:rPr>
          <w:rFonts w:ascii="仿宋" w:eastAsia="仿宋" w:hAnsi="仿宋" w:cs="仿宋"/>
        </w:rPr>
        <w:t>龙城畅运</w:t>
      </w:r>
      <w:r>
        <w:rPr>
          <w:rFonts w:ascii="仿宋" w:eastAsia="仿宋" w:hAnsi="仿宋" w:cs="仿宋"/>
        </w:rPr>
        <w:t>”</w:t>
      </w:r>
      <w:r>
        <w:rPr>
          <w:rFonts w:ascii="仿宋" w:eastAsia="仿宋" w:hAnsi="仿宋" w:cs="仿宋"/>
        </w:rPr>
        <w:t>电子行程单登记系统，设置货运缓冲服务站、健康驿站及货车营地，确保货运</w:t>
      </w:r>
      <w:r>
        <w:rPr>
          <w:rFonts w:ascii="仿宋" w:eastAsia="仿宋" w:hAnsi="仿宋" w:cs="仿宋"/>
        </w:rPr>
        <w:lastRenderedPageBreak/>
        <w:t>物流顺畅</w:t>
      </w:r>
      <w:r>
        <w:rPr>
          <w:rFonts w:ascii="仿宋" w:eastAsia="仿宋" w:hAnsi="仿宋" w:cs="仿宋"/>
        </w:rPr>
        <w:t>。建立产业链供应链应急响应机制，构建省、市两级</w:t>
      </w:r>
      <w:r>
        <w:rPr>
          <w:rFonts w:ascii="仿宋" w:eastAsia="仿宋" w:hAnsi="仿宋" w:cs="仿宋"/>
        </w:rPr>
        <w:t>“</w:t>
      </w:r>
      <w:r>
        <w:rPr>
          <w:rFonts w:ascii="仿宋" w:eastAsia="仿宋" w:hAnsi="仿宋" w:cs="仿宋"/>
        </w:rPr>
        <w:t>白名单</w:t>
      </w:r>
      <w:r>
        <w:rPr>
          <w:rFonts w:ascii="仿宋" w:eastAsia="仿宋" w:hAnsi="仿宋" w:cs="仿宋"/>
        </w:rPr>
        <w:t>”</w:t>
      </w:r>
      <w:r>
        <w:rPr>
          <w:rFonts w:ascii="仿宋" w:eastAsia="仿宋" w:hAnsi="仿宋" w:cs="仿宋"/>
        </w:rPr>
        <w:t>，实现项目快速推进，复产难题迅速协调解决，切实保障重点企业稳岗保链促生产。加强跨区域物流合作和上下游产销对接，确保重要原材料供得上、关键产品出得去，向外省市推送协调事项</w:t>
      </w:r>
      <w:r>
        <w:rPr>
          <w:rFonts w:ascii="仿宋" w:eastAsia="仿宋" w:hAnsi="仿宋" w:cs="仿宋"/>
        </w:rPr>
        <w:t>558</w:t>
      </w:r>
      <w:r>
        <w:rPr>
          <w:rFonts w:ascii="仿宋" w:eastAsia="仿宋" w:hAnsi="仿宋" w:cs="仿宋"/>
        </w:rPr>
        <w:t>条，建立太仓常州物流畅通联动机制，全方位协调解决保供事宜。三是不断优化政策扶持。制定出台</w:t>
      </w:r>
      <w:r>
        <w:rPr>
          <w:rFonts w:ascii="仿宋" w:eastAsia="仿宋" w:hAnsi="仿宋" w:cs="仿宋"/>
        </w:rPr>
        <w:t>“</w:t>
      </w:r>
      <w:r>
        <w:rPr>
          <w:rFonts w:ascii="仿宋" w:eastAsia="仿宋" w:hAnsi="仿宋" w:cs="仿宋"/>
        </w:rPr>
        <w:t>关于扶持帮助制造业中小微企业纾困的十条政策</w:t>
      </w:r>
      <w:r>
        <w:rPr>
          <w:rFonts w:ascii="仿宋" w:eastAsia="仿宋" w:hAnsi="仿宋" w:cs="仿宋"/>
        </w:rPr>
        <w:t>”</w:t>
      </w:r>
      <w:r>
        <w:rPr>
          <w:rFonts w:ascii="仿宋" w:eastAsia="仿宋" w:hAnsi="仿宋" w:cs="仿宋"/>
        </w:rPr>
        <w:t>，全力保市场主体。鼓励规模以上制造业中小微企业根据自身风险管控需要，自愿投保疫情防控综合保险，并对保费进行财政补贴。印发</w:t>
      </w:r>
      <w:r>
        <w:rPr>
          <w:rFonts w:ascii="仿宋" w:eastAsia="仿宋" w:hAnsi="仿宋" w:cs="仿宋"/>
        </w:rPr>
        <w:t>“</w:t>
      </w:r>
      <w:r>
        <w:rPr>
          <w:rFonts w:ascii="仿宋" w:eastAsia="仿宋" w:hAnsi="仿宋" w:cs="仿宋"/>
        </w:rPr>
        <w:t>大走访大服务活动</w:t>
      </w:r>
      <w:r>
        <w:rPr>
          <w:rFonts w:ascii="仿宋" w:eastAsia="仿宋" w:hAnsi="仿宋" w:cs="仿宋"/>
        </w:rPr>
        <w:t>”</w:t>
      </w:r>
      <w:r>
        <w:rPr>
          <w:rFonts w:ascii="仿宋" w:eastAsia="仿宋" w:hAnsi="仿宋" w:cs="仿宋"/>
        </w:rPr>
        <w:t>政策汇编</w:t>
      </w:r>
      <w:r>
        <w:rPr>
          <w:rFonts w:ascii="仿宋" w:eastAsia="仿宋" w:hAnsi="仿宋" w:cs="仿宋"/>
        </w:rPr>
        <w:t>，通过走访、调研、服务企业等多种形式，拓宽信息宣传渠道，提高企业政策知晓率。鼓励新能源汽车消费，发放</w:t>
      </w:r>
      <w:r>
        <w:rPr>
          <w:rFonts w:ascii="仿宋" w:eastAsia="仿宋" w:hAnsi="仿宋" w:cs="仿宋"/>
        </w:rPr>
        <w:t>1000</w:t>
      </w:r>
      <w:r>
        <w:rPr>
          <w:rFonts w:ascii="仿宋" w:eastAsia="仿宋" w:hAnsi="仿宋" w:cs="仿宋"/>
        </w:rPr>
        <w:t>万元新能源汽车补贴资金，支持个人消费者购买新能源汽车。专项排查拖欠中小企业账款问题，积极推动协商解决排查出的账款拖欠问题。</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（二）坚持推进建圈强链，产业集群实现加速成长。一是强化政策引领。围绕全市</w:t>
      </w:r>
      <w:r>
        <w:rPr>
          <w:rFonts w:ascii="仿宋" w:eastAsia="仿宋" w:hAnsi="仿宋" w:cs="仿宋"/>
        </w:rPr>
        <w:t>“532”</w:t>
      </w:r>
      <w:r>
        <w:rPr>
          <w:rFonts w:ascii="仿宋" w:eastAsia="仿宋" w:hAnsi="仿宋" w:cs="仿宋"/>
        </w:rPr>
        <w:t>发展战略，牵头出台促进产业高质量发展的实施意见和若干政策，提出</w:t>
      </w:r>
      <w:r>
        <w:rPr>
          <w:rFonts w:ascii="仿宋" w:eastAsia="仿宋" w:hAnsi="仿宋" w:cs="仿宋"/>
        </w:rPr>
        <w:t>10</w:t>
      </w:r>
      <w:r>
        <w:rPr>
          <w:rFonts w:ascii="仿宋" w:eastAsia="仿宋" w:hAnsi="仿宋" w:cs="仿宋"/>
        </w:rPr>
        <w:t>个主攻方向、</w:t>
      </w:r>
      <w:r>
        <w:rPr>
          <w:rFonts w:ascii="仿宋" w:eastAsia="仿宋" w:hAnsi="仿宋" w:cs="仿宋"/>
        </w:rPr>
        <w:t>36</w:t>
      </w:r>
      <w:r>
        <w:rPr>
          <w:rFonts w:ascii="仿宋" w:eastAsia="仿宋" w:hAnsi="仿宋" w:cs="仿宋"/>
        </w:rPr>
        <w:t>项具体举措和</w:t>
      </w:r>
      <w:r>
        <w:rPr>
          <w:rFonts w:ascii="仿宋" w:eastAsia="仿宋" w:hAnsi="仿宋" w:cs="仿宋"/>
        </w:rPr>
        <w:t>30</w:t>
      </w:r>
      <w:r>
        <w:rPr>
          <w:rFonts w:ascii="仿宋" w:eastAsia="仿宋" w:hAnsi="仿宋" w:cs="仿宋"/>
        </w:rPr>
        <w:t>项支持政策，推动地标产业强链、新兴产业拓链、未来产业建链，打造高端高质高新的硬核产业集群。印发</w:t>
      </w:r>
      <w:r>
        <w:rPr>
          <w:rFonts w:ascii="仿宋" w:eastAsia="仿宋" w:hAnsi="仿宋" w:cs="仿宋"/>
        </w:rPr>
        <w:t>“</w:t>
      </w:r>
      <w:r>
        <w:rPr>
          <w:rFonts w:ascii="仿宋" w:eastAsia="仿宋" w:hAnsi="仿宋" w:cs="仿宋"/>
        </w:rPr>
        <w:t>十四</w:t>
      </w:r>
      <w:r>
        <w:rPr>
          <w:rFonts w:ascii="仿宋" w:eastAsia="仿宋" w:hAnsi="仿宋" w:cs="仿宋"/>
        </w:rPr>
        <w:t>五</w:t>
      </w:r>
      <w:r>
        <w:rPr>
          <w:rFonts w:ascii="仿宋" w:eastAsia="仿宋" w:hAnsi="仿宋" w:cs="仿宋"/>
        </w:rPr>
        <w:t>”</w:t>
      </w:r>
      <w:r>
        <w:rPr>
          <w:rFonts w:ascii="仿宋" w:eastAsia="仿宋" w:hAnsi="仿宋" w:cs="仿宋"/>
        </w:rPr>
        <w:t>新能源汽车产业发展规划，编制新能源汽车产业链供应链生态体系试点建设方案，系统梳理产业优势特色、扶持政策等。二是加快优势形成。抢抓新能源风口，初步构建以</w:t>
      </w:r>
      <w:r>
        <w:rPr>
          <w:rFonts w:ascii="仿宋" w:eastAsia="仿宋" w:hAnsi="仿宋" w:cs="仿宋"/>
        </w:rPr>
        <w:t>“</w:t>
      </w:r>
      <w:r>
        <w:rPr>
          <w:rFonts w:ascii="仿宋" w:eastAsia="仿宋" w:hAnsi="仿宋" w:cs="仿宋"/>
        </w:rPr>
        <w:t>发电、储能、输送、应用</w:t>
      </w:r>
      <w:r>
        <w:rPr>
          <w:rFonts w:ascii="仿宋" w:eastAsia="仿宋" w:hAnsi="仿宋" w:cs="仿宋"/>
        </w:rPr>
        <w:t>”</w:t>
      </w:r>
      <w:r>
        <w:rPr>
          <w:rFonts w:ascii="仿宋" w:eastAsia="仿宋" w:hAnsi="仿宋" w:cs="仿宋"/>
        </w:rPr>
        <w:t>为关键环节的产业格局，预计全年新能源领域产值超过</w:t>
      </w:r>
      <w:r>
        <w:rPr>
          <w:rFonts w:ascii="仿宋" w:eastAsia="仿宋" w:hAnsi="仿宋" w:cs="仿宋"/>
        </w:rPr>
        <w:lastRenderedPageBreak/>
        <w:t>5000</w:t>
      </w:r>
      <w:r>
        <w:rPr>
          <w:rFonts w:ascii="仿宋" w:eastAsia="仿宋" w:hAnsi="仿宋" w:cs="仿宋"/>
        </w:rPr>
        <w:t>亿元。十大先进制造业集群总体发展良好，</w:t>
      </w:r>
      <w:r>
        <w:rPr>
          <w:rFonts w:ascii="仿宋" w:eastAsia="仿宋" w:hAnsi="仿宋" w:cs="仿宋"/>
        </w:rPr>
        <w:t>1-11</w:t>
      </w:r>
      <w:r>
        <w:rPr>
          <w:rFonts w:ascii="仿宋" w:eastAsia="仿宋" w:hAnsi="仿宋" w:cs="仿宋"/>
        </w:rPr>
        <w:t>月份，新能源汽车及汽车核心零部件、生物医药及新型医疗器械、新能源集群产值增长均超</w:t>
      </w:r>
      <w:r>
        <w:rPr>
          <w:rFonts w:ascii="仿宋" w:eastAsia="仿宋" w:hAnsi="仿宋" w:cs="仿宋"/>
        </w:rPr>
        <w:t>30%</w:t>
      </w:r>
      <w:r>
        <w:rPr>
          <w:rFonts w:ascii="仿宋" w:eastAsia="仿宋" w:hAnsi="仿宋" w:cs="仿宋"/>
        </w:rPr>
        <w:t>。溧阳市高新区的新能源电力装备基地入选国家第十批新型工业化产业示范基地。新型碳材料集群项目高分通过专家组验收。集成电路产业强化产业链上下游合作，</w:t>
      </w:r>
      <w:r>
        <w:rPr>
          <w:rFonts w:ascii="仿宋" w:eastAsia="仿宋" w:hAnsi="仿宋" w:cs="仿宋"/>
        </w:rPr>
        <w:t>全市集成电路产业链企业主营业务收入</w:t>
      </w:r>
      <w:r>
        <w:rPr>
          <w:rFonts w:ascii="仿宋" w:eastAsia="仿宋" w:hAnsi="仿宋" w:cs="仿宋"/>
        </w:rPr>
        <w:t>191</w:t>
      </w:r>
      <w:r>
        <w:rPr>
          <w:rFonts w:ascii="仿宋" w:eastAsia="仿宋" w:hAnsi="仿宋" w:cs="仿宋"/>
        </w:rPr>
        <w:t>亿元，同比增长</w:t>
      </w:r>
      <w:r>
        <w:rPr>
          <w:rFonts w:ascii="仿宋" w:eastAsia="仿宋" w:hAnsi="仿宋" w:cs="仿宋"/>
        </w:rPr>
        <w:t>13.7%</w:t>
      </w:r>
      <w:r>
        <w:rPr>
          <w:rFonts w:ascii="仿宋" w:eastAsia="仿宋" w:hAnsi="仿宋" w:cs="仿宋"/>
        </w:rPr>
        <w:t>。常州工业互联网研究院有限公司入选省集群发展促进机构。三是推动</w:t>
      </w:r>
      <w:r>
        <w:rPr>
          <w:rFonts w:ascii="仿宋" w:eastAsia="仿宋" w:hAnsi="仿宋" w:cs="仿宋"/>
        </w:rPr>
        <w:t>“</w:t>
      </w:r>
      <w:r>
        <w:rPr>
          <w:rFonts w:ascii="仿宋" w:eastAsia="仿宋" w:hAnsi="仿宋" w:cs="仿宋"/>
        </w:rPr>
        <w:t>十链突破</w:t>
      </w:r>
      <w:r>
        <w:rPr>
          <w:rFonts w:ascii="仿宋" w:eastAsia="仿宋" w:hAnsi="仿宋" w:cs="仿宋"/>
        </w:rPr>
        <w:t>”</w:t>
      </w:r>
      <w:r>
        <w:rPr>
          <w:rFonts w:ascii="仿宋" w:eastAsia="仿宋" w:hAnsi="仿宋" w:cs="仿宋"/>
        </w:rPr>
        <w:t>。聚焦动力电池、太阳能光伏等十大代表性产业链的</w:t>
      </w:r>
      <w:r>
        <w:rPr>
          <w:rFonts w:ascii="仿宋" w:eastAsia="仿宋" w:hAnsi="仿宋" w:cs="仿宋"/>
        </w:rPr>
        <w:t>40</w:t>
      </w:r>
      <w:r>
        <w:rPr>
          <w:rFonts w:ascii="仿宋" w:eastAsia="仿宋" w:hAnsi="仿宋" w:cs="仿宋"/>
        </w:rPr>
        <w:t>家链主（骨干）企业，探索打造数字化协同平台，制定平台建设指南，明确计划、库存、研发设计等</w:t>
      </w:r>
      <w:r>
        <w:rPr>
          <w:rFonts w:ascii="仿宋" w:eastAsia="仿宋" w:hAnsi="仿宋" w:cs="仿宋"/>
        </w:rPr>
        <w:t>11</w:t>
      </w:r>
      <w:r>
        <w:rPr>
          <w:rFonts w:ascii="仿宋" w:eastAsia="仿宋" w:hAnsi="仿宋" w:cs="仿宋"/>
        </w:rPr>
        <w:t>项功能指标，引导企业对标实施平台建设项目，建立平台建设项目库，加强服务，择优扶持。</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（三）坚持深化技术创新，发展动能实现持续提升。一是加快创新载体建设。推动制造业创新中心提档升级，石墨烯创新中心获批江苏省石墨烯产业技术创新联合体，扎</w:t>
      </w:r>
      <w:r>
        <w:rPr>
          <w:rFonts w:ascii="仿宋" w:eastAsia="仿宋" w:hAnsi="仿宋" w:cs="仿宋"/>
        </w:rPr>
        <w:t>实开展江苏省动力及储能电池制造业创新中心筹建工作。强化企业技术中心培育，新增</w:t>
      </w:r>
      <w:r>
        <w:rPr>
          <w:rFonts w:ascii="仿宋" w:eastAsia="仿宋" w:hAnsi="仿宋" w:cs="仿宋"/>
        </w:rPr>
        <w:t>1</w:t>
      </w:r>
      <w:r>
        <w:rPr>
          <w:rFonts w:ascii="仿宋" w:eastAsia="仿宋" w:hAnsi="仿宋" w:cs="仿宋"/>
        </w:rPr>
        <w:t>家国家企业技术中心、</w:t>
      </w:r>
      <w:r>
        <w:rPr>
          <w:rFonts w:ascii="仿宋" w:eastAsia="仿宋" w:hAnsi="仿宋" w:cs="仿宋"/>
        </w:rPr>
        <w:t>1</w:t>
      </w:r>
      <w:r>
        <w:rPr>
          <w:rFonts w:ascii="仿宋" w:eastAsia="仿宋" w:hAnsi="仿宋" w:cs="仿宋"/>
        </w:rPr>
        <w:t>家国家技术创新示范企业，新增</w:t>
      </w:r>
      <w:r>
        <w:rPr>
          <w:rFonts w:ascii="仿宋" w:eastAsia="仿宋" w:hAnsi="仿宋" w:cs="仿宋"/>
        </w:rPr>
        <w:t>26</w:t>
      </w:r>
      <w:r>
        <w:rPr>
          <w:rFonts w:ascii="仿宋" w:eastAsia="仿宋" w:hAnsi="仿宋" w:cs="仿宋"/>
        </w:rPr>
        <w:t>家工业企业和</w:t>
      </w:r>
      <w:r>
        <w:rPr>
          <w:rFonts w:ascii="仿宋" w:eastAsia="仿宋" w:hAnsi="仿宋" w:cs="仿宋"/>
        </w:rPr>
        <w:t>1</w:t>
      </w:r>
      <w:r>
        <w:rPr>
          <w:rFonts w:ascii="仿宋" w:eastAsia="仿宋" w:hAnsi="仿宋" w:cs="仿宋"/>
        </w:rPr>
        <w:t>家软件企业省级企业技术中心。二是开展关键核心技术攻关。全市新增</w:t>
      </w:r>
      <w:r>
        <w:rPr>
          <w:rFonts w:ascii="仿宋" w:eastAsia="仿宋" w:hAnsi="仿宋" w:cs="仿宋"/>
        </w:rPr>
        <w:t>13</w:t>
      </w:r>
      <w:r>
        <w:rPr>
          <w:rFonts w:ascii="仿宋" w:eastAsia="仿宋" w:hAnsi="仿宋" w:cs="仿宋"/>
        </w:rPr>
        <w:t>个关键核心技术（装备）攻关产业化项目，获省财政补助</w:t>
      </w:r>
      <w:r>
        <w:rPr>
          <w:rFonts w:ascii="仿宋" w:eastAsia="仿宋" w:hAnsi="仿宋" w:cs="仿宋"/>
        </w:rPr>
        <w:t>1.6</w:t>
      </w:r>
      <w:r>
        <w:rPr>
          <w:rFonts w:ascii="仿宋" w:eastAsia="仿宋" w:hAnsi="仿宋" w:cs="仿宋"/>
        </w:rPr>
        <w:t>亿元，占全省项目总数的六分之一，位列全省第三，项目数量和向上争取资金总量均创出新高。推荐</w:t>
      </w:r>
      <w:r>
        <w:rPr>
          <w:rFonts w:ascii="仿宋" w:eastAsia="仿宋" w:hAnsi="仿宋" w:cs="仿宋"/>
        </w:rPr>
        <w:t>26</w:t>
      </w:r>
      <w:r>
        <w:rPr>
          <w:rFonts w:ascii="仿宋" w:eastAsia="仿宋" w:hAnsi="仿宋" w:cs="仿宋"/>
        </w:rPr>
        <w:t>家企业申报</w:t>
      </w:r>
      <w:r>
        <w:rPr>
          <w:rFonts w:ascii="仿宋" w:eastAsia="仿宋" w:hAnsi="仿宋" w:cs="仿宋"/>
        </w:rPr>
        <w:t>2023</w:t>
      </w:r>
      <w:r>
        <w:rPr>
          <w:rFonts w:ascii="仿宋" w:eastAsia="仿宋" w:hAnsi="仿宋" w:cs="仿宋"/>
        </w:rPr>
        <w:t>年关键核心技术（装备）工程化攻关项目。</w:t>
      </w:r>
      <w:r>
        <w:rPr>
          <w:rFonts w:ascii="仿宋" w:eastAsia="仿宋" w:hAnsi="仿宋" w:cs="仿宋"/>
        </w:rPr>
        <w:t>3</w:t>
      </w:r>
      <w:r>
        <w:rPr>
          <w:rFonts w:ascii="仿宋" w:eastAsia="仿宋" w:hAnsi="仿宋" w:cs="仿宋"/>
        </w:rPr>
        <w:t>家企业顺利通过省工信厅关键核心技术攻关项目验收。三是支持新</w:t>
      </w:r>
      <w:r>
        <w:rPr>
          <w:rFonts w:ascii="仿宋" w:eastAsia="仿宋" w:hAnsi="仿宋" w:cs="仿宋"/>
        </w:rPr>
        <w:lastRenderedPageBreak/>
        <w:t>技术新产品应用推广。制定《支持新技术</w:t>
      </w:r>
      <w:r>
        <w:rPr>
          <w:rFonts w:ascii="仿宋" w:eastAsia="仿宋" w:hAnsi="仿宋" w:cs="仿宋"/>
        </w:rPr>
        <w:t>新产品及应用场景实施细则》，从</w:t>
      </w:r>
      <w:r>
        <w:rPr>
          <w:rFonts w:ascii="仿宋" w:eastAsia="仿宋" w:hAnsi="仿宋" w:cs="仿宋"/>
        </w:rPr>
        <w:t>“</w:t>
      </w:r>
      <w:r>
        <w:rPr>
          <w:rFonts w:ascii="仿宋" w:eastAsia="仿宋" w:hAnsi="仿宋" w:cs="仿宋"/>
        </w:rPr>
        <w:t>供给侧</w:t>
      </w:r>
      <w:r>
        <w:rPr>
          <w:rFonts w:ascii="仿宋" w:eastAsia="仿宋" w:hAnsi="仿宋" w:cs="仿宋"/>
        </w:rPr>
        <w:t>”</w:t>
      </w:r>
      <w:r>
        <w:rPr>
          <w:rFonts w:ascii="仿宋" w:eastAsia="仿宋" w:hAnsi="仿宋" w:cs="仿宋"/>
        </w:rPr>
        <w:t>和</w:t>
      </w:r>
      <w:r>
        <w:rPr>
          <w:rFonts w:ascii="仿宋" w:eastAsia="仿宋" w:hAnsi="仿宋" w:cs="仿宋"/>
        </w:rPr>
        <w:t>“</w:t>
      </w:r>
      <w:r>
        <w:rPr>
          <w:rFonts w:ascii="仿宋" w:eastAsia="仿宋" w:hAnsi="仿宋" w:cs="仿宋"/>
        </w:rPr>
        <w:t>需求侧</w:t>
      </w:r>
      <w:r>
        <w:rPr>
          <w:rFonts w:ascii="仿宋" w:eastAsia="仿宋" w:hAnsi="仿宋" w:cs="仿宋"/>
        </w:rPr>
        <w:t>”</w:t>
      </w:r>
      <w:r>
        <w:rPr>
          <w:rFonts w:ascii="仿宋" w:eastAsia="仿宋" w:hAnsi="仿宋" w:cs="仿宋"/>
        </w:rPr>
        <w:t>角度组织新技术新产品与应用场景对接，形成以重大应用为牵引的技术产品集成标准和模式，对当年度新列入江苏省重点推广应用目录的新技术新产品及优秀应用场景给予支持。今年对上年度</w:t>
      </w:r>
      <w:r>
        <w:rPr>
          <w:rFonts w:ascii="仿宋" w:eastAsia="仿宋" w:hAnsi="仿宋" w:cs="仿宋"/>
        </w:rPr>
        <w:t>55</w:t>
      </w:r>
      <w:r>
        <w:rPr>
          <w:rFonts w:ascii="仿宋" w:eastAsia="仿宋" w:hAnsi="仿宋" w:cs="仿宋"/>
        </w:rPr>
        <w:t>项列入省</w:t>
      </w:r>
      <w:r>
        <w:rPr>
          <w:rFonts w:ascii="仿宋" w:eastAsia="仿宋" w:hAnsi="仿宋" w:cs="仿宋"/>
        </w:rPr>
        <w:t>“</w:t>
      </w:r>
      <w:r>
        <w:rPr>
          <w:rFonts w:ascii="仿宋" w:eastAsia="仿宋" w:hAnsi="仿宋" w:cs="仿宋"/>
        </w:rPr>
        <w:t>双新</w:t>
      </w:r>
      <w:r>
        <w:rPr>
          <w:rFonts w:ascii="仿宋" w:eastAsia="仿宋" w:hAnsi="仿宋" w:cs="仿宋"/>
        </w:rPr>
        <w:t>”</w:t>
      </w:r>
      <w:r>
        <w:rPr>
          <w:rFonts w:ascii="仿宋" w:eastAsia="仿宋" w:hAnsi="仿宋" w:cs="仿宋"/>
        </w:rPr>
        <w:t>目录的新技术新产品及</w:t>
      </w:r>
      <w:r>
        <w:rPr>
          <w:rFonts w:ascii="仿宋" w:eastAsia="仿宋" w:hAnsi="仿宋" w:cs="仿宋"/>
        </w:rPr>
        <w:t>8</w:t>
      </w:r>
      <w:r>
        <w:rPr>
          <w:rFonts w:ascii="仿宋" w:eastAsia="仿宋" w:hAnsi="仿宋" w:cs="仿宋"/>
        </w:rPr>
        <w:t>个优秀应用场景给予资金支持，发放奖励资金</w:t>
      </w:r>
      <w:r>
        <w:rPr>
          <w:rFonts w:ascii="仿宋" w:eastAsia="仿宋" w:hAnsi="仿宋" w:cs="仿宋"/>
        </w:rPr>
        <w:t>1200</w:t>
      </w:r>
      <w:r>
        <w:rPr>
          <w:rFonts w:ascii="仿宋" w:eastAsia="仿宋" w:hAnsi="仿宋" w:cs="仿宋"/>
        </w:rPr>
        <w:t>万元。新增</w:t>
      </w:r>
      <w:r>
        <w:rPr>
          <w:rFonts w:ascii="仿宋" w:eastAsia="仿宋" w:hAnsi="仿宋" w:cs="仿宋"/>
        </w:rPr>
        <w:t>15</w:t>
      </w:r>
      <w:r>
        <w:rPr>
          <w:rFonts w:ascii="仿宋" w:eastAsia="仿宋" w:hAnsi="仿宋" w:cs="仿宋"/>
        </w:rPr>
        <w:t>项新技术新产品进入省</w:t>
      </w:r>
      <w:r>
        <w:rPr>
          <w:rFonts w:ascii="仿宋" w:eastAsia="仿宋" w:hAnsi="仿宋" w:cs="仿宋"/>
        </w:rPr>
        <w:t>“</w:t>
      </w:r>
      <w:r>
        <w:rPr>
          <w:rFonts w:ascii="仿宋" w:eastAsia="仿宋" w:hAnsi="仿宋" w:cs="仿宋"/>
        </w:rPr>
        <w:t>双新</w:t>
      </w:r>
      <w:r>
        <w:rPr>
          <w:rFonts w:ascii="仿宋" w:eastAsia="仿宋" w:hAnsi="仿宋" w:cs="仿宋"/>
        </w:rPr>
        <w:t>”</w:t>
      </w:r>
      <w:r>
        <w:rPr>
          <w:rFonts w:ascii="仿宋" w:eastAsia="仿宋" w:hAnsi="仿宋" w:cs="仿宋"/>
        </w:rPr>
        <w:t>目录。做好市级创新产品认定和推广，共支持创新产品补贴项目</w:t>
      </w:r>
      <w:r>
        <w:rPr>
          <w:rFonts w:ascii="仿宋" w:eastAsia="仿宋" w:hAnsi="仿宋" w:cs="仿宋"/>
        </w:rPr>
        <w:t>17</w:t>
      </w:r>
      <w:r>
        <w:rPr>
          <w:rFonts w:ascii="仿宋" w:eastAsia="仿宋" w:hAnsi="仿宋" w:cs="仿宋"/>
        </w:rPr>
        <w:t>个，涉及企业</w:t>
      </w:r>
      <w:r>
        <w:rPr>
          <w:rFonts w:ascii="仿宋" w:eastAsia="仿宋" w:hAnsi="仿宋" w:cs="仿宋"/>
        </w:rPr>
        <w:t>12</w:t>
      </w:r>
      <w:r>
        <w:rPr>
          <w:rFonts w:ascii="仿宋" w:eastAsia="仿宋" w:hAnsi="仿宋" w:cs="仿宋"/>
        </w:rPr>
        <w:t>家，补助金额</w:t>
      </w:r>
      <w:r>
        <w:rPr>
          <w:rFonts w:ascii="仿宋" w:eastAsia="仿宋" w:hAnsi="仿宋" w:cs="仿宋"/>
        </w:rPr>
        <w:t>152.94</w:t>
      </w:r>
      <w:r>
        <w:rPr>
          <w:rFonts w:ascii="仿宋" w:eastAsia="仿宋" w:hAnsi="仿宋" w:cs="仿宋"/>
        </w:rPr>
        <w:t>万元，共申报创新产品</w:t>
      </w:r>
      <w:r>
        <w:rPr>
          <w:rFonts w:ascii="仿宋" w:eastAsia="仿宋" w:hAnsi="仿宋" w:cs="仿宋"/>
        </w:rPr>
        <w:t>154</w:t>
      </w:r>
      <w:r>
        <w:rPr>
          <w:rFonts w:ascii="仿宋" w:eastAsia="仿宋" w:hAnsi="仿宋" w:cs="仿宋"/>
        </w:rPr>
        <w:t>个，计划于年内完成审核认定工作。四</w:t>
      </w:r>
      <w:r>
        <w:rPr>
          <w:rFonts w:ascii="仿宋" w:eastAsia="仿宋" w:hAnsi="仿宋" w:cs="仿宋"/>
        </w:rPr>
        <w:t>是加强信息技术应用创新。钟楼经济开发区获批开展省级信息技术应用创新先导区（医疗卫生）建设。获国家工信部工业</w:t>
      </w:r>
      <w:r>
        <w:rPr>
          <w:rFonts w:ascii="仿宋" w:eastAsia="仿宋" w:hAnsi="仿宋" w:cs="仿宋"/>
        </w:rPr>
        <w:t>APP</w:t>
      </w:r>
      <w:r>
        <w:rPr>
          <w:rFonts w:ascii="仿宋" w:eastAsia="仿宋" w:hAnsi="仿宋" w:cs="仿宋"/>
        </w:rPr>
        <w:t>优秀解决方案</w:t>
      </w:r>
      <w:r>
        <w:rPr>
          <w:rFonts w:ascii="仿宋" w:eastAsia="仿宋" w:hAnsi="仿宋" w:cs="仿宋"/>
        </w:rPr>
        <w:t>1</w:t>
      </w:r>
      <w:r>
        <w:rPr>
          <w:rFonts w:ascii="仿宋" w:eastAsia="仿宋" w:hAnsi="仿宋" w:cs="仿宋"/>
        </w:rPr>
        <w:t>项。</w:t>
      </w:r>
      <w:r>
        <w:rPr>
          <w:rFonts w:ascii="仿宋" w:eastAsia="仿宋" w:hAnsi="仿宋" w:cs="仿宋"/>
        </w:rPr>
        <w:t>3</w:t>
      </w:r>
      <w:r>
        <w:rPr>
          <w:rFonts w:ascii="仿宋" w:eastAsia="仿宋" w:hAnsi="仿宋" w:cs="仿宋"/>
        </w:rPr>
        <w:t>家企业进入省重点软件企业培育名单，</w:t>
      </w:r>
      <w:r>
        <w:rPr>
          <w:rFonts w:ascii="仿宋" w:eastAsia="仿宋" w:hAnsi="仿宋" w:cs="仿宋"/>
        </w:rPr>
        <w:t>6</w:t>
      </w:r>
      <w:r>
        <w:rPr>
          <w:rFonts w:ascii="仿宋" w:eastAsia="仿宋" w:hAnsi="仿宋" w:cs="仿宋"/>
        </w:rPr>
        <w:t>家企业进入省专精特新软件企业培育名单，</w:t>
      </w:r>
      <w:r>
        <w:rPr>
          <w:rFonts w:ascii="仿宋" w:eastAsia="仿宋" w:hAnsi="仿宋" w:cs="仿宋"/>
        </w:rPr>
        <w:t>2</w:t>
      </w:r>
      <w:r>
        <w:rPr>
          <w:rFonts w:ascii="仿宋" w:eastAsia="仿宋" w:hAnsi="仿宋" w:cs="仿宋"/>
        </w:rPr>
        <w:t>个软件产品进入省重点领域首版次软件产品推广目录，</w:t>
      </w:r>
      <w:r>
        <w:rPr>
          <w:rFonts w:ascii="仿宋" w:eastAsia="仿宋" w:hAnsi="仿宋" w:cs="仿宋"/>
        </w:rPr>
        <w:t>4</w:t>
      </w:r>
      <w:r>
        <w:rPr>
          <w:rFonts w:ascii="仿宋" w:eastAsia="仿宋" w:hAnsi="仿宋" w:cs="仿宋"/>
        </w:rPr>
        <w:t>个方案入围省信息技术应用创新优秀解决方案。</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（四）坚持加快以数强实，智造水平实现整体跃升。一是健全推进机制。发布《常州市制造业智能化改造和数字化转型行动计划》和《关于在全市智能化改造和数字化转型中推进</w:t>
      </w:r>
      <w:r>
        <w:rPr>
          <w:rFonts w:ascii="仿宋" w:eastAsia="仿宋" w:hAnsi="仿宋" w:cs="仿宋"/>
        </w:rPr>
        <w:t>“</w:t>
      </w:r>
      <w:r>
        <w:rPr>
          <w:rFonts w:ascii="仿宋" w:eastAsia="仿宋" w:hAnsi="仿宋" w:cs="仿宋"/>
        </w:rPr>
        <w:t>十链突破、百企领航、千景应用</w:t>
      </w:r>
      <w:r>
        <w:rPr>
          <w:rFonts w:ascii="仿宋" w:eastAsia="仿宋" w:hAnsi="仿宋" w:cs="仿宋"/>
        </w:rPr>
        <w:t>”</w:t>
      </w:r>
      <w:r>
        <w:rPr>
          <w:rFonts w:ascii="仿宋" w:eastAsia="仿宋" w:hAnsi="仿宋" w:cs="仿宋"/>
        </w:rPr>
        <w:t>的实施方案》两个纲领性</w:t>
      </w:r>
      <w:r>
        <w:rPr>
          <w:rFonts w:ascii="仿宋" w:eastAsia="仿宋" w:hAnsi="仿宋" w:cs="仿宋"/>
        </w:rPr>
        <w:t>文件，各级工信部门成立工作专班，全市形成工信部门牵头、多部门协调配合、条线通力协作的工作机制。二是加强服务供给。加快培育数字化解决方案提供商，新增省级智能制造领军服务机构</w:t>
      </w:r>
      <w:r>
        <w:rPr>
          <w:rFonts w:ascii="仿宋" w:eastAsia="仿宋" w:hAnsi="仿宋" w:cs="仿宋"/>
        </w:rPr>
        <w:t>5</w:t>
      </w:r>
      <w:r>
        <w:rPr>
          <w:rFonts w:ascii="仿宋" w:eastAsia="仿宋" w:hAnsi="仿宋" w:cs="仿宋"/>
        </w:rPr>
        <w:t>家、全省第二，认定市级</w:t>
      </w:r>
      <w:r>
        <w:rPr>
          <w:rFonts w:ascii="仿宋" w:eastAsia="仿宋" w:hAnsi="仿宋" w:cs="仿宋"/>
        </w:rPr>
        <w:t>“</w:t>
      </w:r>
      <w:r>
        <w:rPr>
          <w:rFonts w:ascii="仿宋" w:eastAsia="仿宋" w:hAnsi="仿宋" w:cs="仿宋"/>
        </w:rPr>
        <w:t>智改数转</w:t>
      </w:r>
      <w:r>
        <w:rPr>
          <w:rFonts w:ascii="仿宋" w:eastAsia="仿宋" w:hAnsi="仿宋" w:cs="仿宋"/>
        </w:rPr>
        <w:t>”</w:t>
      </w:r>
      <w:r>
        <w:rPr>
          <w:rFonts w:ascii="仿宋" w:eastAsia="仿宋" w:hAnsi="仿宋" w:cs="仿宋"/>
        </w:rPr>
        <w:t>服务商</w:t>
      </w:r>
      <w:r>
        <w:rPr>
          <w:rFonts w:ascii="仿宋" w:eastAsia="仿宋" w:hAnsi="仿宋" w:cs="仿宋"/>
        </w:rPr>
        <w:t>60</w:t>
      </w:r>
      <w:r>
        <w:rPr>
          <w:rFonts w:ascii="仿宋" w:eastAsia="仿宋" w:hAnsi="仿宋" w:cs="仿宋"/>
        </w:rPr>
        <w:t>家。组建</w:t>
      </w:r>
      <w:r>
        <w:rPr>
          <w:rFonts w:ascii="仿宋" w:eastAsia="仿宋" w:hAnsi="仿宋" w:cs="仿宋"/>
        </w:rPr>
        <w:t>“</w:t>
      </w:r>
      <w:r>
        <w:rPr>
          <w:rFonts w:ascii="仿宋" w:eastAsia="仿宋" w:hAnsi="仿宋" w:cs="仿宋"/>
        </w:rPr>
        <w:t>智改数转</w:t>
      </w:r>
      <w:r>
        <w:rPr>
          <w:rFonts w:ascii="仿宋" w:eastAsia="仿宋" w:hAnsi="仿宋" w:cs="仿宋"/>
        </w:rPr>
        <w:t>”</w:t>
      </w:r>
      <w:r>
        <w:rPr>
          <w:rFonts w:ascii="仿宋" w:eastAsia="仿宋" w:hAnsi="仿宋" w:cs="仿宋"/>
        </w:rPr>
        <w:lastRenderedPageBreak/>
        <w:t>联盟，汇聚服务机构近</w:t>
      </w:r>
      <w:r>
        <w:rPr>
          <w:rFonts w:ascii="仿宋" w:eastAsia="仿宋" w:hAnsi="仿宋" w:cs="仿宋"/>
        </w:rPr>
        <w:t>500</w:t>
      </w:r>
      <w:r>
        <w:rPr>
          <w:rFonts w:ascii="仿宋" w:eastAsia="仿宋" w:hAnsi="仿宋" w:cs="仿宋"/>
        </w:rPr>
        <w:t>家。遴选首批常州市工业信息安全服务商</w:t>
      </w:r>
      <w:r>
        <w:rPr>
          <w:rFonts w:ascii="仿宋" w:eastAsia="仿宋" w:hAnsi="仿宋" w:cs="仿宋"/>
        </w:rPr>
        <w:t>11</w:t>
      </w:r>
      <w:r>
        <w:rPr>
          <w:rFonts w:ascii="仿宋" w:eastAsia="仿宋" w:hAnsi="仿宋" w:cs="仿宋"/>
        </w:rPr>
        <w:t>家，夯实安全基座。推进市级重点企业诊断和区级中小微数字化应用诊断，为</w:t>
      </w:r>
      <w:r>
        <w:rPr>
          <w:rFonts w:ascii="仿宋" w:eastAsia="仿宋" w:hAnsi="仿宋" w:cs="仿宋"/>
        </w:rPr>
        <w:t>3300</w:t>
      </w:r>
      <w:r>
        <w:rPr>
          <w:rFonts w:ascii="仿宋" w:eastAsia="仿宋" w:hAnsi="仿宋" w:cs="仿宋"/>
        </w:rPr>
        <w:t>家企业实施免费诊断。推出</w:t>
      </w:r>
      <w:r>
        <w:rPr>
          <w:rFonts w:ascii="仿宋" w:eastAsia="仿宋" w:hAnsi="仿宋" w:cs="仿宋"/>
        </w:rPr>
        <w:t>“</w:t>
      </w:r>
      <w:r>
        <w:rPr>
          <w:rFonts w:ascii="仿宋" w:eastAsia="仿宋" w:hAnsi="仿宋" w:cs="仿宋"/>
        </w:rPr>
        <w:t>智改数转数字</w:t>
      </w:r>
      <w:r>
        <w:rPr>
          <w:rFonts w:ascii="仿宋" w:eastAsia="仿宋" w:hAnsi="仿宋" w:cs="仿宋"/>
        </w:rPr>
        <w:t>”</w:t>
      </w:r>
      <w:r>
        <w:rPr>
          <w:rFonts w:ascii="仿宋" w:eastAsia="仿宋" w:hAnsi="仿宋" w:cs="仿宋"/>
        </w:rPr>
        <w:t>贷，出台实施细则，对获得项目贷款的企业给予贴息奖励。加大平台载体引培力度，新增工信部特色型工业</w:t>
      </w:r>
      <w:r>
        <w:rPr>
          <w:rFonts w:ascii="仿宋" w:eastAsia="仿宋" w:hAnsi="仿宋" w:cs="仿宋"/>
        </w:rPr>
        <w:t>互联网平台</w:t>
      </w:r>
      <w:r>
        <w:rPr>
          <w:rFonts w:ascii="仿宋" w:eastAsia="仿宋" w:hAnsi="仿宋" w:cs="仿宋"/>
        </w:rPr>
        <w:t>3</w:t>
      </w:r>
      <w:r>
        <w:rPr>
          <w:rFonts w:ascii="仿宋" w:eastAsia="仿宋" w:hAnsi="仿宋" w:cs="仿宋"/>
        </w:rPr>
        <w:t>家，新增省级工业互联网平台</w:t>
      </w:r>
      <w:r>
        <w:rPr>
          <w:rFonts w:ascii="仿宋" w:eastAsia="仿宋" w:hAnsi="仿宋" w:cs="仿宋"/>
        </w:rPr>
        <w:t>7</w:t>
      </w:r>
      <w:r>
        <w:rPr>
          <w:rFonts w:ascii="仿宋" w:eastAsia="仿宋" w:hAnsi="仿宋" w:cs="仿宋"/>
        </w:rPr>
        <w:t>家、全省第二，开展</w:t>
      </w:r>
      <w:r>
        <w:rPr>
          <w:rFonts w:ascii="仿宋" w:eastAsia="仿宋" w:hAnsi="仿宋" w:cs="仿宋"/>
        </w:rPr>
        <w:t>4</w:t>
      </w:r>
      <w:r>
        <w:rPr>
          <w:rFonts w:ascii="仿宋" w:eastAsia="仿宋" w:hAnsi="仿宋" w:cs="仿宋"/>
        </w:rPr>
        <w:t>家数字化转型促进中心试点。三是夯实数字底座。数字基础设施建设水平全国领先，入选</w:t>
      </w:r>
      <w:r>
        <w:rPr>
          <w:rFonts w:ascii="仿宋" w:eastAsia="仿宋" w:hAnsi="仿宋" w:cs="仿宋"/>
        </w:rPr>
        <w:t>“</w:t>
      </w:r>
      <w:r>
        <w:rPr>
          <w:rFonts w:ascii="仿宋" w:eastAsia="仿宋" w:hAnsi="仿宋" w:cs="仿宋"/>
        </w:rPr>
        <w:t>物超人</w:t>
      </w:r>
      <w:r>
        <w:rPr>
          <w:rFonts w:ascii="仿宋" w:eastAsia="仿宋" w:hAnsi="仿宋" w:cs="仿宋"/>
        </w:rPr>
        <w:t>”</w:t>
      </w:r>
      <w:r>
        <w:rPr>
          <w:rFonts w:ascii="仿宋" w:eastAsia="仿宋" w:hAnsi="仿宋" w:cs="仿宋"/>
        </w:rPr>
        <w:t>领先城市，全国排名第二、仅次于深圳。累计开通</w:t>
      </w:r>
      <w:r>
        <w:rPr>
          <w:rFonts w:ascii="仿宋" w:eastAsia="仿宋" w:hAnsi="仿宋" w:cs="仿宋"/>
        </w:rPr>
        <w:t>5G</w:t>
      </w:r>
      <w:r>
        <w:rPr>
          <w:rFonts w:ascii="仿宋" w:eastAsia="仿宋" w:hAnsi="仿宋" w:cs="仿宋"/>
        </w:rPr>
        <w:t>基站</w:t>
      </w:r>
      <w:r>
        <w:rPr>
          <w:rFonts w:ascii="仿宋" w:eastAsia="仿宋" w:hAnsi="仿宋" w:cs="仿宋"/>
        </w:rPr>
        <w:t>14782</w:t>
      </w:r>
      <w:r>
        <w:rPr>
          <w:rFonts w:ascii="仿宋" w:eastAsia="仿宋" w:hAnsi="仿宋" w:cs="仿宋"/>
        </w:rPr>
        <w:t>个、万人拥有</w:t>
      </w:r>
      <w:r>
        <w:rPr>
          <w:rFonts w:ascii="仿宋" w:eastAsia="仿宋" w:hAnsi="仿宋" w:cs="仿宋"/>
        </w:rPr>
        <w:t>5G</w:t>
      </w:r>
      <w:r>
        <w:rPr>
          <w:rFonts w:ascii="仿宋" w:eastAsia="仿宋" w:hAnsi="仿宋" w:cs="仿宋"/>
        </w:rPr>
        <w:t>基站数全省第三，市域</w:t>
      </w:r>
      <w:r>
        <w:rPr>
          <w:rFonts w:ascii="仿宋" w:eastAsia="仿宋" w:hAnsi="仿宋" w:cs="仿宋"/>
        </w:rPr>
        <w:t>5G</w:t>
      </w:r>
      <w:r>
        <w:rPr>
          <w:rFonts w:ascii="仿宋" w:eastAsia="仿宋" w:hAnsi="仿宋" w:cs="仿宋"/>
        </w:rPr>
        <w:t>网络覆盖率达</w:t>
      </w:r>
      <w:r>
        <w:rPr>
          <w:rFonts w:ascii="仿宋" w:eastAsia="仿宋" w:hAnsi="仿宋" w:cs="仿宋"/>
        </w:rPr>
        <w:t>99%</w:t>
      </w:r>
      <w:r>
        <w:rPr>
          <w:rFonts w:ascii="仿宋" w:eastAsia="仿宋" w:hAnsi="仿宋" w:cs="仿宋"/>
        </w:rPr>
        <w:t>。实现全市域光缆覆盖率</w:t>
      </w:r>
      <w:r>
        <w:rPr>
          <w:rFonts w:ascii="仿宋" w:eastAsia="仿宋" w:hAnsi="仿宋" w:cs="仿宋"/>
        </w:rPr>
        <w:t>100%</w:t>
      </w:r>
      <w:r>
        <w:rPr>
          <w:rFonts w:ascii="仿宋" w:eastAsia="仿宋" w:hAnsi="仿宋" w:cs="仿宋"/>
        </w:rPr>
        <w:t>，千兆宽带用户数</w:t>
      </w:r>
      <w:r>
        <w:rPr>
          <w:rFonts w:ascii="仿宋" w:eastAsia="仿宋" w:hAnsi="仿宋" w:cs="仿宋"/>
        </w:rPr>
        <w:t>67.7</w:t>
      </w:r>
      <w:r>
        <w:rPr>
          <w:rFonts w:ascii="仿宋" w:eastAsia="仿宋" w:hAnsi="仿宋" w:cs="仿宋"/>
        </w:rPr>
        <w:t>万，全省第六。上线综合型二级节点</w:t>
      </w:r>
      <w:r>
        <w:rPr>
          <w:rFonts w:ascii="仿宋" w:eastAsia="仿宋" w:hAnsi="仿宋" w:cs="仿宋"/>
        </w:rPr>
        <w:t>3</w:t>
      </w:r>
      <w:r>
        <w:rPr>
          <w:rFonts w:ascii="仿宋" w:eastAsia="仿宋" w:hAnsi="仿宋" w:cs="仿宋"/>
        </w:rPr>
        <w:t>个、行业型二级节点</w:t>
      </w:r>
      <w:r>
        <w:rPr>
          <w:rFonts w:ascii="仿宋" w:eastAsia="仿宋" w:hAnsi="仿宋" w:cs="仿宋"/>
        </w:rPr>
        <w:t>2</w:t>
      </w:r>
      <w:r>
        <w:rPr>
          <w:rFonts w:ascii="仿宋" w:eastAsia="仿宋" w:hAnsi="仿宋" w:cs="仿宋"/>
        </w:rPr>
        <w:t>个，累计接入企业</w:t>
      </w:r>
      <w:r>
        <w:rPr>
          <w:rFonts w:ascii="仿宋" w:eastAsia="仿宋" w:hAnsi="仿宋" w:cs="仿宋"/>
        </w:rPr>
        <w:t>4325</w:t>
      </w:r>
      <w:r>
        <w:rPr>
          <w:rFonts w:ascii="仿宋" w:eastAsia="仿宋" w:hAnsi="仿宋" w:cs="仿宋"/>
        </w:rPr>
        <w:t>家，标识注册量超</w:t>
      </w:r>
      <w:r>
        <w:rPr>
          <w:rFonts w:ascii="仿宋" w:eastAsia="仿宋" w:hAnsi="仿宋" w:cs="仿宋"/>
        </w:rPr>
        <w:t>38</w:t>
      </w:r>
      <w:r>
        <w:rPr>
          <w:rFonts w:ascii="仿宋" w:eastAsia="仿宋" w:hAnsi="仿宋" w:cs="仿宋"/>
        </w:rPr>
        <w:t>亿，解析量超</w:t>
      </w:r>
      <w:r>
        <w:rPr>
          <w:rFonts w:ascii="仿宋" w:eastAsia="仿宋" w:hAnsi="仿宋" w:cs="仿宋"/>
        </w:rPr>
        <w:t>19</w:t>
      </w:r>
      <w:r>
        <w:rPr>
          <w:rFonts w:ascii="仿宋" w:eastAsia="仿宋" w:hAnsi="仿宋" w:cs="仿宋"/>
        </w:rPr>
        <w:t>亿。四是加快试点培育。积极拓展</w:t>
      </w:r>
      <w:r>
        <w:rPr>
          <w:rFonts w:ascii="仿宋" w:eastAsia="仿宋" w:hAnsi="仿宋" w:cs="仿宋"/>
        </w:rPr>
        <w:t>“5G+</w:t>
      </w:r>
      <w:r>
        <w:rPr>
          <w:rFonts w:ascii="仿宋" w:eastAsia="仿宋" w:hAnsi="仿宋" w:cs="仿宋"/>
        </w:rPr>
        <w:t>工业互联网</w:t>
      </w:r>
      <w:r>
        <w:rPr>
          <w:rFonts w:ascii="仿宋" w:eastAsia="仿宋" w:hAnsi="仿宋" w:cs="仿宋"/>
        </w:rPr>
        <w:t>”</w:t>
      </w:r>
      <w:r>
        <w:rPr>
          <w:rFonts w:ascii="仿宋" w:eastAsia="仿宋" w:hAnsi="仿宋" w:cs="仿宋"/>
        </w:rPr>
        <w:t>场景应用，钟楼经济开发区入</w:t>
      </w:r>
      <w:r>
        <w:rPr>
          <w:rFonts w:ascii="仿宋" w:eastAsia="仿宋" w:hAnsi="仿宋" w:cs="仿宋"/>
        </w:rPr>
        <w:t>选江苏省首批</w:t>
      </w:r>
      <w:r>
        <w:rPr>
          <w:rFonts w:ascii="仿宋" w:eastAsia="仿宋" w:hAnsi="仿宋" w:cs="仿宋"/>
        </w:rPr>
        <w:t>“5G+</w:t>
      </w:r>
      <w:r>
        <w:rPr>
          <w:rFonts w:ascii="仿宋" w:eastAsia="仿宋" w:hAnsi="仿宋" w:cs="仿宋"/>
        </w:rPr>
        <w:t>工业互联网</w:t>
      </w:r>
      <w:r>
        <w:rPr>
          <w:rFonts w:ascii="仿宋" w:eastAsia="仿宋" w:hAnsi="仿宋" w:cs="仿宋"/>
        </w:rPr>
        <w:t>”</w:t>
      </w:r>
      <w:r>
        <w:rPr>
          <w:rFonts w:ascii="仿宋" w:eastAsia="仿宋" w:hAnsi="仿宋" w:cs="仿宋"/>
        </w:rPr>
        <w:t>融合应用先导区培育对象名单。常州经开区获评国家新型工业化产业示范基地工业互联网平台赋能数字化转型提升试点；天宁区新型工业化产业示范基地和溧阳高新技术产业开发区入围江苏省工业互联网示范工程</w:t>
      </w:r>
      <w:r>
        <w:rPr>
          <w:rFonts w:ascii="仿宋" w:eastAsia="仿宋" w:hAnsi="仿宋" w:cs="仿宋"/>
        </w:rPr>
        <w:t>2022</w:t>
      </w:r>
      <w:r>
        <w:rPr>
          <w:rFonts w:ascii="仿宋" w:eastAsia="仿宋" w:hAnsi="仿宋" w:cs="仿宋"/>
        </w:rPr>
        <w:t>年度</w:t>
      </w:r>
      <w:r>
        <w:rPr>
          <w:rFonts w:ascii="仿宋" w:eastAsia="仿宋" w:hAnsi="仿宋" w:cs="仿宋"/>
        </w:rPr>
        <w:t>“</w:t>
      </w:r>
      <w:r>
        <w:rPr>
          <w:rFonts w:ascii="仿宋" w:eastAsia="仿宋" w:hAnsi="仿宋" w:cs="仿宋"/>
        </w:rPr>
        <w:t>互联网</w:t>
      </w:r>
      <w:r>
        <w:rPr>
          <w:rFonts w:ascii="仿宋" w:eastAsia="仿宋" w:hAnsi="仿宋" w:cs="仿宋"/>
        </w:rPr>
        <w:t>+</w:t>
      </w:r>
      <w:r>
        <w:rPr>
          <w:rFonts w:ascii="仿宋" w:eastAsia="仿宋" w:hAnsi="仿宋" w:cs="仿宋"/>
        </w:rPr>
        <w:t>先进制造业</w:t>
      </w:r>
      <w:r>
        <w:rPr>
          <w:rFonts w:ascii="仿宋" w:eastAsia="仿宋" w:hAnsi="仿宋" w:cs="仿宋"/>
        </w:rPr>
        <w:t>”</w:t>
      </w:r>
      <w:r>
        <w:rPr>
          <w:rFonts w:ascii="仿宋" w:eastAsia="仿宋" w:hAnsi="仿宋" w:cs="仿宋"/>
        </w:rPr>
        <w:t>特色产业基地；天宁经济开发区入选江苏省工业互联网标识创新应用特色产业示范区。五是强化标杆建设。在省内率先编制上云实施指南、业务系统云化迁移实施指南和云化产品目录，支持企业加快将核心业务向云平台迁移，上云企业累计突破</w:t>
      </w:r>
      <w:r>
        <w:rPr>
          <w:rFonts w:ascii="仿宋" w:eastAsia="仿宋" w:hAnsi="仿宋" w:cs="仿宋"/>
        </w:rPr>
        <w:t>1.5</w:t>
      </w:r>
      <w:r>
        <w:rPr>
          <w:rFonts w:ascii="仿宋" w:eastAsia="仿宋" w:hAnsi="仿宋" w:cs="仿宋"/>
        </w:rPr>
        <w:t>万家。新增省级智能制造示范工厂</w:t>
      </w:r>
      <w:r>
        <w:rPr>
          <w:rFonts w:ascii="仿宋" w:eastAsia="仿宋" w:hAnsi="仿宋" w:cs="仿宋"/>
        </w:rPr>
        <w:t>11</w:t>
      </w:r>
      <w:r>
        <w:rPr>
          <w:rFonts w:ascii="仿宋" w:eastAsia="仿宋" w:hAnsi="仿宋" w:cs="仿宋"/>
        </w:rPr>
        <w:t>家、全</w:t>
      </w:r>
      <w:r>
        <w:rPr>
          <w:rFonts w:ascii="仿宋" w:eastAsia="仿宋" w:hAnsi="仿宋" w:cs="仿宋"/>
        </w:rPr>
        <w:t>省第一，新增省级工业互联网工厂</w:t>
      </w:r>
      <w:r>
        <w:rPr>
          <w:rFonts w:ascii="仿宋" w:eastAsia="仿宋" w:hAnsi="仿宋" w:cs="仿宋"/>
        </w:rPr>
        <w:t>7</w:t>
      </w:r>
      <w:r>
        <w:rPr>
          <w:rFonts w:ascii="仿宋" w:eastAsia="仿宋" w:hAnsi="仿宋" w:cs="仿宋"/>
        </w:rPr>
        <w:t>家。建</w:t>
      </w:r>
      <w:r>
        <w:rPr>
          <w:rFonts w:ascii="仿宋" w:eastAsia="仿宋" w:hAnsi="仿宋" w:cs="仿宋"/>
        </w:rPr>
        <w:lastRenderedPageBreak/>
        <w:t>成</w:t>
      </w:r>
      <w:r>
        <w:rPr>
          <w:rFonts w:ascii="仿宋" w:eastAsia="仿宋" w:hAnsi="仿宋" w:cs="仿宋"/>
        </w:rPr>
        <w:t>2</w:t>
      </w:r>
      <w:r>
        <w:rPr>
          <w:rFonts w:ascii="仿宋" w:eastAsia="仿宋" w:hAnsi="仿宋" w:cs="仿宋"/>
        </w:rPr>
        <w:t>家省级</w:t>
      </w:r>
      <w:r>
        <w:rPr>
          <w:rFonts w:ascii="仿宋" w:eastAsia="仿宋" w:hAnsi="仿宋" w:cs="仿宋"/>
        </w:rPr>
        <w:t>5G</w:t>
      </w:r>
      <w:r>
        <w:rPr>
          <w:rFonts w:ascii="仿宋" w:eastAsia="仿宋" w:hAnsi="仿宋" w:cs="仿宋"/>
        </w:rPr>
        <w:t>全连接工厂。智云天工</w:t>
      </w:r>
      <w:r>
        <w:rPr>
          <w:rFonts w:ascii="仿宋" w:eastAsia="仿宋" w:hAnsi="仿宋" w:cs="仿宋"/>
        </w:rPr>
        <w:t>“</w:t>
      </w:r>
      <w:r>
        <w:rPr>
          <w:rFonts w:ascii="仿宋" w:eastAsia="仿宋" w:hAnsi="仿宋" w:cs="仿宋"/>
        </w:rPr>
        <w:t>超级虚拟工厂</w:t>
      </w:r>
      <w:r>
        <w:rPr>
          <w:rFonts w:ascii="仿宋" w:eastAsia="仿宋" w:hAnsi="仿宋" w:cs="仿宋"/>
        </w:rPr>
        <w:t>”</w:t>
      </w:r>
      <w:r>
        <w:rPr>
          <w:rFonts w:ascii="仿宋" w:eastAsia="仿宋" w:hAnsi="仿宋" w:cs="仿宋"/>
        </w:rPr>
        <w:t>平台积极发展共享制造，成效获新闻联播、焦点访谈节目专题报道。</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（五）坚持强化主体培育，企业队伍实现明显壮大。一是着力做强优势龙头企业。开展大企业集团培育对象摸底调研，梳理形成当年和更新</w:t>
      </w:r>
      <w:r>
        <w:rPr>
          <w:rFonts w:ascii="仿宋" w:eastAsia="仿宋" w:hAnsi="仿宋" w:cs="仿宋"/>
        </w:rPr>
        <w:t>“</w:t>
      </w:r>
      <w:r>
        <w:rPr>
          <w:rFonts w:ascii="仿宋" w:eastAsia="仿宋" w:hAnsi="仿宋" w:cs="仿宋"/>
        </w:rPr>
        <w:t>十四五</w:t>
      </w:r>
      <w:r>
        <w:rPr>
          <w:rFonts w:ascii="仿宋" w:eastAsia="仿宋" w:hAnsi="仿宋" w:cs="仿宋"/>
        </w:rPr>
        <w:t>”</w:t>
      </w:r>
      <w:r>
        <w:rPr>
          <w:rFonts w:ascii="仿宋" w:eastAsia="仿宋" w:hAnsi="仿宋" w:cs="仿宋"/>
        </w:rPr>
        <w:t>大企业集团培育库和分类名单，形成全市工业大企业（集团）基本情况综述，起草政策支持大企业发展理由，预计年内新增百亿级大企业（集团）</w:t>
      </w:r>
      <w:r>
        <w:rPr>
          <w:rFonts w:ascii="仿宋" w:eastAsia="仿宋" w:hAnsi="仿宋" w:cs="仿宋"/>
        </w:rPr>
        <w:t>8</w:t>
      </w:r>
      <w:r>
        <w:rPr>
          <w:rFonts w:ascii="仿宋" w:eastAsia="仿宋" w:hAnsi="仿宋" w:cs="仿宋"/>
        </w:rPr>
        <w:t>家左右，总数达</w:t>
      </w:r>
      <w:r>
        <w:rPr>
          <w:rFonts w:ascii="仿宋" w:eastAsia="仿宋" w:hAnsi="仿宋" w:cs="仿宋"/>
        </w:rPr>
        <w:t>23</w:t>
      </w:r>
      <w:r>
        <w:rPr>
          <w:rFonts w:ascii="仿宋" w:eastAsia="仿宋" w:hAnsi="仿宋" w:cs="仿宋"/>
        </w:rPr>
        <w:t>家左右。二是聚力发展</w:t>
      </w:r>
      <w:r>
        <w:rPr>
          <w:rFonts w:ascii="仿宋" w:eastAsia="仿宋" w:hAnsi="仿宋" w:cs="仿宋"/>
        </w:rPr>
        <w:t>“</w:t>
      </w:r>
      <w:r>
        <w:rPr>
          <w:rFonts w:ascii="仿宋" w:eastAsia="仿宋" w:hAnsi="仿宋" w:cs="仿宋"/>
        </w:rPr>
        <w:t>专精特新</w:t>
      </w:r>
      <w:r>
        <w:rPr>
          <w:rFonts w:ascii="仿宋" w:eastAsia="仿宋" w:hAnsi="仿宋" w:cs="仿宋"/>
        </w:rPr>
        <w:t>”</w:t>
      </w:r>
      <w:r>
        <w:rPr>
          <w:rFonts w:ascii="仿宋" w:eastAsia="仿宋" w:hAnsi="仿宋" w:cs="仿宋"/>
        </w:rPr>
        <w:t>中小企业。出台加快培育发展</w:t>
      </w:r>
      <w:r>
        <w:rPr>
          <w:rFonts w:ascii="仿宋" w:eastAsia="仿宋" w:hAnsi="仿宋" w:cs="仿宋"/>
        </w:rPr>
        <w:t>“</w:t>
      </w:r>
      <w:r>
        <w:rPr>
          <w:rFonts w:ascii="仿宋" w:eastAsia="仿宋" w:hAnsi="仿宋" w:cs="仿宋"/>
        </w:rPr>
        <w:t>专精特新</w:t>
      </w:r>
      <w:r>
        <w:rPr>
          <w:rFonts w:ascii="仿宋" w:eastAsia="仿宋" w:hAnsi="仿宋" w:cs="仿宋"/>
        </w:rPr>
        <w:t>”</w:t>
      </w:r>
      <w:r>
        <w:rPr>
          <w:rFonts w:ascii="仿宋" w:eastAsia="仿宋" w:hAnsi="仿宋" w:cs="仿宋"/>
        </w:rPr>
        <w:t>中小企业行动</w:t>
      </w:r>
      <w:r>
        <w:rPr>
          <w:rFonts w:ascii="仿宋" w:eastAsia="仿宋" w:hAnsi="仿宋" w:cs="仿宋"/>
        </w:rPr>
        <w:t>计划，从梯度培育、创新提升等六大方面提出</w:t>
      </w:r>
      <w:r>
        <w:rPr>
          <w:rFonts w:ascii="仿宋" w:eastAsia="仿宋" w:hAnsi="仿宋" w:cs="仿宋"/>
        </w:rPr>
        <w:t>26</w:t>
      </w:r>
      <w:r>
        <w:rPr>
          <w:rFonts w:ascii="仿宋" w:eastAsia="仿宋" w:hAnsi="仿宋" w:cs="仿宋"/>
        </w:rPr>
        <w:t>条重点任务。新增</w:t>
      </w:r>
      <w:r>
        <w:rPr>
          <w:rFonts w:ascii="仿宋" w:eastAsia="仿宋" w:hAnsi="仿宋" w:cs="仿宋"/>
        </w:rPr>
        <w:t>8</w:t>
      </w:r>
      <w:r>
        <w:rPr>
          <w:rFonts w:ascii="仿宋" w:eastAsia="仿宋" w:hAnsi="仿宋" w:cs="仿宋"/>
        </w:rPr>
        <w:t>家国家制造业单项冠军企业（产品），总数达</w:t>
      </w:r>
      <w:r>
        <w:rPr>
          <w:rFonts w:ascii="仿宋" w:eastAsia="仿宋" w:hAnsi="仿宋" w:cs="仿宋"/>
        </w:rPr>
        <w:t>32</w:t>
      </w:r>
      <w:r>
        <w:rPr>
          <w:rFonts w:ascii="仿宋" w:eastAsia="仿宋" w:hAnsi="仿宋" w:cs="仿宋"/>
        </w:rPr>
        <w:t>家、继续保持全省第一；新增</w:t>
      </w:r>
      <w:r>
        <w:rPr>
          <w:rFonts w:ascii="仿宋" w:eastAsia="仿宋" w:hAnsi="仿宋" w:cs="仿宋"/>
        </w:rPr>
        <w:t>53</w:t>
      </w:r>
      <w:r>
        <w:rPr>
          <w:rFonts w:ascii="仿宋" w:eastAsia="仿宋" w:hAnsi="仿宋" w:cs="仿宋"/>
        </w:rPr>
        <w:t>家国家专精特新</w:t>
      </w:r>
      <w:r>
        <w:rPr>
          <w:rFonts w:ascii="仿宋" w:eastAsia="仿宋" w:hAnsi="仿宋" w:cs="仿宋"/>
        </w:rPr>
        <w:t>“</w:t>
      </w:r>
      <w:r>
        <w:rPr>
          <w:rFonts w:ascii="仿宋" w:eastAsia="仿宋" w:hAnsi="仿宋" w:cs="仿宋"/>
        </w:rPr>
        <w:t>小巨人</w:t>
      </w:r>
      <w:r>
        <w:rPr>
          <w:rFonts w:ascii="仿宋" w:eastAsia="仿宋" w:hAnsi="仿宋" w:cs="仿宋"/>
        </w:rPr>
        <w:t>”</w:t>
      </w:r>
      <w:r>
        <w:rPr>
          <w:rFonts w:ascii="仿宋" w:eastAsia="仿宋" w:hAnsi="仿宋" w:cs="仿宋"/>
        </w:rPr>
        <w:t>企业，总数达</w:t>
      </w:r>
      <w:r>
        <w:rPr>
          <w:rFonts w:ascii="仿宋" w:eastAsia="仿宋" w:hAnsi="仿宋" w:cs="仿宋"/>
        </w:rPr>
        <w:t>81</w:t>
      </w:r>
      <w:r>
        <w:rPr>
          <w:rFonts w:ascii="仿宋" w:eastAsia="仿宋" w:hAnsi="仿宋" w:cs="仿宋"/>
        </w:rPr>
        <w:t>家、全省第四。新增省级专精特新中小企业</w:t>
      </w:r>
      <w:r>
        <w:rPr>
          <w:rFonts w:ascii="仿宋" w:eastAsia="仿宋" w:hAnsi="仿宋" w:cs="仿宋"/>
        </w:rPr>
        <w:t>388</w:t>
      </w:r>
      <w:r>
        <w:rPr>
          <w:rFonts w:ascii="仿宋" w:eastAsia="仿宋" w:hAnsi="仿宋" w:cs="仿宋"/>
        </w:rPr>
        <w:t>家。新认定市</w:t>
      </w:r>
      <w:r>
        <w:rPr>
          <w:rFonts w:ascii="仿宋" w:eastAsia="仿宋" w:hAnsi="仿宋" w:cs="仿宋"/>
        </w:rPr>
        <w:t>“</w:t>
      </w:r>
      <w:r>
        <w:rPr>
          <w:rFonts w:ascii="仿宋" w:eastAsia="仿宋" w:hAnsi="仿宋" w:cs="仿宋"/>
        </w:rPr>
        <w:t>专精特新</w:t>
      </w:r>
      <w:r>
        <w:rPr>
          <w:rFonts w:ascii="仿宋" w:eastAsia="仿宋" w:hAnsi="仿宋" w:cs="仿宋"/>
        </w:rPr>
        <w:t>”</w:t>
      </w:r>
      <w:r>
        <w:rPr>
          <w:rFonts w:ascii="仿宋" w:eastAsia="仿宋" w:hAnsi="仿宋" w:cs="仿宋"/>
        </w:rPr>
        <w:t>中小企业</w:t>
      </w:r>
      <w:r>
        <w:rPr>
          <w:rFonts w:ascii="仿宋" w:eastAsia="仿宋" w:hAnsi="仿宋" w:cs="仿宋"/>
        </w:rPr>
        <w:t>248</w:t>
      </w:r>
      <w:r>
        <w:rPr>
          <w:rFonts w:ascii="仿宋" w:eastAsia="仿宋" w:hAnsi="仿宋" w:cs="仿宋"/>
        </w:rPr>
        <w:t>家。三是努力打造典型示范企业。恒立液压获得中国工业大奖企业奖、新誉集团获得中国工业大奖项目奖、万帮数字能源和武进不锈获得中国工业大奖项目表彰奖，累计有</w:t>
      </w:r>
      <w:r>
        <w:rPr>
          <w:rFonts w:ascii="仿宋" w:eastAsia="仿宋" w:hAnsi="仿宋" w:cs="仿宋"/>
        </w:rPr>
        <w:t>11</w:t>
      </w:r>
      <w:r>
        <w:rPr>
          <w:rFonts w:ascii="仿宋" w:eastAsia="仿宋" w:hAnsi="仿宋" w:cs="仿宋"/>
        </w:rPr>
        <w:t>家企业荣获中国工业大奖的各类奖项，继续保持获奖数全国地级市领先地位。广泛开展质量标杆活动，新增国家质</w:t>
      </w:r>
      <w:r>
        <w:rPr>
          <w:rFonts w:ascii="仿宋" w:eastAsia="仿宋" w:hAnsi="仿宋" w:cs="仿宋"/>
        </w:rPr>
        <w:t>量标杆企业</w:t>
      </w:r>
      <w:r>
        <w:rPr>
          <w:rFonts w:ascii="仿宋" w:eastAsia="仿宋" w:hAnsi="仿宋" w:cs="仿宋"/>
        </w:rPr>
        <w:t>1</w:t>
      </w:r>
      <w:r>
        <w:rPr>
          <w:rFonts w:ascii="仿宋" w:eastAsia="仿宋" w:hAnsi="仿宋" w:cs="仿宋"/>
        </w:rPr>
        <w:t>家、省质量标杆企业</w:t>
      </w:r>
      <w:r>
        <w:rPr>
          <w:rFonts w:ascii="仿宋" w:eastAsia="仿宋" w:hAnsi="仿宋" w:cs="仿宋"/>
        </w:rPr>
        <w:t>4</w:t>
      </w:r>
      <w:r>
        <w:rPr>
          <w:rFonts w:ascii="仿宋" w:eastAsia="仿宋" w:hAnsi="仿宋" w:cs="仿宋"/>
        </w:rPr>
        <w:t>家。四是有力推进服务型制造发展。新增国家级示范企业</w:t>
      </w:r>
      <w:r>
        <w:rPr>
          <w:rFonts w:ascii="仿宋" w:eastAsia="仿宋" w:hAnsi="仿宋" w:cs="仿宋"/>
        </w:rPr>
        <w:t>4</w:t>
      </w:r>
      <w:r>
        <w:rPr>
          <w:rFonts w:ascii="仿宋" w:eastAsia="仿宋" w:hAnsi="仿宋" w:cs="仿宋"/>
        </w:rPr>
        <w:t>家、共享制造示范项目</w:t>
      </w:r>
      <w:r>
        <w:rPr>
          <w:rFonts w:ascii="仿宋" w:eastAsia="仿宋" w:hAnsi="仿宋" w:cs="仿宋"/>
        </w:rPr>
        <w:t>2</w:t>
      </w:r>
      <w:r>
        <w:rPr>
          <w:rFonts w:ascii="仿宋" w:eastAsia="仿宋" w:hAnsi="仿宋" w:cs="仿宋"/>
        </w:rPr>
        <w:t>个，省级服务型制造示范企业</w:t>
      </w:r>
      <w:r>
        <w:rPr>
          <w:rFonts w:ascii="仿宋" w:eastAsia="仿宋" w:hAnsi="仿宋" w:cs="仿宋"/>
        </w:rPr>
        <w:t>18</w:t>
      </w:r>
      <w:r>
        <w:rPr>
          <w:rFonts w:ascii="仿宋" w:eastAsia="仿宋" w:hAnsi="仿宋" w:cs="仿宋"/>
        </w:rPr>
        <w:t>家、平台</w:t>
      </w:r>
      <w:r>
        <w:rPr>
          <w:rFonts w:ascii="仿宋" w:eastAsia="仿宋" w:hAnsi="仿宋" w:cs="仿宋"/>
        </w:rPr>
        <w:t>7</w:t>
      </w:r>
      <w:r>
        <w:rPr>
          <w:rFonts w:ascii="仿宋" w:eastAsia="仿宋" w:hAnsi="仿宋" w:cs="仿宋"/>
        </w:rPr>
        <w:t>个，均列全省第一。承办</w:t>
      </w:r>
      <w:r>
        <w:rPr>
          <w:rFonts w:ascii="仿宋" w:eastAsia="仿宋" w:hAnsi="仿宋" w:cs="仿宋"/>
        </w:rPr>
        <w:t>2022“</w:t>
      </w:r>
      <w:r>
        <w:rPr>
          <w:rFonts w:ascii="仿宋" w:eastAsia="仿宋" w:hAnsi="仿宋" w:cs="仿宋"/>
        </w:rPr>
        <w:t>紫金奖</w:t>
      </w:r>
      <w:r>
        <w:rPr>
          <w:rFonts w:ascii="仿宋" w:eastAsia="仿宋" w:hAnsi="仿宋" w:cs="仿宋"/>
        </w:rPr>
        <w:t>·</w:t>
      </w:r>
      <w:r>
        <w:rPr>
          <w:rFonts w:ascii="仿宋" w:eastAsia="仿宋" w:hAnsi="仿宋" w:cs="仿宋"/>
        </w:rPr>
        <w:t>工业设计大赛</w:t>
      </w:r>
      <w:r>
        <w:rPr>
          <w:rFonts w:ascii="仿宋" w:eastAsia="仿宋" w:hAnsi="仿宋" w:cs="仿宋"/>
        </w:rPr>
        <w:t>”</w:t>
      </w:r>
      <w:r>
        <w:rPr>
          <w:rFonts w:ascii="仿宋" w:eastAsia="仿宋" w:hAnsi="仿宋" w:cs="仿宋"/>
        </w:rPr>
        <w:t>，组织巡回宣推会</w:t>
      </w:r>
      <w:r>
        <w:rPr>
          <w:rFonts w:ascii="仿宋" w:eastAsia="仿宋" w:hAnsi="仿宋" w:cs="仿宋"/>
        </w:rPr>
        <w:t>5</w:t>
      </w:r>
      <w:r>
        <w:rPr>
          <w:rFonts w:ascii="仿宋" w:eastAsia="仿宋" w:hAnsi="仿宋" w:cs="仿宋"/>
        </w:rPr>
        <w:t>场，服务师生</w:t>
      </w:r>
      <w:r>
        <w:rPr>
          <w:rFonts w:ascii="仿宋" w:eastAsia="仿宋" w:hAnsi="仿宋" w:cs="仿宋"/>
        </w:rPr>
        <w:t>3000</w:t>
      </w:r>
      <w:r>
        <w:rPr>
          <w:rFonts w:ascii="仿宋" w:eastAsia="仿宋" w:hAnsi="仿宋" w:cs="仿宋"/>
        </w:rPr>
        <w:t>多人次、企业</w:t>
      </w:r>
      <w:r>
        <w:rPr>
          <w:rFonts w:ascii="仿宋" w:eastAsia="仿宋" w:hAnsi="仿宋" w:cs="仿宋"/>
        </w:rPr>
        <w:t>100</w:t>
      </w:r>
      <w:r>
        <w:rPr>
          <w:rFonts w:ascii="仿宋" w:eastAsia="仿宋" w:hAnsi="仿宋" w:cs="仿宋"/>
        </w:rPr>
        <w:t>多家，征集</w:t>
      </w:r>
      <w:r>
        <w:rPr>
          <w:rFonts w:ascii="仿宋" w:eastAsia="仿宋" w:hAnsi="仿宋" w:cs="仿宋"/>
        </w:rPr>
        <w:t>120</w:t>
      </w:r>
      <w:r>
        <w:rPr>
          <w:rFonts w:ascii="仿宋" w:eastAsia="仿宋" w:hAnsi="仿宋" w:cs="仿宋"/>
        </w:rPr>
        <w:t>多件产品（作品）参赛，进一步激发了工业设计创新创业活力。加</w:t>
      </w:r>
      <w:r>
        <w:rPr>
          <w:rFonts w:ascii="仿宋" w:eastAsia="仿宋" w:hAnsi="仿宋" w:cs="仿宋"/>
        </w:rPr>
        <w:lastRenderedPageBreak/>
        <w:t>大工业设计中心培育力度，小牛电动科技等</w:t>
      </w:r>
      <w:r>
        <w:rPr>
          <w:rFonts w:ascii="仿宋" w:eastAsia="仿宋" w:hAnsi="仿宋" w:cs="仿宋"/>
        </w:rPr>
        <w:t>14</w:t>
      </w:r>
      <w:r>
        <w:rPr>
          <w:rFonts w:ascii="仿宋" w:eastAsia="仿宋" w:hAnsi="仿宋" w:cs="仿宋"/>
        </w:rPr>
        <w:t>家企业获省级工业设计中心称号、全省第二。</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（六）坚持守住两条底线，发展质效实现有效改善。一是推进化工安全环保整治提升工作。对照</w:t>
      </w:r>
      <w:r>
        <w:rPr>
          <w:rFonts w:ascii="仿宋" w:eastAsia="仿宋" w:hAnsi="仿宋" w:cs="仿宋"/>
        </w:rPr>
        <w:t>“</w:t>
      </w:r>
      <w:r>
        <w:rPr>
          <w:rFonts w:ascii="仿宋" w:eastAsia="仿宋" w:hAnsi="仿宋" w:cs="仿宋"/>
        </w:rPr>
        <w:t>一企一策</w:t>
      </w:r>
      <w:r>
        <w:rPr>
          <w:rFonts w:ascii="仿宋" w:eastAsia="仿宋" w:hAnsi="仿宋" w:cs="仿宋"/>
        </w:rPr>
        <w:t>”</w:t>
      </w:r>
      <w:r>
        <w:rPr>
          <w:rFonts w:ascii="仿宋" w:eastAsia="仿宋" w:hAnsi="仿宋" w:cs="仿宋"/>
        </w:rPr>
        <w:t>处</w:t>
      </w:r>
      <w:r>
        <w:rPr>
          <w:rFonts w:ascii="仿宋" w:eastAsia="仿宋" w:hAnsi="仿宋" w:cs="仿宋"/>
        </w:rPr>
        <w:t>置建议，进一步明确关闭退出和搬迁重组化工企业数量、名单、工作推进时间节点等要求，制定</w:t>
      </w:r>
      <w:r>
        <w:rPr>
          <w:rFonts w:ascii="仿宋" w:eastAsia="仿宋" w:hAnsi="仿宋" w:cs="仿宋"/>
        </w:rPr>
        <w:t>“</w:t>
      </w:r>
      <w:r>
        <w:rPr>
          <w:rFonts w:ascii="仿宋" w:eastAsia="仿宋" w:hAnsi="仿宋" w:cs="仿宋"/>
        </w:rPr>
        <w:t>一企一案</w:t>
      </w:r>
      <w:r>
        <w:rPr>
          <w:rFonts w:ascii="仿宋" w:eastAsia="仿宋" w:hAnsi="仿宋" w:cs="仿宋"/>
        </w:rPr>
        <w:t>”</w:t>
      </w:r>
      <w:r>
        <w:rPr>
          <w:rFonts w:ascii="仿宋" w:eastAsia="仿宋" w:hAnsi="仿宋" w:cs="仿宋"/>
        </w:rPr>
        <w:t>，对重点地区加强指导和督查，全面完成省下达目标任务。完成常州滨江经济开发区新材料产业园四至范围优化调整工作，积极推进园区绿色转型发展。二是推进节能减排降耗工作。加强上下联动，及时掌握了解各地节能形势，对完成进度落后的地区及时进行预警，督促分析查找原因，制定整改措施。通过政策引导、宣传发动鼓励企业加快节能减排项目建设。完成</w:t>
      </w:r>
      <w:r>
        <w:rPr>
          <w:rFonts w:ascii="仿宋" w:eastAsia="仿宋" w:hAnsi="仿宋" w:cs="仿宋"/>
        </w:rPr>
        <w:t>71</w:t>
      </w:r>
      <w:r>
        <w:rPr>
          <w:rFonts w:ascii="仿宋" w:eastAsia="仿宋" w:hAnsi="仿宋" w:cs="仿宋"/>
        </w:rPr>
        <w:t>家企业国家、省专项节能监察，</w:t>
      </w:r>
      <w:r>
        <w:rPr>
          <w:rFonts w:ascii="仿宋" w:eastAsia="仿宋" w:hAnsi="仿宋" w:cs="仿宋"/>
        </w:rPr>
        <w:t>47</w:t>
      </w:r>
      <w:r>
        <w:rPr>
          <w:rFonts w:ascii="仿宋" w:eastAsia="仿宋" w:hAnsi="仿宋" w:cs="仿宋"/>
        </w:rPr>
        <w:t>家工业企业、</w:t>
      </w:r>
      <w:r>
        <w:rPr>
          <w:rFonts w:ascii="仿宋" w:eastAsia="仿宋" w:hAnsi="仿宋" w:cs="仿宋"/>
        </w:rPr>
        <w:t>5</w:t>
      </w:r>
      <w:r>
        <w:rPr>
          <w:rFonts w:ascii="仿宋" w:eastAsia="仿宋" w:hAnsi="仿宋" w:cs="仿宋"/>
        </w:rPr>
        <w:t>家公共机构能源审计。推动新墙材和预拌砂浆生产</w:t>
      </w:r>
      <w:r>
        <w:rPr>
          <w:rFonts w:ascii="仿宋" w:eastAsia="仿宋" w:hAnsi="仿宋" w:cs="仿宋"/>
        </w:rPr>
        <w:t>企业绿色低碳发展，</w:t>
      </w:r>
      <w:r>
        <w:rPr>
          <w:rFonts w:ascii="仿宋" w:eastAsia="仿宋" w:hAnsi="仿宋" w:cs="仿宋"/>
        </w:rPr>
        <w:t>3</w:t>
      </w:r>
      <w:r>
        <w:rPr>
          <w:rFonts w:ascii="仿宋" w:eastAsia="仿宋" w:hAnsi="仿宋" w:cs="仿宋"/>
        </w:rPr>
        <w:t>家企业获国家三星级绿色建材产品认证，累计达</w:t>
      </w:r>
      <w:r>
        <w:rPr>
          <w:rFonts w:ascii="仿宋" w:eastAsia="仿宋" w:hAnsi="仿宋" w:cs="仿宋"/>
        </w:rPr>
        <w:t>32</w:t>
      </w:r>
      <w:r>
        <w:rPr>
          <w:rFonts w:ascii="仿宋" w:eastAsia="仿宋" w:hAnsi="仿宋" w:cs="仿宋"/>
        </w:rPr>
        <w:t>家，总数居全省第一。三是推进绿色制造体系建设。编制《常州市工业绿色制造体系建设专项行动方案》，列入市生态文明建设十大专项行动方案之一。组继续开展</w:t>
      </w:r>
      <w:r>
        <w:rPr>
          <w:rFonts w:ascii="仿宋" w:eastAsia="仿宋" w:hAnsi="仿宋" w:cs="仿宋"/>
        </w:rPr>
        <w:t>“</w:t>
      </w:r>
      <w:r>
        <w:rPr>
          <w:rFonts w:ascii="仿宋" w:eastAsia="仿宋" w:hAnsi="仿宋" w:cs="仿宋"/>
        </w:rPr>
        <w:t>两高</w:t>
      </w:r>
      <w:r>
        <w:rPr>
          <w:rFonts w:ascii="仿宋" w:eastAsia="仿宋" w:hAnsi="仿宋" w:cs="仿宋"/>
        </w:rPr>
        <w:t>”</w:t>
      </w:r>
      <w:r>
        <w:rPr>
          <w:rFonts w:ascii="仿宋" w:eastAsia="仿宋" w:hAnsi="仿宋" w:cs="仿宋"/>
        </w:rPr>
        <w:t>技改项目梳理工作，更新</w:t>
      </w:r>
      <w:r>
        <w:rPr>
          <w:rFonts w:ascii="仿宋" w:eastAsia="仿宋" w:hAnsi="仿宋" w:cs="仿宋"/>
        </w:rPr>
        <w:t>“</w:t>
      </w:r>
      <w:r>
        <w:rPr>
          <w:rFonts w:ascii="仿宋" w:eastAsia="仿宋" w:hAnsi="仿宋" w:cs="仿宋"/>
        </w:rPr>
        <w:t>两高</w:t>
      </w:r>
      <w:r>
        <w:rPr>
          <w:rFonts w:ascii="仿宋" w:eastAsia="仿宋" w:hAnsi="仿宋" w:cs="仿宋"/>
        </w:rPr>
        <w:t>”</w:t>
      </w:r>
      <w:r>
        <w:rPr>
          <w:rFonts w:ascii="仿宋" w:eastAsia="仿宋" w:hAnsi="仿宋" w:cs="仿宋"/>
        </w:rPr>
        <w:t>技改项目清单，推进</w:t>
      </w:r>
      <w:r>
        <w:rPr>
          <w:rFonts w:ascii="仿宋" w:eastAsia="仿宋" w:hAnsi="仿宋" w:cs="仿宋"/>
        </w:rPr>
        <w:t>“</w:t>
      </w:r>
      <w:r>
        <w:rPr>
          <w:rFonts w:ascii="仿宋" w:eastAsia="仿宋" w:hAnsi="仿宋" w:cs="仿宋"/>
        </w:rPr>
        <w:t>两高</w:t>
      </w:r>
      <w:r>
        <w:rPr>
          <w:rFonts w:ascii="仿宋" w:eastAsia="仿宋" w:hAnsi="仿宋" w:cs="仿宋"/>
        </w:rPr>
        <w:t>”</w:t>
      </w:r>
      <w:r>
        <w:rPr>
          <w:rFonts w:ascii="仿宋" w:eastAsia="仿宋" w:hAnsi="仿宋" w:cs="仿宋"/>
        </w:rPr>
        <w:t>技改项目整改，加快问题项目处置。组织申报国家绿色园区</w:t>
      </w:r>
      <w:r>
        <w:rPr>
          <w:rFonts w:ascii="仿宋" w:eastAsia="仿宋" w:hAnsi="仿宋" w:cs="仿宋"/>
        </w:rPr>
        <w:t>3</w:t>
      </w:r>
      <w:r>
        <w:rPr>
          <w:rFonts w:ascii="仿宋" w:eastAsia="仿宋" w:hAnsi="仿宋" w:cs="仿宋"/>
        </w:rPr>
        <w:t>个、绿色工厂</w:t>
      </w:r>
      <w:r>
        <w:rPr>
          <w:rFonts w:ascii="仿宋" w:eastAsia="仿宋" w:hAnsi="仿宋" w:cs="仿宋"/>
        </w:rPr>
        <w:t>14</w:t>
      </w:r>
      <w:r>
        <w:rPr>
          <w:rFonts w:ascii="仿宋" w:eastAsia="仿宋" w:hAnsi="仿宋" w:cs="仿宋"/>
        </w:rPr>
        <w:t>家、绿色供应链管理企业</w:t>
      </w:r>
      <w:r>
        <w:rPr>
          <w:rFonts w:ascii="仿宋" w:eastAsia="仿宋" w:hAnsi="仿宋" w:cs="仿宋"/>
        </w:rPr>
        <w:t>6</w:t>
      </w:r>
      <w:r>
        <w:rPr>
          <w:rFonts w:ascii="仿宋" w:eastAsia="仿宋" w:hAnsi="仿宋" w:cs="仿宋"/>
        </w:rPr>
        <w:t>家、绿色设计产品</w:t>
      </w:r>
      <w:r>
        <w:rPr>
          <w:rFonts w:ascii="仿宋" w:eastAsia="仿宋" w:hAnsi="仿宋" w:cs="仿宋"/>
        </w:rPr>
        <w:t>14</w:t>
      </w:r>
      <w:r>
        <w:rPr>
          <w:rFonts w:ascii="仿宋" w:eastAsia="仿宋" w:hAnsi="仿宋" w:cs="仿宋"/>
        </w:rPr>
        <w:t>只，省级绿色工厂</w:t>
      </w:r>
      <w:r>
        <w:rPr>
          <w:rFonts w:ascii="仿宋" w:eastAsia="仿宋" w:hAnsi="仿宋" w:cs="仿宋"/>
        </w:rPr>
        <w:t>29</w:t>
      </w:r>
      <w:r>
        <w:rPr>
          <w:rFonts w:ascii="仿宋" w:eastAsia="仿宋" w:hAnsi="仿宋" w:cs="仿宋"/>
        </w:rPr>
        <w:t>家；认定市级绿色工厂</w:t>
      </w:r>
      <w:r>
        <w:rPr>
          <w:rFonts w:ascii="仿宋" w:eastAsia="仿宋" w:hAnsi="仿宋" w:cs="仿宋"/>
        </w:rPr>
        <w:t>59</w:t>
      </w:r>
      <w:r>
        <w:rPr>
          <w:rFonts w:ascii="仿宋" w:eastAsia="仿宋" w:hAnsi="仿宋" w:cs="仿宋"/>
        </w:rPr>
        <w:t>家。新增</w:t>
      </w:r>
      <w:r>
        <w:rPr>
          <w:rFonts w:ascii="仿宋" w:eastAsia="仿宋" w:hAnsi="仿宋" w:cs="仿宋"/>
        </w:rPr>
        <w:t>2</w:t>
      </w:r>
      <w:r>
        <w:rPr>
          <w:rFonts w:ascii="仿宋" w:eastAsia="仿宋" w:hAnsi="仿宋" w:cs="仿宋"/>
        </w:rPr>
        <w:t>家国家级工业产品绿色设计示范企业，</w:t>
      </w:r>
      <w:r>
        <w:rPr>
          <w:rFonts w:ascii="仿宋" w:eastAsia="仿宋" w:hAnsi="仿宋" w:cs="仿宋"/>
        </w:rPr>
        <w:t>2</w:t>
      </w:r>
      <w:r>
        <w:rPr>
          <w:rFonts w:ascii="仿宋" w:eastAsia="仿宋" w:hAnsi="仿宋" w:cs="仿宋"/>
        </w:rPr>
        <w:t>家符合环保装备制造业规范条件企业；</w:t>
      </w:r>
      <w:r>
        <w:rPr>
          <w:rFonts w:ascii="仿宋" w:eastAsia="仿宋" w:hAnsi="仿宋" w:cs="仿宋"/>
        </w:rPr>
        <w:t>1</w:t>
      </w:r>
      <w:r>
        <w:rPr>
          <w:rFonts w:ascii="仿宋" w:eastAsia="仿宋" w:hAnsi="仿宋" w:cs="仿宋"/>
        </w:rPr>
        <w:t>家企业节能技术和</w:t>
      </w:r>
      <w:r>
        <w:rPr>
          <w:rFonts w:ascii="仿宋" w:eastAsia="仿宋" w:hAnsi="仿宋" w:cs="仿宋"/>
        </w:rPr>
        <w:t>2</w:t>
      </w:r>
      <w:r>
        <w:rPr>
          <w:rFonts w:ascii="仿宋" w:eastAsia="仿宋" w:hAnsi="仿宋" w:cs="仿宋"/>
        </w:rPr>
        <w:t>家企业装备入围国家节能技术装备产品目录。创新开展全国</w:t>
      </w:r>
      <w:r>
        <w:rPr>
          <w:rFonts w:ascii="仿宋" w:eastAsia="仿宋" w:hAnsi="仿宋" w:cs="仿宋"/>
        </w:rPr>
        <w:lastRenderedPageBreak/>
        <w:t>节能宣传周活动，在全省开通首列</w:t>
      </w:r>
      <w:r>
        <w:rPr>
          <w:rFonts w:ascii="仿宋" w:eastAsia="仿宋" w:hAnsi="仿宋" w:cs="仿宋"/>
        </w:rPr>
        <w:t>“</w:t>
      </w:r>
      <w:r>
        <w:rPr>
          <w:rFonts w:ascii="仿宋" w:eastAsia="仿宋" w:hAnsi="仿宋" w:cs="仿宋"/>
        </w:rPr>
        <w:t>节能低碳号</w:t>
      </w:r>
      <w:r>
        <w:rPr>
          <w:rFonts w:ascii="仿宋" w:eastAsia="仿宋" w:hAnsi="仿宋" w:cs="仿宋"/>
        </w:rPr>
        <w:t>”</w:t>
      </w:r>
      <w:r>
        <w:rPr>
          <w:rFonts w:ascii="仿宋" w:eastAsia="仿宋" w:hAnsi="仿宋" w:cs="仿宋"/>
        </w:rPr>
        <w:t>地铁专列。四是压实行业管理职责。重点强化民爆、船舶制造业安全大检查、消防</w:t>
      </w:r>
      <w:r>
        <w:rPr>
          <w:rFonts w:ascii="仿宋" w:eastAsia="仿宋" w:hAnsi="仿宋" w:cs="仿宋"/>
        </w:rPr>
        <w:t>“</w:t>
      </w:r>
      <w:r>
        <w:rPr>
          <w:rFonts w:ascii="仿宋" w:eastAsia="仿宋" w:hAnsi="仿宋" w:cs="仿宋"/>
        </w:rPr>
        <w:t>除患治违</w:t>
      </w:r>
      <w:r>
        <w:rPr>
          <w:rFonts w:ascii="仿宋" w:eastAsia="仿宋" w:hAnsi="仿宋" w:cs="仿宋"/>
        </w:rPr>
        <w:t>”</w:t>
      </w:r>
      <w:r>
        <w:rPr>
          <w:rFonts w:ascii="仿宋" w:eastAsia="仿宋" w:hAnsi="仿宋" w:cs="仿宋"/>
        </w:rPr>
        <w:t>和既有建筑隐患排查等专项整治工作。大力推进铸造和印染行业综合整治提升工作。指导督促钢铁企业合规开展产能置换，有推进稀土、铝加工</w:t>
      </w:r>
      <w:r>
        <w:rPr>
          <w:rFonts w:ascii="仿宋" w:eastAsia="仿宋" w:hAnsi="仿宋" w:cs="仿宋"/>
        </w:rPr>
        <w:t>(</w:t>
      </w:r>
      <w:r>
        <w:rPr>
          <w:rFonts w:ascii="仿宋" w:eastAsia="仿宋" w:hAnsi="仿宋" w:cs="仿宋"/>
        </w:rPr>
        <w:t>深井铸造</w:t>
      </w:r>
      <w:r>
        <w:rPr>
          <w:rFonts w:ascii="仿宋" w:eastAsia="仿宋" w:hAnsi="仿宋" w:cs="仿宋"/>
        </w:rPr>
        <w:t>)</w:t>
      </w:r>
      <w:r>
        <w:rPr>
          <w:rFonts w:ascii="仿宋" w:eastAsia="仿宋" w:hAnsi="仿宋" w:cs="仿宋"/>
        </w:rPr>
        <w:t>行业综合整治，开展烧结砖瓦行业整治</w:t>
      </w:r>
      <w:r>
        <w:rPr>
          <w:rFonts w:ascii="仿宋" w:eastAsia="仿宋" w:hAnsi="仿宋" w:cs="仿宋"/>
        </w:rPr>
        <w:t>“</w:t>
      </w:r>
      <w:r>
        <w:rPr>
          <w:rFonts w:ascii="仿宋" w:eastAsia="仿宋" w:hAnsi="仿宋" w:cs="仿宋"/>
        </w:rPr>
        <w:t>回头看</w:t>
      </w:r>
      <w:r>
        <w:rPr>
          <w:rFonts w:ascii="仿宋" w:eastAsia="仿宋" w:hAnsi="仿宋" w:cs="仿宋"/>
        </w:rPr>
        <w:t>”</w:t>
      </w:r>
      <w:r>
        <w:rPr>
          <w:rFonts w:ascii="仿宋" w:eastAsia="仿宋" w:hAnsi="仿宋" w:cs="仿宋"/>
        </w:rPr>
        <w:t>和铁合金生产企业情况摸底调查，持续跟踪建材行业重点企业运行情况等。加强食盐专营管理。推进应急产业发展，江苏中关村科技产业园控股集团</w:t>
      </w:r>
      <w:r>
        <w:rPr>
          <w:rFonts w:ascii="仿宋" w:eastAsia="仿宋" w:hAnsi="仿宋" w:cs="仿宋"/>
        </w:rPr>
        <w:t>有限公司入选第六批全国工业领域电力需求侧管理示范园区名单。</w:t>
      </w:r>
    </w:p>
    <w:p w:rsidR="00AF0ECA" w:rsidRDefault="00996CB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（七）坚持提升服务水准，发展环境实现全面优化。一是全力激发党建活力。探索开展产业链党建工作，牵头成立产业链综合党委，下设</w:t>
      </w:r>
      <w:r>
        <w:rPr>
          <w:rFonts w:ascii="仿宋" w:eastAsia="仿宋" w:hAnsi="仿宋" w:cs="仿宋"/>
        </w:rPr>
        <w:t>5</w:t>
      </w:r>
      <w:r>
        <w:rPr>
          <w:rFonts w:ascii="仿宋" w:eastAsia="仿宋" w:hAnsi="仿宋" w:cs="仿宋"/>
        </w:rPr>
        <w:t>个产业链党委，搭建起</w:t>
      </w:r>
      <w:r>
        <w:rPr>
          <w:rFonts w:ascii="仿宋" w:eastAsia="仿宋" w:hAnsi="仿宋" w:cs="仿宋"/>
        </w:rPr>
        <w:t>“</w:t>
      </w:r>
      <w:r>
        <w:rPr>
          <w:rFonts w:ascii="仿宋" w:eastAsia="仿宋" w:hAnsi="仿宋" w:cs="仿宋"/>
        </w:rPr>
        <w:t>产业链综合党委统筹协调、产业链党委具体负责、链上党组织落地执行</w:t>
      </w:r>
      <w:r>
        <w:rPr>
          <w:rFonts w:ascii="仿宋" w:eastAsia="仿宋" w:hAnsi="仿宋" w:cs="仿宋"/>
        </w:rPr>
        <w:t>”</w:t>
      </w:r>
      <w:r>
        <w:rPr>
          <w:rFonts w:ascii="仿宋" w:eastAsia="仿宋" w:hAnsi="仿宋" w:cs="仿宋"/>
        </w:rPr>
        <w:t>三级管理架构雏形。出台年轻党员干部挂钩联系优势产业链工作推进方案，建立</w:t>
      </w:r>
      <w:r>
        <w:rPr>
          <w:rFonts w:ascii="仿宋" w:eastAsia="仿宋" w:hAnsi="仿宋" w:cs="仿宋"/>
        </w:rPr>
        <w:t>“</w:t>
      </w:r>
      <w:r>
        <w:rPr>
          <w:rFonts w:ascii="仿宋" w:eastAsia="仿宋" w:hAnsi="仿宋" w:cs="仿宋"/>
        </w:rPr>
        <w:t>强学优链青年训练营</w:t>
      </w:r>
      <w:r>
        <w:rPr>
          <w:rFonts w:ascii="仿宋" w:eastAsia="仿宋" w:hAnsi="仿宋" w:cs="仿宋"/>
        </w:rPr>
        <w:t>”</w:t>
      </w:r>
      <w:r>
        <w:rPr>
          <w:rFonts w:ascii="仿宋" w:eastAsia="仿宋" w:hAnsi="仿宋" w:cs="仿宋"/>
        </w:rPr>
        <w:t>，实现绿色精品钢、大数据等</w:t>
      </w:r>
      <w:r>
        <w:rPr>
          <w:rFonts w:ascii="仿宋" w:eastAsia="仿宋" w:hAnsi="仿宋" w:cs="仿宋"/>
        </w:rPr>
        <w:t>23</w:t>
      </w:r>
      <w:r>
        <w:rPr>
          <w:rFonts w:ascii="仿宋" w:eastAsia="仿宋" w:hAnsi="仿宋" w:cs="仿宋"/>
        </w:rPr>
        <w:t>条优势产业链</w:t>
      </w:r>
      <w:r>
        <w:rPr>
          <w:rFonts w:ascii="仿宋" w:eastAsia="仿宋" w:hAnsi="仿宋" w:cs="仿宋"/>
        </w:rPr>
        <w:t>“</w:t>
      </w:r>
      <w:r>
        <w:rPr>
          <w:rFonts w:ascii="仿宋" w:eastAsia="仿宋" w:hAnsi="仿宋" w:cs="仿宋"/>
        </w:rPr>
        <w:t>一人一链</w:t>
      </w:r>
      <w:r>
        <w:rPr>
          <w:rFonts w:ascii="仿宋" w:eastAsia="仿宋" w:hAnsi="仿宋" w:cs="仿宋"/>
        </w:rPr>
        <w:t>”</w:t>
      </w:r>
      <w:r>
        <w:rPr>
          <w:rFonts w:ascii="仿宋" w:eastAsia="仿宋" w:hAnsi="仿宋" w:cs="仿宋"/>
        </w:rPr>
        <w:t>全覆盖，激励年轻党员立足岗位，不断提升业务能力和履职能力。二是全力强化交流合作。克服疫情影响，围绕</w:t>
      </w:r>
      <w:r>
        <w:rPr>
          <w:rFonts w:ascii="仿宋" w:eastAsia="仿宋" w:hAnsi="仿宋" w:cs="仿宋"/>
        </w:rPr>
        <w:t>重点工作，线上线下举办工信讲坛进企业培训班</w:t>
      </w:r>
      <w:r>
        <w:rPr>
          <w:rFonts w:ascii="仿宋" w:eastAsia="仿宋" w:hAnsi="仿宋" w:cs="仿宋"/>
        </w:rPr>
        <w:t>20</w:t>
      </w:r>
      <w:r>
        <w:rPr>
          <w:rFonts w:ascii="仿宋" w:eastAsia="仿宋" w:hAnsi="仿宋" w:cs="仿宋"/>
        </w:rPr>
        <w:t>期；先后为江苏龙骏和新疆克拉玛依独山子区、辽宁省沈阳市法库县、陕西韩城市及湖北省荆门市高新区进行联系对接，达成初步合作意向。加强涉军企业指导服务，推动军地合作对接。三是全力优化服务机制。围绕实施长江经济带发展、长三角区域一体化发展、苏南国家自主创新示范区建设等重大战略，注重加强区域立法协</w:t>
      </w:r>
      <w:r>
        <w:rPr>
          <w:rFonts w:ascii="仿宋" w:eastAsia="仿宋" w:hAnsi="仿宋" w:cs="仿宋"/>
        </w:rPr>
        <w:lastRenderedPageBreak/>
        <w:t>同，着力创新一体化发展体制机制。依据《常州市人民政府</w:t>
      </w:r>
      <w:r>
        <w:rPr>
          <w:rFonts w:ascii="仿宋" w:eastAsia="仿宋" w:hAnsi="仿宋" w:cs="仿宋"/>
        </w:rPr>
        <w:t>2022</w:t>
      </w:r>
      <w:r>
        <w:rPr>
          <w:rFonts w:ascii="仿宋" w:eastAsia="仿宋" w:hAnsi="仿宋" w:cs="仿宋"/>
        </w:rPr>
        <w:t>年度立法计划》，开展</w:t>
      </w:r>
      <w:r>
        <w:rPr>
          <w:rFonts w:ascii="仿宋" w:eastAsia="仿宋" w:hAnsi="仿宋" w:cs="仿宋"/>
        </w:rPr>
        <w:t>“</w:t>
      </w:r>
      <w:r>
        <w:rPr>
          <w:rFonts w:ascii="仿宋" w:eastAsia="仿宋" w:hAnsi="仿宋" w:cs="仿宋"/>
        </w:rPr>
        <w:t>常州市促进智能制造发展条例</w:t>
      </w:r>
      <w:r>
        <w:rPr>
          <w:rFonts w:ascii="仿宋" w:eastAsia="仿宋" w:hAnsi="仿宋" w:cs="仿宋"/>
        </w:rPr>
        <w:t>”</w:t>
      </w:r>
      <w:r>
        <w:rPr>
          <w:rFonts w:ascii="仿宋" w:eastAsia="仿宋" w:hAnsi="仿宋" w:cs="仿宋"/>
        </w:rPr>
        <w:t>立法调研工作。成立全省首家中小企业公益服务促进会，吸引首批会员</w:t>
      </w:r>
      <w:r>
        <w:rPr>
          <w:rFonts w:ascii="仿宋" w:eastAsia="仿宋" w:hAnsi="仿宋" w:cs="仿宋"/>
        </w:rPr>
        <w:t>59</w:t>
      </w:r>
      <w:r>
        <w:rPr>
          <w:rFonts w:ascii="仿宋" w:eastAsia="仿宋" w:hAnsi="仿宋" w:cs="仿宋"/>
        </w:rPr>
        <w:t>家</w:t>
      </w:r>
      <w:r>
        <w:rPr>
          <w:rFonts w:ascii="仿宋" w:eastAsia="仿宋" w:hAnsi="仿宋" w:cs="仿宋"/>
        </w:rPr>
        <w:t>。精准服务</w:t>
      </w:r>
      <w:r>
        <w:rPr>
          <w:rFonts w:ascii="仿宋" w:eastAsia="仿宋" w:hAnsi="仿宋" w:cs="仿宋"/>
        </w:rPr>
        <w:t>“</w:t>
      </w:r>
      <w:r>
        <w:rPr>
          <w:rFonts w:ascii="仿宋" w:eastAsia="仿宋" w:hAnsi="仿宋" w:cs="仿宋"/>
        </w:rPr>
        <w:t>专精特新</w:t>
      </w:r>
      <w:r>
        <w:rPr>
          <w:rFonts w:ascii="仿宋" w:eastAsia="仿宋" w:hAnsi="仿宋" w:cs="仿宋"/>
        </w:rPr>
        <w:t>”</w:t>
      </w:r>
      <w:r>
        <w:rPr>
          <w:rFonts w:ascii="仿宋" w:eastAsia="仿宋" w:hAnsi="仿宋" w:cs="仿宋"/>
        </w:rPr>
        <w:t>，选派</w:t>
      </w:r>
      <w:r>
        <w:rPr>
          <w:rFonts w:ascii="仿宋" w:eastAsia="仿宋" w:hAnsi="仿宋" w:cs="仿宋"/>
        </w:rPr>
        <w:t>41</w:t>
      </w:r>
      <w:r>
        <w:rPr>
          <w:rFonts w:ascii="仿宋" w:eastAsia="仿宋" w:hAnsi="仿宋" w:cs="仿宋"/>
        </w:rPr>
        <w:t>名服务专员联系服务</w:t>
      </w:r>
      <w:r>
        <w:rPr>
          <w:rFonts w:ascii="仿宋" w:eastAsia="仿宋" w:hAnsi="仿宋" w:cs="仿宋"/>
        </w:rPr>
        <w:t>167</w:t>
      </w:r>
      <w:r>
        <w:rPr>
          <w:rFonts w:ascii="仿宋" w:eastAsia="仿宋" w:hAnsi="仿宋" w:cs="仿宋"/>
        </w:rPr>
        <w:t>家省级以上专精特新企业，实现高频次常态化联系。新增</w:t>
      </w:r>
      <w:r>
        <w:rPr>
          <w:rFonts w:ascii="仿宋" w:eastAsia="仿宋" w:hAnsi="仿宋" w:cs="仿宋"/>
        </w:rPr>
        <w:t>2</w:t>
      </w:r>
      <w:r>
        <w:rPr>
          <w:rFonts w:ascii="仿宋" w:eastAsia="仿宋" w:hAnsi="仿宋" w:cs="仿宋"/>
        </w:rPr>
        <w:t>家国家级中小企业公共服务示范平台、</w:t>
      </w:r>
      <w:r>
        <w:rPr>
          <w:rFonts w:ascii="仿宋" w:eastAsia="仿宋" w:hAnsi="仿宋" w:cs="仿宋"/>
        </w:rPr>
        <w:t>1</w:t>
      </w:r>
      <w:r>
        <w:rPr>
          <w:rFonts w:ascii="仿宋" w:eastAsia="仿宋" w:hAnsi="仿宋" w:cs="仿宋"/>
        </w:rPr>
        <w:t>家国家小型微型企业创业创新示范基地。</w:t>
      </w:r>
      <w:r>
        <w:rPr>
          <w:rFonts w:ascii="仿宋" w:eastAsia="仿宋" w:hAnsi="仿宋" w:cs="仿宋"/>
        </w:rPr>
        <w:t>2</w:t>
      </w:r>
      <w:r>
        <w:rPr>
          <w:rFonts w:ascii="仿宋" w:eastAsia="仿宋" w:hAnsi="仿宋" w:cs="仿宋"/>
        </w:rPr>
        <w:t>家平台入围第一批中央财政支持中小企业数字化转型试点服务平台。组建市工业信息安全联盟，整合优质行业资源，促进多方协作共赢。实施网站监测和安全诊断，指导企业、平台及时处置风险漏洞。统筹做好重要时期、重大活动、重点考试等无线电安全保障工作，保护重要业务频率无线电安全，开展无线电监测和干扰查处。</w:t>
      </w:r>
    </w:p>
    <w:p w:rsidR="00AF0ECA" w:rsidRDefault="00AF0ECA">
      <w:pPr>
        <w:pStyle w:val="a4"/>
        <w:spacing w:line="235" w:lineRule="auto"/>
        <w:ind w:leftChars="300" w:left="669" w:right="2414" w:hanging="9"/>
        <w:jc w:val="both"/>
        <w:rPr>
          <w:rFonts w:ascii="仿宋" w:eastAsia="仿宋" w:hAnsi="仿宋" w:cs="仿宋"/>
        </w:rPr>
        <w:sectPr w:rsidR="00AF0ECA">
          <w:footerReference w:type="default" r:id="rId14"/>
          <w:pgSz w:w="11906" w:h="16838"/>
          <w:pgMar w:top="1580" w:right="700" w:bottom="770" w:left="1020" w:header="283" w:footer="280" w:gutter="0"/>
          <w:pgNumType w:fmt="numberInDash"/>
          <w:cols w:space="720"/>
          <w:formProt w:val="0"/>
          <w:docGrid w:linePitch="100"/>
        </w:sectPr>
      </w:pPr>
    </w:p>
    <w:p w:rsidR="00AF0ECA" w:rsidRDefault="00AF0ECA">
      <w:pPr>
        <w:pStyle w:val="a4"/>
        <w:spacing w:line="360" w:lineRule="auto"/>
        <w:ind w:leftChars="200" w:left="440" w:rightChars="229" w:right="504" w:firstLine="658"/>
        <w:jc w:val="both"/>
        <w:rPr>
          <w:rFonts w:ascii="仿宋" w:eastAsia="仿宋" w:hAnsi="仿宋" w:cs="仿宋"/>
          <w:lang w:val="en-US"/>
        </w:rPr>
      </w:pPr>
    </w:p>
    <w:p w:rsidR="00AF0ECA" w:rsidRDefault="00AF0ECA">
      <w:pPr>
        <w:pStyle w:val="10"/>
        <w:tabs>
          <w:tab w:val="left" w:pos="1609"/>
        </w:tabs>
        <w:spacing w:before="12" w:line="300" w:lineRule="auto"/>
        <w:ind w:left="340" w:right="567" w:firstLine="0"/>
        <w:jc w:val="center"/>
        <w:rPr>
          <w:rFonts w:ascii="仿宋" w:eastAsia="仿宋" w:hAnsi="仿宋" w:cs="仿宋"/>
          <w:b/>
          <w:bCs/>
          <w:sz w:val="44"/>
          <w:szCs w:val="44"/>
        </w:rPr>
      </w:pPr>
    </w:p>
    <w:p w:rsidR="00AF0ECA" w:rsidRDefault="00AF0ECA">
      <w:pPr>
        <w:pStyle w:val="10"/>
        <w:tabs>
          <w:tab w:val="left" w:pos="1609"/>
        </w:tabs>
        <w:spacing w:before="12" w:line="300" w:lineRule="auto"/>
        <w:ind w:left="340" w:right="567" w:firstLine="0"/>
        <w:jc w:val="center"/>
        <w:rPr>
          <w:rFonts w:ascii="仿宋" w:eastAsia="仿宋" w:hAnsi="仿宋" w:cs="仿宋"/>
          <w:b/>
          <w:bCs/>
          <w:sz w:val="44"/>
          <w:szCs w:val="44"/>
        </w:rPr>
      </w:pPr>
    </w:p>
    <w:p w:rsidR="00AF0ECA" w:rsidRDefault="00AF0ECA">
      <w:pPr>
        <w:pStyle w:val="10"/>
        <w:tabs>
          <w:tab w:val="left" w:pos="1609"/>
        </w:tabs>
        <w:spacing w:before="12" w:line="300" w:lineRule="auto"/>
        <w:ind w:left="340" w:right="567" w:firstLine="0"/>
        <w:jc w:val="center"/>
        <w:rPr>
          <w:rFonts w:ascii="仿宋" w:eastAsia="仿宋" w:hAnsi="仿宋" w:cs="仿宋"/>
          <w:b/>
          <w:bCs/>
          <w:sz w:val="44"/>
          <w:szCs w:val="44"/>
        </w:rPr>
      </w:pPr>
    </w:p>
    <w:p w:rsidR="00AF0ECA" w:rsidRDefault="00AF0ECA">
      <w:pPr>
        <w:pStyle w:val="10"/>
        <w:tabs>
          <w:tab w:val="left" w:pos="1609"/>
        </w:tabs>
        <w:spacing w:before="12" w:line="300" w:lineRule="auto"/>
        <w:ind w:left="340" w:right="567" w:firstLine="0"/>
        <w:jc w:val="center"/>
        <w:rPr>
          <w:rFonts w:ascii="仿宋" w:eastAsia="仿宋" w:hAnsi="仿宋" w:cs="仿宋"/>
          <w:b/>
          <w:bCs/>
          <w:sz w:val="44"/>
          <w:szCs w:val="44"/>
        </w:rPr>
      </w:pPr>
    </w:p>
    <w:p w:rsidR="00AF0ECA" w:rsidRDefault="00AF0ECA">
      <w:pPr>
        <w:pStyle w:val="10"/>
        <w:tabs>
          <w:tab w:val="left" w:pos="1609"/>
        </w:tabs>
        <w:spacing w:before="12" w:line="300" w:lineRule="auto"/>
        <w:ind w:left="340" w:right="567" w:firstLine="0"/>
        <w:jc w:val="center"/>
        <w:rPr>
          <w:rFonts w:ascii="仿宋" w:eastAsia="仿宋" w:hAnsi="仿宋" w:cs="仿宋"/>
          <w:b/>
          <w:bCs/>
          <w:sz w:val="44"/>
          <w:szCs w:val="44"/>
        </w:rPr>
      </w:pPr>
    </w:p>
    <w:p w:rsidR="00AF0ECA" w:rsidRDefault="00AF0ECA">
      <w:pPr>
        <w:pStyle w:val="10"/>
        <w:tabs>
          <w:tab w:val="left" w:pos="1609"/>
        </w:tabs>
        <w:spacing w:before="12" w:line="300" w:lineRule="auto"/>
        <w:ind w:left="340" w:right="567" w:firstLine="0"/>
        <w:jc w:val="center"/>
        <w:rPr>
          <w:rFonts w:ascii="仿宋" w:eastAsia="仿宋" w:hAnsi="仿宋" w:cs="仿宋"/>
          <w:b/>
          <w:bCs/>
          <w:sz w:val="44"/>
          <w:szCs w:val="44"/>
        </w:rPr>
      </w:pPr>
    </w:p>
    <w:p w:rsidR="00AF0ECA" w:rsidRDefault="00996CBB">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AF0ECA" w:rsidRDefault="00996CBB">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常州市工业和信息化局</w:t>
      </w:r>
    </w:p>
    <w:p w:rsidR="00AF0ECA" w:rsidRDefault="00996CBB">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2022</w:t>
      </w:r>
      <w:r>
        <w:rPr>
          <w:rFonts w:ascii="宋体" w:eastAsia="宋体" w:hAnsi="宋体" w:cs="宋体" w:hint="eastAsia"/>
          <w:b/>
          <w:bCs/>
          <w:sz w:val="36"/>
          <w:szCs w:val="36"/>
        </w:rPr>
        <w:t>年度</w:t>
      </w:r>
      <w:r>
        <w:rPr>
          <w:rFonts w:ascii="宋体" w:eastAsia="宋体" w:hAnsi="宋体" w:cs="宋体" w:hint="eastAsia"/>
          <w:b/>
          <w:bCs/>
          <w:sz w:val="36"/>
          <w:szCs w:val="36"/>
          <w:lang w:val="en-US"/>
        </w:rPr>
        <w:t>部门</w:t>
      </w:r>
      <w:r>
        <w:rPr>
          <w:rFonts w:ascii="宋体" w:eastAsia="宋体" w:hAnsi="宋体" w:cs="宋体"/>
          <w:b/>
          <w:sz w:val="36"/>
        </w:rPr>
        <w:t>决算表</w:t>
      </w:r>
    </w:p>
    <w:tbl>
      <w:tblPr>
        <w:tblW w:w="10447" w:type="dxa"/>
        <w:jc w:val="center"/>
        <w:tblLayout w:type="fixed"/>
        <w:tblLook w:val="04A0"/>
      </w:tblPr>
      <w:tblGrid>
        <w:gridCol w:w="3468"/>
        <w:gridCol w:w="1777"/>
        <w:gridCol w:w="2035"/>
        <w:gridCol w:w="1341"/>
        <w:gridCol w:w="1826"/>
      </w:tblGrid>
      <w:tr w:rsidR="00AF0ECA">
        <w:trPr>
          <w:trHeight w:val="544"/>
          <w:jc w:val="center"/>
        </w:trPr>
        <w:tc>
          <w:tcPr>
            <w:tcW w:w="10447" w:type="dxa"/>
            <w:gridSpan w:val="5"/>
          </w:tcPr>
          <w:p w:rsidR="00AF0ECA" w:rsidRDefault="00996CBB">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AF0ECA">
        <w:trPr>
          <w:trHeight w:val="348"/>
          <w:jc w:val="center"/>
        </w:trPr>
        <w:tc>
          <w:tcPr>
            <w:tcW w:w="3468" w:type="dxa"/>
          </w:tcPr>
          <w:p w:rsidR="00AF0ECA" w:rsidRDefault="00AF0ECA">
            <w:pPr>
              <w:rPr>
                <w:rFonts w:ascii="仿宋" w:eastAsia="仿宋" w:hAnsi="仿宋" w:cs="仿宋"/>
                <w:color w:val="000000"/>
                <w:sz w:val="20"/>
              </w:rPr>
            </w:pPr>
          </w:p>
        </w:tc>
        <w:tc>
          <w:tcPr>
            <w:tcW w:w="1777" w:type="dxa"/>
          </w:tcPr>
          <w:p w:rsidR="00AF0ECA" w:rsidRDefault="00AF0ECA">
            <w:pPr>
              <w:rPr>
                <w:rFonts w:ascii="仿宋" w:eastAsia="仿宋" w:hAnsi="仿宋" w:cs="仿宋"/>
                <w:color w:val="000000"/>
                <w:sz w:val="20"/>
              </w:rPr>
            </w:pPr>
          </w:p>
        </w:tc>
        <w:tc>
          <w:tcPr>
            <w:tcW w:w="5202" w:type="dxa"/>
            <w:gridSpan w:val="3"/>
          </w:tcPr>
          <w:p w:rsidR="00AF0ECA" w:rsidRDefault="00996CBB">
            <w:pPr>
              <w:jc w:val="right"/>
              <w:rPr>
                <w:rFonts w:ascii="仿宋" w:eastAsia="仿宋" w:hAnsi="仿宋" w:cs="仿宋"/>
                <w:color w:val="000000"/>
              </w:rPr>
            </w:pPr>
            <w:r>
              <w:rPr>
                <w:rFonts w:ascii="仿宋" w:eastAsia="仿宋" w:hAnsi="仿宋" w:cs="仿宋" w:hint="eastAsia"/>
                <w:color w:val="000000"/>
                <w:lang w:eastAsia="ar-SA"/>
              </w:rPr>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AF0ECA">
        <w:trPr>
          <w:trHeight w:val="333"/>
          <w:jc w:val="center"/>
        </w:trPr>
        <w:tc>
          <w:tcPr>
            <w:tcW w:w="7280" w:type="dxa"/>
            <w:gridSpan w:val="3"/>
            <w:tcBorders>
              <w:bottom w:val="single" w:sz="4" w:space="0" w:color="000000"/>
            </w:tcBorders>
            <w:vAlign w:val="center"/>
          </w:tcPr>
          <w:p w:rsidR="00AF0ECA" w:rsidRDefault="00996CBB">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color w:val="000000"/>
                <w:lang w:eastAsia="ar-SA"/>
              </w:rPr>
              <w:t>常州市工业和信息化局</w:t>
            </w:r>
          </w:p>
        </w:tc>
        <w:tc>
          <w:tcPr>
            <w:tcW w:w="3167" w:type="dxa"/>
            <w:gridSpan w:val="2"/>
            <w:tcBorders>
              <w:bottom w:val="single" w:sz="4" w:space="0" w:color="000000"/>
            </w:tcBorders>
            <w:vAlign w:val="center"/>
          </w:tcPr>
          <w:p w:rsidR="00AF0ECA" w:rsidRDefault="00996CBB">
            <w:pPr>
              <w:jc w:val="right"/>
              <w:rPr>
                <w:rFonts w:ascii="仿宋" w:eastAsia="仿宋" w:hAnsi="仿宋" w:cs="仿宋"/>
                <w:color w:val="000000"/>
              </w:rPr>
            </w:pPr>
            <w:r>
              <w:rPr>
                <w:rFonts w:ascii="仿宋" w:eastAsia="仿宋" w:hAnsi="仿宋" w:cs="仿宋" w:hint="eastAsia"/>
                <w:color w:val="000000"/>
              </w:rPr>
              <w:t>金额单位：万元</w:t>
            </w:r>
          </w:p>
        </w:tc>
      </w:tr>
      <w:tr w:rsidR="00AF0ECA">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hint="eastAsia"/>
                <w:color w:val="000000"/>
                <w:lang w:eastAsia="ar-SA"/>
              </w:rPr>
              <w:t>支出</w:t>
            </w:r>
          </w:p>
        </w:tc>
      </w:tr>
      <w:tr w:rsidR="00AF0ECA">
        <w:trPr>
          <w:trHeight w:val="39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color w:val="000000"/>
              </w:rPr>
              <w:t>项目</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hint="eastAsia"/>
                <w:color w:val="000000"/>
                <w:lang w:eastAsia="ar-SA"/>
              </w:rPr>
              <w:t>决算数</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rPr>
                <w:rFonts w:ascii="仿宋" w:eastAsia="仿宋" w:hAnsi="仿宋" w:cs="仿宋"/>
              </w:rPr>
            </w:pPr>
            <w:r>
              <w:rPr>
                <w:rFonts w:ascii="仿宋" w:eastAsia="仿宋" w:hAnsi="仿宋" w:cs="仿宋" w:hint="eastAsia"/>
                <w:sz w:val="20"/>
                <w:lang w:eastAsia="ar-SA"/>
              </w:rPr>
              <w:t>一、一般公共预算财政拨款收入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12,244.47</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161.62</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rPr>
                <w:rFonts w:ascii="仿宋" w:eastAsia="仿宋" w:hAnsi="仿宋" w:cs="仿宋"/>
              </w:rPr>
            </w:pPr>
            <w:r>
              <w:rPr>
                <w:rFonts w:ascii="仿宋" w:eastAsia="仿宋" w:hAnsi="仿宋" w:cs="仿宋" w:hint="eastAsia"/>
                <w:sz w:val="20"/>
                <w:lang w:eastAsia="ar-SA"/>
              </w:rPr>
              <w:t>二、政府性基金预算财政拨款收入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rPr>
                <w:rFonts w:ascii="仿宋" w:eastAsia="仿宋" w:hAnsi="仿宋" w:cs="仿宋"/>
              </w:rPr>
            </w:pPr>
            <w:r>
              <w:rPr>
                <w:rFonts w:ascii="仿宋" w:eastAsia="仿宋" w:hAnsi="仿宋" w:cs="仿宋" w:hint="eastAsia"/>
                <w:sz w:val="20"/>
                <w:lang w:eastAsia="ar-SA"/>
              </w:rPr>
              <w:t>三、国有资本经营预算财政拨款收入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rPr>
                <w:rFonts w:ascii="仿宋" w:eastAsia="仿宋" w:hAnsi="仿宋" w:cs="仿宋"/>
              </w:rPr>
            </w:pPr>
            <w:r>
              <w:rPr>
                <w:rFonts w:ascii="仿宋" w:eastAsia="仿宋" w:hAnsi="仿宋" w:cs="仿宋" w:hint="eastAsia"/>
                <w:sz w:val="20"/>
                <w:lang w:eastAsia="ar-SA"/>
              </w:rPr>
              <w:t>四、上级补助收入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rPr>
                <w:rFonts w:ascii="仿宋" w:eastAsia="仿宋" w:hAnsi="仿宋" w:cs="仿宋"/>
              </w:rPr>
            </w:pPr>
            <w:r>
              <w:rPr>
                <w:rFonts w:ascii="仿宋" w:eastAsia="仿宋" w:hAnsi="仿宋" w:cs="仿宋" w:hint="eastAsia"/>
                <w:sz w:val="20"/>
                <w:lang w:eastAsia="ar-SA"/>
              </w:rPr>
              <w:t>五、事业收入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rPr>
                <w:rFonts w:ascii="仿宋" w:eastAsia="仿宋" w:hAnsi="仿宋" w:cs="仿宋"/>
              </w:rPr>
            </w:pPr>
            <w:r>
              <w:rPr>
                <w:rFonts w:ascii="仿宋" w:eastAsia="仿宋" w:hAnsi="仿宋" w:cs="仿宋" w:hint="eastAsia"/>
                <w:sz w:val="20"/>
                <w:lang w:eastAsia="ar-SA"/>
              </w:rPr>
              <w:t>六、经营收入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1,379.82</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rPr>
                <w:rFonts w:ascii="仿宋" w:eastAsia="仿宋" w:hAnsi="仿宋" w:cs="仿宋"/>
              </w:rPr>
            </w:pPr>
            <w:r>
              <w:rPr>
                <w:rFonts w:ascii="仿宋" w:eastAsia="仿宋" w:hAnsi="仿宋" w:cs="仿宋" w:hint="eastAsia"/>
                <w:sz w:val="20"/>
                <w:lang w:eastAsia="ar-SA"/>
              </w:rPr>
              <w:t>七、附属单位上缴收入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rPr>
                <w:rFonts w:ascii="仿宋" w:eastAsia="仿宋" w:hAnsi="仿宋" w:cs="仿宋"/>
              </w:rPr>
            </w:pPr>
            <w:r>
              <w:rPr>
                <w:rFonts w:ascii="仿宋" w:eastAsia="仿宋" w:hAnsi="仿宋" w:cs="仿宋" w:hint="eastAsia"/>
                <w:sz w:val="20"/>
                <w:lang w:eastAsia="ar-SA"/>
              </w:rPr>
              <w:t>八、其他收入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92.31</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66.40</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53.53</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192.52</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8,771.45</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15.62</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1,484.52</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39.95</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171.35</w:t>
            </w: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AF0ECA">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keepNext/>
              <w:keepLines/>
              <w:jc w:val="right"/>
              <w:rPr>
                <w:rFonts w:ascii="仿宋" w:eastAsia="仿宋" w:hAnsi="仿宋" w:cs="仿宋"/>
                <w:color w:val="000000"/>
                <w:lang w:eastAsia="ar-SA"/>
              </w:rPr>
            </w:pPr>
          </w:p>
        </w:tc>
      </w:tr>
      <w:tr w:rsidR="00AF0ECA">
        <w:trPr>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color w:val="000000"/>
              </w:rPr>
            </w:pPr>
            <w:r>
              <w:rPr>
                <w:rFonts w:ascii="仿宋" w:eastAsia="仿宋" w:hAnsi="仿宋" w:cs="仿宋" w:hint="eastAsia"/>
                <w:color w:val="000000"/>
                <w:lang w:eastAsia="ar-SA"/>
              </w:rPr>
              <w:t>12,336.79</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color w:val="000000"/>
              </w:rPr>
            </w:pPr>
            <w:r>
              <w:rPr>
                <w:rFonts w:ascii="仿宋" w:eastAsia="仿宋" w:hAnsi="仿宋" w:cs="仿宋" w:hint="eastAsia"/>
                <w:color w:val="000000"/>
                <w:lang w:eastAsia="ar-SA"/>
              </w:rPr>
              <w:t>12,336.79</w:t>
            </w:r>
          </w:p>
        </w:tc>
      </w:tr>
      <w:tr w:rsidR="00AF0ECA">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color w:val="000000"/>
              </w:rPr>
            </w:pPr>
          </w:p>
        </w:tc>
      </w:tr>
      <w:tr w:rsidR="00AF0ECA">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color w:val="000000"/>
              </w:rPr>
            </w:pPr>
          </w:p>
        </w:tc>
      </w:tr>
      <w:tr w:rsidR="00AF0ECA">
        <w:trPr>
          <w:trHeight w:val="383"/>
          <w:jc w:val="center"/>
        </w:trPr>
        <w:tc>
          <w:tcPr>
            <w:tcW w:w="3468" w:type="dxa"/>
            <w:tcBorders>
              <w:top w:val="single" w:sz="4" w:space="0" w:color="000000"/>
              <w:left w:val="single" w:sz="4" w:space="0" w:color="000000"/>
              <w:bottom w:val="single" w:sz="4" w:space="0" w:color="000000"/>
              <w:right w:val="single" w:sz="4" w:space="0" w:color="000000"/>
            </w:tcBorders>
          </w:tcPr>
          <w:p w:rsidR="00AF0ECA" w:rsidRDefault="00AF0ECA">
            <w:pPr>
              <w:rPr>
                <w:rFonts w:ascii="仿宋" w:eastAsia="仿宋" w:hAnsi="仿宋" w:cs="仿宋"/>
                <w:color w:val="000000"/>
              </w:rPr>
            </w:pPr>
          </w:p>
        </w:tc>
        <w:tc>
          <w:tcPr>
            <w:tcW w:w="1777" w:type="dxa"/>
            <w:tcBorders>
              <w:top w:val="single" w:sz="4" w:space="0" w:color="000000"/>
              <w:left w:val="single" w:sz="4" w:space="0" w:color="000000"/>
              <w:bottom w:val="single" w:sz="4" w:space="0" w:color="000000"/>
              <w:right w:val="single" w:sz="4" w:space="0" w:color="000000"/>
            </w:tcBorders>
          </w:tcPr>
          <w:p w:rsidR="00AF0ECA" w:rsidRDefault="00AF0ECA">
            <w:pPr>
              <w:rPr>
                <w:rFonts w:ascii="仿宋" w:eastAsia="仿宋" w:hAnsi="仿宋" w:cs="仿宋"/>
                <w:color w:val="000000"/>
              </w:rPr>
            </w:pPr>
          </w:p>
        </w:tc>
        <w:tc>
          <w:tcPr>
            <w:tcW w:w="3376" w:type="dxa"/>
            <w:gridSpan w:val="2"/>
            <w:tcBorders>
              <w:top w:val="single" w:sz="4" w:space="0" w:color="000000"/>
              <w:left w:val="single" w:sz="4" w:space="0" w:color="000000"/>
              <w:bottom w:val="single" w:sz="4" w:space="0" w:color="000000"/>
              <w:right w:val="single" w:sz="4" w:space="0" w:color="000000"/>
            </w:tcBorders>
          </w:tcPr>
          <w:p w:rsidR="00AF0ECA" w:rsidRDefault="00AF0ECA">
            <w:pPr>
              <w:rPr>
                <w:rFonts w:ascii="仿宋" w:eastAsia="仿宋" w:hAnsi="仿宋" w:cs="仿宋"/>
                <w:color w:val="000000"/>
              </w:rPr>
            </w:pPr>
          </w:p>
        </w:tc>
        <w:tc>
          <w:tcPr>
            <w:tcW w:w="1826" w:type="dxa"/>
            <w:tcBorders>
              <w:top w:val="single" w:sz="4" w:space="0" w:color="000000"/>
              <w:left w:val="single" w:sz="4" w:space="0" w:color="000000"/>
              <w:bottom w:val="single" w:sz="4" w:space="0" w:color="000000"/>
              <w:right w:val="single" w:sz="4" w:space="0" w:color="000000"/>
            </w:tcBorders>
          </w:tcPr>
          <w:p w:rsidR="00AF0ECA" w:rsidRDefault="00AF0ECA">
            <w:pPr>
              <w:rPr>
                <w:rFonts w:ascii="仿宋" w:eastAsia="仿宋" w:hAnsi="仿宋" w:cs="仿宋"/>
                <w:color w:val="000000"/>
              </w:rPr>
            </w:pPr>
          </w:p>
        </w:tc>
      </w:tr>
      <w:tr w:rsidR="00AF0ECA">
        <w:trPr>
          <w:cantSplit/>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777"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color w:val="000000"/>
              </w:rPr>
            </w:pPr>
            <w:r>
              <w:rPr>
                <w:rFonts w:ascii="仿宋" w:eastAsia="仿宋" w:hAnsi="仿宋" w:cs="仿宋" w:hint="eastAsia"/>
                <w:color w:val="000000"/>
                <w:lang w:eastAsia="ar-SA"/>
              </w:rPr>
              <w:t>12,336.79</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826"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color w:val="000000"/>
              </w:rPr>
            </w:pPr>
            <w:r>
              <w:rPr>
                <w:rFonts w:ascii="仿宋" w:eastAsia="仿宋" w:hAnsi="仿宋" w:cs="仿宋" w:hint="eastAsia"/>
                <w:color w:val="000000"/>
                <w:lang w:eastAsia="ar-SA"/>
              </w:rPr>
              <w:t>12,336.79</w:t>
            </w:r>
          </w:p>
        </w:tc>
      </w:tr>
    </w:tbl>
    <w:p w:rsidR="00AF0ECA" w:rsidRDefault="00996CBB">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AF0ECA" w:rsidRDefault="00AF0ECA">
      <w:pPr>
        <w:spacing w:before="66"/>
        <w:jc w:val="both"/>
        <w:rPr>
          <w:rFonts w:ascii="仿宋" w:eastAsia="仿宋" w:hAnsi="仿宋" w:cs="仿宋"/>
          <w:color w:val="000000"/>
        </w:rPr>
        <w:sectPr w:rsidR="00AF0ECA">
          <w:footerReference w:type="default" r:id="rId15"/>
          <w:pgSz w:w="11906" w:h="16838"/>
          <w:pgMar w:top="720" w:right="720" w:bottom="720" w:left="720" w:header="170" w:footer="280" w:gutter="0"/>
          <w:pgNumType w:fmt="numberInDash"/>
          <w:cols w:space="720"/>
          <w:formProt w:val="0"/>
          <w:docGrid w:linePitch="100"/>
        </w:sectPr>
      </w:pPr>
    </w:p>
    <w:tbl>
      <w:tblPr>
        <w:tblW w:w="16660" w:type="dxa"/>
        <w:jc w:val="center"/>
        <w:tblLayout w:type="fixed"/>
        <w:tblLook w:val="04A0"/>
      </w:tblPr>
      <w:tblGrid>
        <w:gridCol w:w="1201"/>
        <w:gridCol w:w="3156"/>
        <w:gridCol w:w="1716"/>
        <w:gridCol w:w="1728"/>
        <w:gridCol w:w="1686"/>
        <w:gridCol w:w="1503"/>
        <w:gridCol w:w="1704"/>
        <w:gridCol w:w="1263"/>
        <w:gridCol w:w="1375"/>
        <w:gridCol w:w="1328"/>
      </w:tblGrid>
      <w:tr w:rsidR="00AF0ECA">
        <w:trPr>
          <w:trHeight w:val="403"/>
          <w:jc w:val="center"/>
        </w:trPr>
        <w:tc>
          <w:tcPr>
            <w:tcW w:w="16660" w:type="dxa"/>
            <w:gridSpan w:val="10"/>
            <w:vAlign w:val="center"/>
          </w:tcPr>
          <w:p w:rsidR="00AF0ECA" w:rsidRDefault="00996CBB">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AF0ECA">
        <w:trPr>
          <w:trHeight w:val="247"/>
          <w:jc w:val="center"/>
        </w:trPr>
        <w:tc>
          <w:tcPr>
            <w:tcW w:w="4357" w:type="dxa"/>
            <w:gridSpan w:val="2"/>
            <w:vAlign w:val="center"/>
          </w:tcPr>
          <w:p w:rsidR="00AF0ECA" w:rsidRDefault="00AF0ECA">
            <w:pPr>
              <w:pStyle w:val="TableParagraph"/>
              <w:jc w:val="center"/>
              <w:rPr>
                <w:rFonts w:ascii="仿宋" w:eastAsia="仿宋" w:hAnsi="仿宋" w:cs="仿宋"/>
              </w:rPr>
            </w:pPr>
          </w:p>
        </w:tc>
        <w:tc>
          <w:tcPr>
            <w:tcW w:w="1716" w:type="dxa"/>
            <w:vAlign w:val="center"/>
          </w:tcPr>
          <w:p w:rsidR="00AF0ECA" w:rsidRDefault="00AF0ECA">
            <w:pPr>
              <w:pStyle w:val="TableParagraph"/>
              <w:jc w:val="center"/>
              <w:rPr>
                <w:rFonts w:ascii="仿宋" w:eastAsia="仿宋" w:hAnsi="仿宋" w:cs="仿宋"/>
              </w:rPr>
            </w:pPr>
          </w:p>
        </w:tc>
        <w:tc>
          <w:tcPr>
            <w:tcW w:w="1728" w:type="dxa"/>
            <w:vAlign w:val="center"/>
          </w:tcPr>
          <w:p w:rsidR="00AF0ECA" w:rsidRDefault="00AF0ECA">
            <w:pPr>
              <w:pStyle w:val="TableParagraph"/>
              <w:jc w:val="center"/>
              <w:rPr>
                <w:rFonts w:ascii="仿宋" w:eastAsia="仿宋" w:hAnsi="仿宋" w:cs="仿宋"/>
              </w:rPr>
            </w:pPr>
          </w:p>
        </w:tc>
        <w:tc>
          <w:tcPr>
            <w:tcW w:w="1686" w:type="dxa"/>
            <w:vAlign w:val="center"/>
          </w:tcPr>
          <w:p w:rsidR="00AF0ECA" w:rsidRDefault="00AF0ECA">
            <w:pPr>
              <w:pStyle w:val="TableParagraph"/>
              <w:jc w:val="center"/>
              <w:rPr>
                <w:rFonts w:ascii="仿宋" w:eastAsia="仿宋" w:hAnsi="仿宋" w:cs="仿宋"/>
              </w:rPr>
            </w:pPr>
          </w:p>
        </w:tc>
        <w:tc>
          <w:tcPr>
            <w:tcW w:w="3207" w:type="dxa"/>
            <w:gridSpan w:val="2"/>
            <w:vAlign w:val="center"/>
          </w:tcPr>
          <w:p w:rsidR="00AF0ECA" w:rsidRDefault="00AF0ECA">
            <w:pPr>
              <w:pStyle w:val="TableParagraph"/>
              <w:jc w:val="center"/>
              <w:rPr>
                <w:rFonts w:ascii="仿宋" w:eastAsia="仿宋" w:hAnsi="仿宋" w:cs="仿宋"/>
              </w:rPr>
            </w:pPr>
          </w:p>
        </w:tc>
        <w:tc>
          <w:tcPr>
            <w:tcW w:w="1263" w:type="dxa"/>
            <w:vAlign w:val="center"/>
          </w:tcPr>
          <w:p w:rsidR="00AF0ECA" w:rsidRDefault="00AF0ECA">
            <w:pPr>
              <w:pStyle w:val="TableParagraph"/>
              <w:jc w:val="center"/>
              <w:rPr>
                <w:rFonts w:ascii="仿宋" w:eastAsia="仿宋" w:hAnsi="仿宋" w:cs="仿宋"/>
              </w:rPr>
            </w:pPr>
          </w:p>
        </w:tc>
        <w:tc>
          <w:tcPr>
            <w:tcW w:w="2703" w:type="dxa"/>
            <w:gridSpan w:val="2"/>
            <w:vAlign w:val="center"/>
          </w:tcPr>
          <w:p w:rsidR="00AF0ECA" w:rsidRDefault="00996CBB">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02</w:t>
            </w:r>
            <w:r>
              <w:rPr>
                <w:rFonts w:ascii="仿宋" w:eastAsia="仿宋" w:hAnsi="仿宋" w:cs="仿宋" w:hint="eastAsia"/>
              </w:rPr>
              <w:t>表</w:t>
            </w:r>
          </w:p>
        </w:tc>
      </w:tr>
      <w:tr w:rsidR="00AF0ECA">
        <w:trPr>
          <w:trHeight w:val="247"/>
          <w:jc w:val="center"/>
        </w:trPr>
        <w:tc>
          <w:tcPr>
            <w:tcW w:w="13957" w:type="dxa"/>
            <w:gridSpan w:val="8"/>
            <w:vAlign w:val="center"/>
          </w:tcPr>
          <w:p w:rsidR="00AF0ECA" w:rsidRDefault="00996CB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2703" w:type="dxa"/>
            <w:gridSpan w:val="2"/>
            <w:vAlign w:val="center"/>
          </w:tcPr>
          <w:p w:rsidR="00AF0ECA" w:rsidRDefault="00996CBB">
            <w:pPr>
              <w:pStyle w:val="TableParagraph"/>
              <w:jc w:val="right"/>
              <w:rPr>
                <w:rFonts w:ascii="仿宋" w:eastAsia="仿宋" w:hAnsi="仿宋" w:cs="仿宋"/>
              </w:rPr>
            </w:pPr>
            <w:r>
              <w:rPr>
                <w:rFonts w:ascii="仿宋" w:eastAsia="仿宋" w:hAnsi="仿宋" w:cs="仿宋" w:hint="eastAsia"/>
              </w:rPr>
              <w:t>金额单位：万元</w:t>
            </w:r>
          </w:p>
        </w:tc>
      </w:tr>
      <w:tr w:rsidR="00AF0ECA">
        <w:trPr>
          <w:cantSplit/>
          <w:trHeight w:val="255"/>
          <w:jc w:val="center"/>
        </w:trPr>
        <w:tc>
          <w:tcPr>
            <w:tcW w:w="4357" w:type="dxa"/>
            <w:gridSpan w:val="2"/>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项目</w:t>
            </w:r>
          </w:p>
        </w:tc>
        <w:tc>
          <w:tcPr>
            <w:tcW w:w="1716"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本年收入合计</w:t>
            </w:r>
          </w:p>
        </w:tc>
        <w:tc>
          <w:tcPr>
            <w:tcW w:w="1728"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财政拨款收入</w:t>
            </w:r>
          </w:p>
        </w:tc>
        <w:tc>
          <w:tcPr>
            <w:tcW w:w="1686"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上级补助收入</w:t>
            </w:r>
          </w:p>
        </w:tc>
        <w:tc>
          <w:tcPr>
            <w:tcW w:w="1503" w:type="dxa"/>
            <w:vMerge w:val="restart"/>
            <w:tcBorders>
              <w:top w:val="single" w:sz="4" w:space="0" w:color="000000"/>
              <w:lef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财政专户管理教育收费</w:t>
            </w:r>
          </w:p>
        </w:tc>
        <w:tc>
          <w:tcPr>
            <w:tcW w:w="1704" w:type="dxa"/>
            <w:vMerge w:val="restart"/>
            <w:tcBorders>
              <w:top w:val="single" w:sz="4" w:space="0" w:color="000000"/>
              <w:lef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263"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经营收入</w:t>
            </w:r>
          </w:p>
        </w:tc>
        <w:tc>
          <w:tcPr>
            <w:tcW w:w="1375"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附属单位上缴收入</w:t>
            </w:r>
          </w:p>
        </w:tc>
        <w:tc>
          <w:tcPr>
            <w:tcW w:w="1328" w:type="dxa"/>
            <w:vMerge w:val="restart"/>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其他收入</w:t>
            </w:r>
          </w:p>
        </w:tc>
      </w:tr>
      <w:tr w:rsidR="00AF0ECA">
        <w:trPr>
          <w:cantSplit/>
          <w:trHeight w:val="502"/>
          <w:jc w:val="center"/>
        </w:trPr>
        <w:tc>
          <w:tcPr>
            <w:tcW w:w="1201"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功能分类</w:t>
            </w:r>
          </w:p>
          <w:p w:rsidR="00AF0ECA" w:rsidRDefault="00996CBB">
            <w:pPr>
              <w:pStyle w:val="TableParagraph"/>
              <w:jc w:val="center"/>
              <w:rPr>
                <w:rFonts w:ascii="仿宋" w:eastAsia="仿宋" w:hAnsi="仿宋" w:cs="仿宋"/>
              </w:rPr>
            </w:pPr>
            <w:r>
              <w:rPr>
                <w:rFonts w:ascii="仿宋" w:eastAsia="仿宋" w:hAnsi="仿宋" w:cs="仿宋" w:hint="eastAsia"/>
              </w:rPr>
              <w:t>科目编码</w:t>
            </w:r>
          </w:p>
        </w:tc>
        <w:tc>
          <w:tcPr>
            <w:tcW w:w="3156"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1716" w:type="dxa"/>
            <w:vMerge/>
            <w:tcBorders>
              <w:left w:val="single" w:sz="4" w:space="0" w:color="000000"/>
              <w:bottom w:val="single" w:sz="4" w:space="0" w:color="000000"/>
            </w:tcBorders>
          </w:tcPr>
          <w:p w:rsidR="00AF0ECA" w:rsidRDefault="00AF0ECA">
            <w:pPr>
              <w:rPr>
                <w:rFonts w:ascii="仿宋" w:eastAsia="仿宋" w:hAnsi="仿宋" w:cs="仿宋"/>
              </w:rPr>
            </w:pPr>
          </w:p>
        </w:tc>
        <w:tc>
          <w:tcPr>
            <w:tcW w:w="1728" w:type="dxa"/>
            <w:vMerge/>
            <w:tcBorders>
              <w:left w:val="single" w:sz="4" w:space="0" w:color="000000"/>
              <w:bottom w:val="single" w:sz="4" w:space="0" w:color="000000"/>
            </w:tcBorders>
          </w:tcPr>
          <w:p w:rsidR="00AF0ECA" w:rsidRDefault="00AF0ECA">
            <w:pPr>
              <w:rPr>
                <w:rFonts w:ascii="仿宋" w:eastAsia="仿宋" w:hAnsi="仿宋" w:cs="仿宋"/>
              </w:rPr>
            </w:pPr>
          </w:p>
        </w:tc>
        <w:tc>
          <w:tcPr>
            <w:tcW w:w="1686" w:type="dxa"/>
            <w:vMerge/>
            <w:tcBorders>
              <w:left w:val="single" w:sz="4" w:space="0" w:color="000000"/>
              <w:bottom w:val="single" w:sz="4" w:space="0" w:color="000000"/>
            </w:tcBorders>
          </w:tcPr>
          <w:p w:rsidR="00AF0ECA" w:rsidRDefault="00AF0ECA">
            <w:pPr>
              <w:rPr>
                <w:rFonts w:ascii="仿宋" w:eastAsia="仿宋" w:hAnsi="仿宋" w:cs="仿宋"/>
              </w:rPr>
            </w:pPr>
          </w:p>
        </w:tc>
        <w:tc>
          <w:tcPr>
            <w:tcW w:w="1503" w:type="dxa"/>
            <w:vMerge/>
            <w:tcBorders>
              <w:left w:val="single" w:sz="4" w:space="0" w:color="000000"/>
              <w:bottom w:val="single" w:sz="4" w:space="0" w:color="000000"/>
            </w:tcBorders>
            <w:vAlign w:val="center"/>
          </w:tcPr>
          <w:p w:rsidR="00AF0ECA" w:rsidRDefault="00AF0ECA">
            <w:pPr>
              <w:pStyle w:val="TableParagraph"/>
              <w:jc w:val="center"/>
              <w:rPr>
                <w:rFonts w:ascii="仿宋" w:eastAsia="仿宋" w:hAnsi="仿宋" w:cs="仿宋"/>
              </w:rPr>
            </w:pPr>
          </w:p>
        </w:tc>
        <w:tc>
          <w:tcPr>
            <w:tcW w:w="1704" w:type="dxa"/>
            <w:vMerge/>
            <w:tcBorders>
              <w:left w:val="single" w:sz="4" w:space="0" w:color="000000"/>
              <w:bottom w:val="single" w:sz="4" w:space="0" w:color="000000"/>
            </w:tcBorders>
            <w:vAlign w:val="center"/>
          </w:tcPr>
          <w:p w:rsidR="00AF0ECA" w:rsidRDefault="00AF0ECA">
            <w:pPr>
              <w:pStyle w:val="TableParagraph"/>
              <w:jc w:val="center"/>
              <w:rPr>
                <w:rFonts w:ascii="仿宋" w:eastAsia="仿宋" w:hAnsi="仿宋" w:cs="仿宋"/>
              </w:rPr>
            </w:pPr>
          </w:p>
        </w:tc>
        <w:tc>
          <w:tcPr>
            <w:tcW w:w="1263" w:type="dxa"/>
            <w:vMerge/>
            <w:tcBorders>
              <w:left w:val="single" w:sz="4" w:space="0" w:color="000000"/>
              <w:bottom w:val="single" w:sz="4" w:space="0" w:color="000000"/>
            </w:tcBorders>
          </w:tcPr>
          <w:p w:rsidR="00AF0ECA" w:rsidRDefault="00AF0ECA">
            <w:pPr>
              <w:rPr>
                <w:rFonts w:ascii="仿宋" w:eastAsia="仿宋" w:hAnsi="仿宋" w:cs="仿宋"/>
              </w:rPr>
            </w:pPr>
          </w:p>
        </w:tc>
        <w:tc>
          <w:tcPr>
            <w:tcW w:w="1375" w:type="dxa"/>
            <w:vMerge/>
            <w:tcBorders>
              <w:left w:val="single" w:sz="4" w:space="0" w:color="000000"/>
              <w:bottom w:val="single" w:sz="4" w:space="0" w:color="000000"/>
            </w:tcBorders>
          </w:tcPr>
          <w:p w:rsidR="00AF0ECA" w:rsidRDefault="00AF0ECA">
            <w:pPr>
              <w:rPr>
                <w:rFonts w:ascii="仿宋" w:eastAsia="仿宋" w:hAnsi="仿宋" w:cs="仿宋"/>
              </w:rPr>
            </w:pPr>
          </w:p>
        </w:tc>
        <w:tc>
          <w:tcPr>
            <w:tcW w:w="1328"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rPr>
            </w:pPr>
          </w:p>
        </w:tc>
      </w:tr>
      <w:tr w:rsidR="00AF0ECA">
        <w:trPr>
          <w:cantSplit/>
          <w:trHeight w:hRule="exact" w:val="267"/>
          <w:jc w:val="center"/>
        </w:trPr>
        <w:tc>
          <w:tcPr>
            <w:tcW w:w="4357"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rPr>
              <w:t>合计</w:t>
            </w:r>
          </w:p>
        </w:tc>
        <w:tc>
          <w:tcPr>
            <w:tcW w:w="1716" w:type="dxa"/>
            <w:tcBorders>
              <w:left w:val="single" w:sz="4" w:space="0" w:color="000000"/>
              <w:bottom w:val="single" w:sz="4" w:space="0" w:color="000000"/>
            </w:tcBorders>
            <w:vAlign w:val="center"/>
          </w:tcPr>
          <w:p w:rsidR="00AF0ECA" w:rsidRDefault="00996CBB">
            <w:pPr>
              <w:jc w:val="right"/>
              <w:rPr>
                <w:rFonts w:ascii="仿宋" w:eastAsia="仿宋" w:hAnsi="仿宋" w:cs="仿宋"/>
                <w:sz w:val="20"/>
                <w:szCs w:val="20"/>
              </w:rPr>
            </w:pPr>
            <w:r>
              <w:rPr>
                <w:rFonts w:ascii="仿宋" w:eastAsia="仿宋" w:hAnsi="仿宋" w:cs="仿宋" w:hint="eastAsia"/>
                <w:sz w:val="20"/>
                <w:szCs w:val="20"/>
              </w:rPr>
              <w:t>12,336.79</w:t>
            </w:r>
          </w:p>
        </w:tc>
        <w:tc>
          <w:tcPr>
            <w:tcW w:w="1728" w:type="dxa"/>
            <w:tcBorders>
              <w:left w:val="single" w:sz="4" w:space="0" w:color="000000"/>
              <w:bottom w:val="single" w:sz="4" w:space="0" w:color="000000"/>
            </w:tcBorders>
            <w:vAlign w:val="center"/>
          </w:tcPr>
          <w:p w:rsidR="00AF0ECA" w:rsidRDefault="00996CBB">
            <w:pPr>
              <w:jc w:val="right"/>
              <w:rPr>
                <w:rFonts w:ascii="仿宋" w:eastAsia="仿宋" w:hAnsi="仿宋" w:cs="仿宋"/>
                <w:sz w:val="20"/>
                <w:szCs w:val="20"/>
              </w:rPr>
            </w:pPr>
            <w:r>
              <w:rPr>
                <w:rFonts w:ascii="仿宋" w:eastAsia="仿宋" w:hAnsi="仿宋" w:cs="仿宋" w:hint="eastAsia"/>
                <w:sz w:val="20"/>
                <w:szCs w:val="20"/>
              </w:rPr>
              <w:t>12,244.47</w:t>
            </w:r>
          </w:p>
        </w:tc>
        <w:tc>
          <w:tcPr>
            <w:tcW w:w="1686" w:type="dxa"/>
            <w:tcBorders>
              <w:left w:val="single" w:sz="4" w:space="0" w:color="000000"/>
              <w:bottom w:val="single" w:sz="4" w:space="0" w:color="000000"/>
            </w:tcBorders>
            <w:vAlign w:val="center"/>
          </w:tcPr>
          <w:p w:rsidR="00AF0ECA" w:rsidRDefault="00AF0ECA">
            <w:pPr>
              <w:jc w:val="right"/>
              <w:rPr>
                <w:rFonts w:ascii="仿宋" w:eastAsia="仿宋" w:hAnsi="仿宋" w:cs="仿宋"/>
                <w:sz w:val="20"/>
                <w:szCs w:val="20"/>
              </w:rPr>
            </w:pPr>
          </w:p>
        </w:tc>
        <w:tc>
          <w:tcPr>
            <w:tcW w:w="1503" w:type="dxa"/>
            <w:tcBorders>
              <w:left w:val="single" w:sz="4" w:space="0" w:color="000000"/>
              <w:bottom w:val="single" w:sz="4" w:space="0" w:color="000000"/>
            </w:tcBorders>
            <w:vAlign w:val="center"/>
          </w:tcPr>
          <w:p w:rsidR="00AF0ECA" w:rsidRDefault="00AF0ECA">
            <w:pPr>
              <w:jc w:val="right"/>
              <w:rPr>
                <w:rFonts w:ascii="仿宋" w:eastAsia="仿宋" w:hAnsi="仿宋" w:cs="仿宋"/>
                <w:sz w:val="20"/>
                <w:szCs w:val="20"/>
              </w:rPr>
            </w:pPr>
          </w:p>
        </w:tc>
        <w:tc>
          <w:tcPr>
            <w:tcW w:w="1704" w:type="dxa"/>
            <w:tcBorders>
              <w:left w:val="single" w:sz="4" w:space="0" w:color="000000"/>
              <w:bottom w:val="single" w:sz="4" w:space="0" w:color="000000"/>
            </w:tcBorders>
            <w:vAlign w:val="center"/>
          </w:tcPr>
          <w:p w:rsidR="00AF0ECA" w:rsidRDefault="00AF0ECA">
            <w:pPr>
              <w:jc w:val="right"/>
              <w:rPr>
                <w:rFonts w:ascii="仿宋" w:eastAsia="仿宋" w:hAnsi="仿宋" w:cs="仿宋"/>
                <w:sz w:val="20"/>
                <w:szCs w:val="20"/>
              </w:rPr>
            </w:pPr>
          </w:p>
        </w:tc>
        <w:tc>
          <w:tcPr>
            <w:tcW w:w="1263" w:type="dxa"/>
            <w:tcBorders>
              <w:left w:val="single" w:sz="4" w:space="0" w:color="000000"/>
              <w:bottom w:val="single" w:sz="4" w:space="0" w:color="000000"/>
            </w:tcBorders>
            <w:vAlign w:val="center"/>
          </w:tcPr>
          <w:p w:rsidR="00AF0ECA" w:rsidRDefault="00AF0ECA">
            <w:pPr>
              <w:jc w:val="right"/>
              <w:rPr>
                <w:rFonts w:ascii="仿宋" w:eastAsia="仿宋" w:hAnsi="仿宋" w:cs="仿宋"/>
                <w:sz w:val="20"/>
                <w:szCs w:val="20"/>
              </w:rPr>
            </w:pPr>
          </w:p>
        </w:tc>
        <w:tc>
          <w:tcPr>
            <w:tcW w:w="1375" w:type="dxa"/>
            <w:tcBorders>
              <w:left w:val="single" w:sz="4" w:space="0" w:color="000000"/>
              <w:bottom w:val="single" w:sz="4" w:space="0" w:color="000000"/>
            </w:tcBorders>
            <w:vAlign w:val="center"/>
          </w:tcPr>
          <w:p w:rsidR="00AF0ECA" w:rsidRDefault="00AF0ECA">
            <w:pPr>
              <w:jc w:val="right"/>
              <w:rPr>
                <w:rFonts w:ascii="仿宋" w:eastAsia="仿宋" w:hAnsi="仿宋" w:cs="仿宋"/>
                <w:sz w:val="20"/>
                <w:szCs w:val="20"/>
              </w:rPr>
            </w:pPr>
          </w:p>
        </w:tc>
        <w:tc>
          <w:tcPr>
            <w:tcW w:w="1328" w:type="dxa"/>
            <w:tcBorders>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sz w:val="20"/>
                <w:szCs w:val="20"/>
              </w:rPr>
            </w:pPr>
            <w:r>
              <w:rPr>
                <w:rFonts w:ascii="仿宋" w:eastAsia="仿宋" w:hAnsi="仿宋" w:cs="仿宋" w:hint="eastAsia"/>
                <w:sz w:val="20"/>
                <w:szCs w:val="20"/>
              </w:rPr>
              <w:t>92.31</w:t>
            </w: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一般公共服务支出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161.62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161.62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20103</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161.62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161.62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2010301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161.62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161.62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科学技术支出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1,379.82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1,379.82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20601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科学技术管理事务</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35.65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35.65</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2060199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其他科学技术管理事务支出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35.65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35.65</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1,344.17</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1,344.17</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2069999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1,344.17</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1,344.17</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66.40</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66.40</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63.34</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63.34</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2080501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60.30</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60.30</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2080502</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3.04</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3.04</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3.06</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3.06</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2089999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3.06</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3.06</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卫生健康支出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53.53</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53.53</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21011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53.53</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53.53</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2101103</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53.53</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53.53</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节能环保支出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192.52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192.52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21113</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循环经济</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177.20</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177.20</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2111301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循环经济</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177.20</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177.20</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其他节能环保支出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15.32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15.32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2119999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其他节能环保支出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15.32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15.32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资源勘探工业信息等支出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8,771.45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8,679.14</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92.31</w:t>
            </w: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21502</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制造业</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237.97</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237.97</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2150299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其他制造业支出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237.97</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237.97</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工业和信息产业监管</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8,518.67</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8,426.36</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92.31</w:t>
            </w: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3,236.68</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3,236.68</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2150502</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一般行政管理事务</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694.17</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694.17</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2150508</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无线电及信息通信监管</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639.35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606.84</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32.51</w:t>
            </w: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2150517</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产业发展</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2,100.00</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2,100.00</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其他工业和信息产业监管支出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1,848.47</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1,788.67</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59.80</w:t>
            </w: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21508</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支持中小企业发展和管理支出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14.81</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14.81</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2150899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其他支持中小企业发展和管理支出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14.81</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14.81</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援助其他地区支出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15.62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15.62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21999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15.62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15.62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住房保障支出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1,484.52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1,484.52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1,484.52</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1,484.52</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2210201</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348.46</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348.46</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2210202</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823.66</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823.66</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2210203</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312.40</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312.40</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222</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粮油物资储备支出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39.95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39.95</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22205</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重要商品储备</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39.95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39.95</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2220509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食盐储备</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39.95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39.95</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其他支出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171.35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171.35</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171.35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171.35</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r w:rsidR="00AF0ECA">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2299999</w:t>
            </w:r>
          </w:p>
        </w:tc>
        <w:tc>
          <w:tcPr>
            <w:tcW w:w="315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171.35</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20"/>
                <w:szCs w:val="20"/>
              </w:rPr>
            </w:pPr>
            <w:r>
              <w:rPr>
                <w:rFonts w:ascii="仿宋" w:eastAsia="仿宋" w:hAnsi="仿宋" w:cs="仿宋" w:hint="eastAsia"/>
                <w:sz w:val="20"/>
                <w:szCs w:val="20"/>
              </w:rPr>
              <w:t>171.35</w:t>
            </w:r>
          </w:p>
        </w:tc>
        <w:tc>
          <w:tcPr>
            <w:tcW w:w="168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sz w:val="20"/>
                <w:szCs w:val="20"/>
              </w:rPr>
            </w:pPr>
          </w:p>
        </w:tc>
      </w:tr>
    </w:tbl>
    <w:p w:rsidR="00AF0ECA" w:rsidRDefault="00996CBB">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本表反映本年度取得的各项收入情况。本表金额单位转换时可能存在尾数误差。</w:t>
      </w:r>
    </w:p>
    <w:p w:rsidR="00AF0ECA" w:rsidRDefault="00AF0ECA">
      <w:pPr>
        <w:spacing w:before="66"/>
        <w:ind w:left="57" w:firstLineChars="100" w:firstLine="220"/>
        <w:jc w:val="both"/>
        <w:rPr>
          <w:rFonts w:ascii="仿宋" w:eastAsia="仿宋" w:hAnsi="仿宋" w:cs="仿宋"/>
        </w:rPr>
        <w:sectPr w:rsidR="00AF0ECA">
          <w:footerReference w:type="default" r:id="rId16"/>
          <w:pgSz w:w="16838" w:h="11906" w:orient="landscape"/>
          <w:pgMar w:top="720" w:right="113" w:bottom="720" w:left="113" w:header="170" w:footer="280" w:gutter="0"/>
          <w:pgNumType w:fmt="numberInDash"/>
          <w:cols w:space="720"/>
          <w:formProt w:val="0"/>
          <w:docGrid w:linePitch="100"/>
        </w:sectPr>
      </w:pPr>
    </w:p>
    <w:tbl>
      <w:tblPr>
        <w:tblW w:w="15689" w:type="dxa"/>
        <w:tblInd w:w="63" w:type="dxa"/>
        <w:tblLayout w:type="fixed"/>
        <w:tblCellMar>
          <w:top w:w="55" w:type="dxa"/>
          <w:left w:w="55" w:type="dxa"/>
          <w:bottom w:w="55" w:type="dxa"/>
          <w:right w:w="55" w:type="dxa"/>
        </w:tblCellMar>
        <w:tblLook w:val="04A0"/>
      </w:tblPr>
      <w:tblGrid>
        <w:gridCol w:w="1188"/>
        <w:gridCol w:w="3927"/>
        <w:gridCol w:w="2164"/>
        <w:gridCol w:w="1897"/>
        <w:gridCol w:w="1739"/>
        <w:gridCol w:w="1715"/>
        <w:gridCol w:w="1633"/>
        <w:gridCol w:w="1426"/>
      </w:tblGrid>
      <w:tr w:rsidR="00AF0ECA">
        <w:trPr>
          <w:trHeight w:val="532"/>
        </w:trPr>
        <w:tc>
          <w:tcPr>
            <w:tcW w:w="15689" w:type="dxa"/>
            <w:gridSpan w:val="8"/>
            <w:vAlign w:val="center"/>
          </w:tcPr>
          <w:p w:rsidR="00AF0ECA" w:rsidRDefault="00996CBB">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AF0ECA">
        <w:trPr>
          <w:trHeight w:val="227"/>
        </w:trPr>
        <w:tc>
          <w:tcPr>
            <w:tcW w:w="5115" w:type="dxa"/>
            <w:gridSpan w:val="2"/>
            <w:vAlign w:val="center"/>
          </w:tcPr>
          <w:p w:rsidR="00AF0ECA" w:rsidRDefault="00AF0ECA">
            <w:pPr>
              <w:pStyle w:val="TableParagraph"/>
              <w:jc w:val="center"/>
              <w:rPr>
                <w:rFonts w:ascii="仿宋" w:eastAsia="仿宋" w:hAnsi="仿宋" w:cs="仿宋"/>
              </w:rPr>
            </w:pPr>
          </w:p>
        </w:tc>
        <w:tc>
          <w:tcPr>
            <w:tcW w:w="2164" w:type="dxa"/>
            <w:vAlign w:val="center"/>
          </w:tcPr>
          <w:p w:rsidR="00AF0ECA" w:rsidRDefault="00AF0ECA">
            <w:pPr>
              <w:pStyle w:val="TableParagraph"/>
              <w:jc w:val="center"/>
              <w:rPr>
                <w:rFonts w:ascii="仿宋" w:eastAsia="仿宋" w:hAnsi="仿宋" w:cs="仿宋"/>
                <w:sz w:val="20"/>
              </w:rPr>
            </w:pPr>
          </w:p>
        </w:tc>
        <w:tc>
          <w:tcPr>
            <w:tcW w:w="1897" w:type="dxa"/>
            <w:vAlign w:val="center"/>
          </w:tcPr>
          <w:p w:rsidR="00AF0ECA" w:rsidRDefault="00AF0ECA">
            <w:pPr>
              <w:pStyle w:val="TableParagraph"/>
              <w:jc w:val="center"/>
              <w:rPr>
                <w:rFonts w:ascii="仿宋" w:eastAsia="仿宋" w:hAnsi="仿宋" w:cs="仿宋"/>
                <w:sz w:val="20"/>
              </w:rPr>
            </w:pPr>
          </w:p>
        </w:tc>
        <w:tc>
          <w:tcPr>
            <w:tcW w:w="1739" w:type="dxa"/>
            <w:vAlign w:val="center"/>
          </w:tcPr>
          <w:p w:rsidR="00AF0ECA" w:rsidRDefault="00AF0ECA">
            <w:pPr>
              <w:pStyle w:val="TableParagraph"/>
              <w:jc w:val="center"/>
              <w:rPr>
                <w:rFonts w:ascii="仿宋" w:eastAsia="仿宋" w:hAnsi="仿宋" w:cs="仿宋"/>
                <w:sz w:val="20"/>
              </w:rPr>
            </w:pPr>
          </w:p>
        </w:tc>
        <w:tc>
          <w:tcPr>
            <w:tcW w:w="1715" w:type="dxa"/>
            <w:vAlign w:val="center"/>
          </w:tcPr>
          <w:p w:rsidR="00AF0ECA" w:rsidRDefault="00AF0ECA">
            <w:pPr>
              <w:pStyle w:val="TableParagraph"/>
              <w:jc w:val="center"/>
              <w:rPr>
                <w:rFonts w:ascii="仿宋" w:eastAsia="仿宋" w:hAnsi="仿宋" w:cs="仿宋"/>
                <w:sz w:val="20"/>
              </w:rPr>
            </w:pPr>
          </w:p>
        </w:tc>
        <w:tc>
          <w:tcPr>
            <w:tcW w:w="3059" w:type="dxa"/>
            <w:gridSpan w:val="2"/>
            <w:vAlign w:val="center"/>
          </w:tcPr>
          <w:p w:rsidR="00AF0ECA" w:rsidRDefault="00996CBB">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03</w:t>
            </w:r>
            <w:r>
              <w:rPr>
                <w:rFonts w:ascii="仿宋" w:eastAsia="仿宋" w:hAnsi="仿宋" w:cs="仿宋" w:hint="eastAsia"/>
              </w:rPr>
              <w:t>表</w:t>
            </w:r>
          </w:p>
        </w:tc>
      </w:tr>
      <w:tr w:rsidR="00AF0ECA">
        <w:trPr>
          <w:trHeight w:val="90"/>
        </w:trPr>
        <w:tc>
          <w:tcPr>
            <w:tcW w:w="12630" w:type="dxa"/>
            <w:gridSpan w:val="6"/>
            <w:vAlign w:val="center"/>
          </w:tcPr>
          <w:p w:rsidR="00AF0ECA" w:rsidRDefault="00996CB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3059" w:type="dxa"/>
            <w:gridSpan w:val="2"/>
            <w:vAlign w:val="center"/>
          </w:tcPr>
          <w:p w:rsidR="00AF0ECA" w:rsidRDefault="00996CBB">
            <w:pPr>
              <w:pStyle w:val="TableParagraph"/>
              <w:jc w:val="right"/>
              <w:rPr>
                <w:rFonts w:ascii="仿宋" w:eastAsia="仿宋" w:hAnsi="仿宋" w:cs="仿宋"/>
              </w:rPr>
            </w:pPr>
            <w:r>
              <w:rPr>
                <w:rFonts w:ascii="仿宋" w:eastAsia="仿宋" w:hAnsi="仿宋" w:cs="仿宋" w:hint="eastAsia"/>
              </w:rPr>
              <w:t>金额单位：万元</w:t>
            </w:r>
          </w:p>
        </w:tc>
      </w:tr>
      <w:tr w:rsidR="00AF0ECA">
        <w:trPr>
          <w:trHeight w:val="90"/>
        </w:trPr>
        <w:tc>
          <w:tcPr>
            <w:tcW w:w="5115" w:type="dxa"/>
            <w:gridSpan w:val="2"/>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项目</w:t>
            </w:r>
          </w:p>
        </w:tc>
        <w:tc>
          <w:tcPr>
            <w:tcW w:w="2164"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本年支出合计</w:t>
            </w:r>
          </w:p>
        </w:tc>
        <w:tc>
          <w:tcPr>
            <w:tcW w:w="1897"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基本支出</w:t>
            </w:r>
          </w:p>
        </w:tc>
        <w:tc>
          <w:tcPr>
            <w:tcW w:w="1739"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项目支出</w:t>
            </w:r>
          </w:p>
        </w:tc>
        <w:tc>
          <w:tcPr>
            <w:tcW w:w="1715"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上缴上级支出</w:t>
            </w:r>
          </w:p>
        </w:tc>
        <w:tc>
          <w:tcPr>
            <w:tcW w:w="1633" w:type="dxa"/>
            <w:vMerge w:val="restart"/>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经营支出</w:t>
            </w:r>
          </w:p>
        </w:tc>
        <w:tc>
          <w:tcPr>
            <w:tcW w:w="1426" w:type="dxa"/>
            <w:vMerge w:val="restart"/>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对附属单位补助支出</w:t>
            </w:r>
          </w:p>
        </w:tc>
      </w:tr>
      <w:tr w:rsidR="00AF0ECA">
        <w:trPr>
          <w:trHeight w:val="176"/>
        </w:trPr>
        <w:tc>
          <w:tcPr>
            <w:tcW w:w="1188"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功能分类</w:t>
            </w:r>
          </w:p>
          <w:p w:rsidR="00AF0ECA" w:rsidRDefault="00996CBB">
            <w:pPr>
              <w:pStyle w:val="TableParagraph"/>
              <w:jc w:val="center"/>
              <w:rPr>
                <w:rFonts w:ascii="仿宋" w:eastAsia="仿宋" w:hAnsi="仿宋" w:cs="仿宋"/>
              </w:rPr>
            </w:pPr>
            <w:r>
              <w:rPr>
                <w:rFonts w:ascii="仿宋" w:eastAsia="仿宋" w:hAnsi="仿宋" w:cs="仿宋" w:hint="eastAsia"/>
              </w:rPr>
              <w:t>科目编码</w:t>
            </w:r>
          </w:p>
        </w:tc>
        <w:tc>
          <w:tcPr>
            <w:tcW w:w="3927"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2164" w:type="dxa"/>
            <w:vMerge/>
            <w:tcBorders>
              <w:left w:val="single" w:sz="4" w:space="0" w:color="000000"/>
              <w:bottom w:val="single" w:sz="4" w:space="0" w:color="000000"/>
            </w:tcBorders>
          </w:tcPr>
          <w:p w:rsidR="00AF0ECA" w:rsidRDefault="00AF0ECA">
            <w:pPr>
              <w:rPr>
                <w:rFonts w:ascii="仿宋" w:eastAsia="仿宋" w:hAnsi="仿宋" w:cs="仿宋"/>
              </w:rPr>
            </w:pPr>
          </w:p>
        </w:tc>
        <w:tc>
          <w:tcPr>
            <w:tcW w:w="1897" w:type="dxa"/>
            <w:vMerge/>
            <w:tcBorders>
              <w:left w:val="single" w:sz="4" w:space="0" w:color="000000"/>
              <w:bottom w:val="single" w:sz="4" w:space="0" w:color="000000"/>
            </w:tcBorders>
          </w:tcPr>
          <w:p w:rsidR="00AF0ECA" w:rsidRDefault="00AF0ECA">
            <w:pPr>
              <w:rPr>
                <w:rFonts w:ascii="仿宋" w:eastAsia="仿宋" w:hAnsi="仿宋" w:cs="仿宋"/>
              </w:rPr>
            </w:pPr>
          </w:p>
        </w:tc>
        <w:tc>
          <w:tcPr>
            <w:tcW w:w="1739" w:type="dxa"/>
            <w:vMerge/>
            <w:tcBorders>
              <w:left w:val="single" w:sz="4" w:space="0" w:color="000000"/>
              <w:bottom w:val="single" w:sz="4" w:space="0" w:color="000000"/>
            </w:tcBorders>
          </w:tcPr>
          <w:p w:rsidR="00AF0ECA" w:rsidRDefault="00AF0ECA">
            <w:pPr>
              <w:rPr>
                <w:rFonts w:ascii="仿宋" w:eastAsia="仿宋" w:hAnsi="仿宋" w:cs="仿宋"/>
              </w:rPr>
            </w:pPr>
          </w:p>
        </w:tc>
        <w:tc>
          <w:tcPr>
            <w:tcW w:w="1715" w:type="dxa"/>
            <w:vMerge/>
            <w:tcBorders>
              <w:left w:val="single" w:sz="4" w:space="0" w:color="000000"/>
              <w:bottom w:val="single" w:sz="4" w:space="0" w:color="000000"/>
            </w:tcBorders>
          </w:tcPr>
          <w:p w:rsidR="00AF0ECA" w:rsidRDefault="00AF0ECA">
            <w:pPr>
              <w:rPr>
                <w:rFonts w:ascii="仿宋" w:eastAsia="仿宋" w:hAnsi="仿宋" w:cs="仿宋"/>
              </w:rPr>
            </w:pPr>
          </w:p>
        </w:tc>
        <w:tc>
          <w:tcPr>
            <w:tcW w:w="1633" w:type="dxa"/>
            <w:vMerge/>
            <w:tcBorders>
              <w:left w:val="single" w:sz="4" w:space="0" w:color="000000"/>
              <w:bottom w:val="single" w:sz="4" w:space="0" w:color="000000"/>
            </w:tcBorders>
          </w:tcPr>
          <w:p w:rsidR="00AF0ECA" w:rsidRDefault="00AF0ECA">
            <w:pPr>
              <w:rPr>
                <w:rFonts w:ascii="仿宋" w:eastAsia="仿宋" w:hAnsi="仿宋" w:cs="仿宋"/>
              </w:rPr>
            </w:pPr>
          </w:p>
        </w:tc>
        <w:tc>
          <w:tcPr>
            <w:tcW w:w="1426"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rPr>
            </w:pPr>
          </w:p>
        </w:tc>
      </w:tr>
      <w:tr w:rsidR="00AF0ECA">
        <w:trPr>
          <w:trHeight w:hRule="exact" w:val="382"/>
        </w:trPr>
        <w:tc>
          <w:tcPr>
            <w:tcW w:w="5115"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rPr>
              <w:t>合计</w:t>
            </w:r>
          </w:p>
        </w:tc>
        <w:tc>
          <w:tcPr>
            <w:tcW w:w="2164" w:type="dxa"/>
            <w:tcBorders>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12,336.79</w:t>
            </w:r>
          </w:p>
        </w:tc>
        <w:tc>
          <w:tcPr>
            <w:tcW w:w="1897" w:type="dxa"/>
            <w:tcBorders>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5,665.29</w:t>
            </w:r>
          </w:p>
        </w:tc>
        <w:tc>
          <w:tcPr>
            <w:tcW w:w="1739" w:type="dxa"/>
            <w:tcBorders>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6,671.49</w:t>
            </w:r>
          </w:p>
        </w:tc>
        <w:tc>
          <w:tcPr>
            <w:tcW w:w="1715" w:type="dxa"/>
            <w:tcBorders>
              <w:left w:val="single" w:sz="4" w:space="0" w:color="000000"/>
              <w:bottom w:val="single" w:sz="4" w:space="0" w:color="000000"/>
            </w:tcBorders>
            <w:vAlign w:val="center"/>
          </w:tcPr>
          <w:p w:rsidR="00AF0ECA" w:rsidRDefault="00AF0ECA">
            <w:pPr>
              <w:jc w:val="right"/>
              <w:rPr>
                <w:rFonts w:ascii="仿宋" w:eastAsia="仿宋" w:hAnsi="仿宋" w:cs="仿宋"/>
              </w:rPr>
            </w:pPr>
          </w:p>
        </w:tc>
        <w:tc>
          <w:tcPr>
            <w:tcW w:w="1633" w:type="dxa"/>
            <w:tcBorders>
              <w:left w:val="single" w:sz="4" w:space="0" w:color="000000"/>
              <w:bottom w:val="single" w:sz="4" w:space="0" w:color="000000"/>
            </w:tcBorders>
            <w:vAlign w:val="center"/>
          </w:tcPr>
          <w:p w:rsidR="00AF0ECA" w:rsidRDefault="00AF0ECA">
            <w:pPr>
              <w:jc w:val="right"/>
              <w:rPr>
                <w:rFonts w:ascii="仿宋" w:eastAsia="仿宋" w:hAnsi="仿宋" w:cs="仿宋"/>
              </w:rPr>
            </w:pPr>
          </w:p>
        </w:tc>
        <w:tc>
          <w:tcPr>
            <w:tcW w:w="1426" w:type="dxa"/>
            <w:tcBorders>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一般公共服务支出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161.62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161.62</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20103</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161.62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161.62</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2010301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161.62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161.62</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206</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科学技术支出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1,379.82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1,379.82</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20601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科学技术管理事务</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35.65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35.65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2060199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其他科学技术管理事务支出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35.65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35.65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20699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1,344.17</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1,344.17</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2069999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1,344.17</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1,344.17</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208</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66.40</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63.34</w:t>
            </w: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3.06</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20805</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63.34</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63.34</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2080501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60.30</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60.30</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2080502</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3.04</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3.04</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20899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3.06</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3.06</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2089999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3.06</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3.06</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210</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卫生健康支出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53.53</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53.53</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21011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53.53</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53.53</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lastRenderedPageBreak/>
              <w:t>2101103</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53.53</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53.53</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节能环保支出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192.52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192.52</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21113</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循环经济</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177.20</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177.20</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2111301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循环经济</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177.20</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177.20</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21199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其他节能环保支出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15.32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15.32</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2119999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其他节能环保支出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15.32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15.32</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资源勘探工业信息等支出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8,771.45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3,894.54</w:t>
            </w: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4,876.91</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21502</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制造业</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237.97</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237.97</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2150299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其他制造业支出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237.97</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237.97</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21505</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工业和信息产业监管</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8,518.67</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3,894.54</w:t>
            </w: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4,624.14</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2150501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3,236.68</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3,236.68</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2150502</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一般行政管理事务</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694.17</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694.17</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2150508</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无线电及信息通信监管</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639.35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639.35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2150517</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产业发展</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2,100.00</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2,100.00</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2150599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其他工业和信息产业监管支出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1,848.47</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657.86</w:t>
            </w: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1,190.61</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21508</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支持中小企业发展和管理支出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14.81</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14.81</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2150899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其他支持中小企业发展和管理支出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14.81</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14.81</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援助其他地区支出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15.62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7.74</w:t>
            </w: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7.88</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21999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15.62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7.74</w:t>
            </w: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7.88</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住房保障支出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1,484.52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1,484.52</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22102</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1,484.52</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1,484.52</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lastRenderedPageBreak/>
              <w:t>2210201</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348.46</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348.46</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2210202</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823.66</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823.66</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2210203</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312.40</w:t>
            </w:r>
          </w:p>
        </w:tc>
        <w:tc>
          <w:tcPr>
            <w:tcW w:w="189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312.40</w:t>
            </w:r>
          </w:p>
        </w:tc>
        <w:tc>
          <w:tcPr>
            <w:tcW w:w="1739"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222</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粮油物资储备支出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39.95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39.95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22205</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重要商品储备</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39.95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39.95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2220509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食盐储备</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39.95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39.95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其他支出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171.35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171.35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22999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171.35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171.35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r w:rsidR="00AF0ECA">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2299999</w:t>
            </w:r>
          </w:p>
        </w:tc>
        <w:tc>
          <w:tcPr>
            <w:tcW w:w="3927"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164"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171.35</w:t>
            </w:r>
          </w:p>
        </w:tc>
        <w:tc>
          <w:tcPr>
            <w:tcW w:w="1897"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AF0ECA" w:rsidRDefault="00996CBB">
            <w:pPr>
              <w:pStyle w:val="TableParagraph"/>
              <w:spacing w:before="30"/>
              <w:ind w:left="107"/>
              <w:jc w:val="right"/>
              <w:rPr>
                <w:rFonts w:ascii="仿宋" w:eastAsia="仿宋" w:hAnsi="仿宋" w:cs="仿宋"/>
              </w:rPr>
            </w:pPr>
            <w:r>
              <w:rPr>
                <w:rFonts w:ascii="仿宋" w:eastAsia="仿宋" w:hAnsi="仿宋" w:cs="仿宋" w:hint="eastAsia"/>
              </w:rPr>
              <w:t>171.35</w:t>
            </w:r>
          </w:p>
        </w:tc>
        <w:tc>
          <w:tcPr>
            <w:tcW w:w="1715"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AF0ECA" w:rsidRDefault="00AF0ECA">
            <w:pPr>
              <w:pStyle w:val="TableParagraph"/>
              <w:spacing w:before="30"/>
              <w:ind w:left="107"/>
              <w:jc w:val="right"/>
              <w:rPr>
                <w:rFonts w:ascii="仿宋" w:eastAsia="仿宋" w:hAnsi="仿宋" w:cs="仿宋"/>
              </w:rPr>
            </w:pPr>
          </w:p>
        </w:tc>
      </w:tr>
    </w:tbl>
    <w:p w:rsidR="00AF0ECA" w:rsidRDefault="00996CBB">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AF0ECA" w:rsidRDefault="00AF0ECA">
      <w:pPr>
        <w:spacing w:before="59"/>
        <w:ind w:left="57"/>
        <w:rPr>
          <w:rFonts w:ascii="仿宋" w:eastAsia="仿宋" w:hAnsi="仿宋" w:cs="仿宋"/>
        </w:rPr>
        <w:sectPr w:rsidR="00AF0ECA">
          <w:footerReference w:type="default" r:id="rId17"/>
          <w:pgSz w:w="16838" w:h="11906" w:orient="landscape"/>
          <w:pgMar w:top="720" w:right="567" w:bottom="720" w:left="567"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AF0ECA">
        <w:trPr>
          <w:trHeight w:val="319"/>
        </w:trPr>
        <w:tc>
          <w:tcPr>
            <w:tcW w:w="15372" w:type="dxa"/>
            <w:gridSpan w:val="10"/>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AF0ECA">
        <w:trPr>
          <w:trHeight w:val="319"/>
        </w:trPr>
        <w:tc>
          <w:tcPr>
            <w:tcW w:w="5562" w:type="dxa"/>
            <w:gridSpan w:val="2"/>
          </w:tcPr>
          <w:p w:rsidR="00AF0ECA" w:rsidRDefault="00AF0ECA">
            <w:pPr>
              <w:pStyle w:val="TableParagraph"/>
              <w:rPr>
                <w:rFonts w:ascii="仿宋" w:eastAsia="仿宋" w:hAnsi="仿宋" w:cs="仿宋"/>
                <w:sz w:val="20"/>
              </w:rPr>
            </w:pPr>
          </w:p>
        </w:tc>
        <w:tc>
          <w:tcPr>
            <w:tcW w:w="847" w:type="dxa"/>
          </w:tcPr>
          <w:p w:rsidR="00AF0ECA" w:rsidRDefault="00AF0ECA">
            <w:pPr>
              <w:pStyle w:val="TableParagraph"/>
              <w:rPr>
                <w:rFonts w:ascii="仿宋" w:eastAsia="仿宋" w:hAnsi="仿宋" w:cs="仿宋"/>
                <w:sz w:val="20"/>
              </w:rPr>
            </w:pPr>
          </w:p>
        </w:tc>
        <w:tc>
          <w:tcPr>
            <w:tcW w:w="1913" w:type="dxa"/>
          </w:tcPr>
          <w:p w:rsidR="00AF0ECA" w:rsidRDefault="00AF0ECA">
            <w:pPr>
              <w:pStyle w:val="TableParagraph"/>
              <w:rPr>
                <w:rFonts w:ascii="仿宋" w:eastAsia="仿宋" w:hAnsi="仿宋" w:cs="仿宋"/>
                <w:sz w:val="20"/>
              </w:rPr>
            </w:pPr>
          </w:p>
        </w:tc>
        <w:tc>
          <w:tcPr>
            <w:tcW w:w="2635" w:type="dxa"/>
            <w:gridSpan w:val="2"/>
          </w:tcPr>
          <w:p w:rsidR="00AF0ECA" w:rsidRDefault="00AF0ECA">
            <w:pPr>
              <w:pStyle w:val="TableParagraph"/>
              <w:rPr>
                <w:rFonts w:ascii="仿宋" w:eastAsia="仿宋" w:hAnsi="仿宋" w:cs="仿宋"/>
                <w:sz w:val="20"/>
              </w:rPr>
            </w:pPr>
          </w:p>
        </w:tc>
        <w:tc>
          <w:tcPr>
            <w:tcW w:w="1194" w:type="dxa"/>
          </w:tcPr>
          <w:p w:rsidR="00AF0ECA" w:rsidRDefault="00AF0ECA">
            <w:pPr>
              <w:pStyle w:val="TableParagraph"/>
              <w:rPr>
                <w:rFonts w:ascii="仿宋" w:eastAsia="仿宋" w:hAnsi="仿宋" w:cs="仿宋"/>
                <w:sz w:val="20"/>
              </w:rPr>
            </w:pPr>
          </w:p>
        </w:tc>
        <w:tc>
          <w:tcPr>
            <w:tcW w:w="3221" w:type="dxa"/>
            <w:gridSpan w:val="3"/>
            <w:vAlign w:val="center"/>
          </w:tcPr>
          <w:p w:rsidR="00AF0ECA" w:rsidRDefault="00996CBB">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AF0ECA">
        <w:trPr>
          <w:trHeight w:val="319"/>
        </w:trPr>
        <w:tc>
          <w:tcPr>
            <w:tcW w:w="12151" w:type="dxa"/>
            <w:gridSpan w:val="7"/>
          </w:tcPr>
          <w:p w:rsidR="00AF0ECA" w:rsidRDefault="00996CB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3221" w:type="dxa"/>
            <w:gridSpan w:val="3"/>
            <w:vAlign w:val="center"/>
          </w:tcPr>
          <w:p w:rsidR="00AF0ECA" w:rsidRDefault="00996CBB">
            <w:pPr>
              <w:pStyle w:val="TableParagraph"/>
              <w:jc w:val="right"/>
              <w:rPr>
                <w:rFonts w:ascii="仿宋" w:eastAsia="仿宋" w:hAnsi="仿宋" w:cs="仿宋"/>
              </w:rPr>
            </w:pPr>
            <w:r>
              <w:rPr>
                <w:rFonts w:ascii="仿宋" w:eastAsia="仿宋" w:hAnsi="仿宋" w:cs="仿宋" w:hint="eastAsia"/>
              </w:rPr>
              <w:t>金额单位：万元</w:t>
            </w:r>
          </w:p>
        </w:tc>
      </w:tr>
      <w:tr w:rsidR="00AF0ECA">
        <w:trPr>
          <w:trHeight w:val="162"/>
        </w:trPr>
        <w:tc>
          <w:tcPr>
            <w:tcW w:w="5562" w:type="dxa"/>
            <w:gridSpan w:val="2"/>
            <w:tcBorders>
              <w:top w:val="single" w:sz="4" w:space="0" w:color="000000"/>
              <w:left w:val="single" w:sz="4" w:space="0" w:color="000000"/>
              <w:bottom w:val="single" w:sz="4" w:space="0" w:color="000000"/>
            </w:tcBorders>
          </w:tcPr>
          <w:p w:rsidR="00AF0ECA" w:rsidRDefault="00996CBB">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r>
            <w:r>
              <w:rPr>
                <w:rFonts w:ascii="仿宋" w:eastAsia="仿宋" w:hAnsi="仿宋" w:cs="仿宋" w:hint="eastAsia"/>
              </w:rPr>
              <w:t>入</w:t>
            </w:r>
          </w:p>
        </w:tc>
        <w:tc>
          <w:tcPr>
            <w:tcW w:w="9810" w:type="dxa"/>
            <w:gridSpan w:val="8"/>
            <w:tcBorders>
              <w:top w:val="single" w:sz="4" w:space="0" w:color="000000"/>
              <w:left w:val="single" w:sz="4" w:space="0" w:color="000000"/>
              <w:bottom w:val="single" w:sz="4" w:space="0" w:color="000000"/>
              <w:right w:val="single" w:sz="4" w:space="0" w:color="000000"/>
            </w:tcBorders>
          </w:tcPr>
          <w:p w:rsidR="00AF0ECA" w:rsidRDefault="00996CBB">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r>
            <w:r>
              <w:rPr>
                <w:rFonts w:ascii="仿宋" w:eastAsia="仿宋" w:hAnsi="仿宋" w:cs="仿宋" w:hint="eastAsia"/>
              </w:rPr>
              <w:t>出</w:t>
            </w:r>
          </w:p>
        </w:tc>
      </w:tr>
      <w:tr w:rsidR="00AF0ECA">
        <w:trPr>
          <w:trHeight w:val="199"/>
        </w:trPr>
        <w:tc>
          <w:tcPr>
            <w:tcW w:w="3725" w:type="dxa"/>
            <w:vMerge w:val="restart"/>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837" w:type="dxa"/>
            <w:vMerge w:val="restart"/>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AF0ECA" w:rsidRDefault="00996CBB">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AF0ECA" w:rsidRDefault="00996CBB">
            <w:pPr>
              <w:jc w:val="center"/>
              <w:rPr>
                <w:rFonts w:ascii="仿宋" w:eastAsia="仿宋" w:hAnsi="仿宋" w:cs="仿宋"/>
              </w:rPr>
            </w:pPr>
            <w:r>
              <w:rPr>
                <w:rFonts w:ascii="仿宋" w:eastAsia="仿宋" w:hAnsi="仿宋" w:cs="仿宋" w:hint="eastAsia"/>
              </w:rPr>
              <w:t>决算数</w:t>
            </w:r>
          </w:p>
        </w:tc>
      </w:tr>
      <w:tr w:rsidR="00AF0ECA">
        <w:trPr>
          <w:trHeight w:val="578"/>
        </w:trPr>
        <w:tc>
          <w:tcPr>
            <w:tcW w:w="3725" w:type="dxa"/>
            <w:vMerge/>
            <w:tcBorders>
              <w:left w:val="single" w:sz="4" w:space="0" w:color="000000"/>
              <w:bottom w:val="single" w:sz="4" w:space="0" w:color="000000"/>
            </w:tcBorders>
          </w:tcPr>
          <w:p w:rsidR="00AF0ECA" w:rsidRDefault="00AF0ECA">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AF0ECA" w:rsidRDefault="00AF0ECA">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AF0ECA" w:rsidRDefault="00AF0ECA">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国有资本经营预算财政拨款</w:t>
            </w: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12,244.47</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1,379.82</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1,379.82</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66.40</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66.40</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192.52</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192.52</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8,679.14</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8,679.14</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15.62</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15.62</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hRule="exact" w:val="359"/>
        </w:trPr>
        <w:tc>
          <w:tcPr>
            <w:tcW w:w="3725" w:type="dxa"/>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12,244.47</w:t>
            </w:r>
          </w:p>
        </w:tc>
        <w:tc>
          <w:tcPr>
            <w:tcW w:w="3667" w:type="dxa"/>
            <w:gridSpan w:val="3"/>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12,244.47</w:t>
            </w:r>
          </w:p>
        </w:tc>
        <w:tc>
          <w:tcPr>
            <w:tcW w:w="1415" w:type="dxa"/>
            <w:gridSpan w:val="2"/>
            <w:tcBorders>
              <w:top w:val="single" w:sz="4" w:space="0" w:color="000000"/>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12,244.47</w:t>
            </w:r>
          </w:p>
        </w:tc>
        <w:tc>
          <w:tcPr>
            <w:tcW w:w="1500" w:type="dxa"/>
            <w:tcBorders>
              <w:top w:val="single" w:sz="4" w:space="0" w:color="000000"/>
              <w:left w:val="single" w:sz="4" w:space="0" w:color="000000"/>
              <w:bottom w:val="single" w:sz="4" w:space="0" w:color="000000"/>
            </w:tcBorders>
            <w:vAlign w:val="center"/>
          </w:tcPr>
          <w:p w:rsidR="00AF0ECA" w:rsidRDefault="00AF0ECA">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trHeight w:val="242"/>
        </w:trPr>
        <w:tc>
          <w:tcPr>
            <w:tcW w:w="3725"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42"/>
        </w:trPr>
        <w:tc>
          <w:tcPr>
            <w:tcW w:w="3725"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AF0ECA" w:rsidRDefault="00AF0ECA">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42"/>
        </w:trPr>
        <w:tc>
          <w:tcPr>
            <w:tcW w:w="3725"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AF0ECA" w:rsidRDefault="00AF0ECA">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trHeight w:val="242"/>
        </w:trPr>
        <w:tc>
          <w:tcPr>
            <w:tcW w:w="3725"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AF0ECA" w:rsidRDefault="00AF0ECA">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hRule="exact" w:val="322"/>
        </w:trPr>
        <w:tc>
          <w:tcPr>
            <w:tcW w:w="3725"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12,244.47</w:t>
            </w:r>
          </w:p>
        </w:tc>
        <w:tc>
          <w:tcPr>
            <w:tcW w:w="3667" w:type="dxa"/>
            <w:gridSpan w:val="3"/>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12,244.47</w:t>
            </w:r>
          </w:p>
        </w:tc>
        <w:tc>
          <w:tcPr>
            <w:tcW w:w="1415" w:type="dxa"/>
            <w:gridSpan w:val="2"/>
            <w:tcBorders>
              <w:left w:val="single" w:sz="4" w:space="0" w:color="000000"/>
              <w:bottom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12,244.47</w:t>
            </w:r>
          </w:p>
        </w:tc>
        <w:tc>
          <w:tcPr>
            <w:tcW w:w="1500" w:type="dxa"/>
            <w:tcBorders>
              <w:left w:val="single" w:sz="4" w:space="0" w:color="000000"/>
              <w:bottom w:val="single" w:sz="4" w:space="0" w:color="000000"/>
            </w:tcBorders>
            <w:vAlign w:val="center"/>
          </w:tcPr>
          <w:p w:rsidR="00AF0ECA" w:rsidRDefault="00AF0ECA">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bl>
    <w:p w:rsidR="00AF0ECA" w:rsidRDefault="00996CBB">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AF0ECA" w:rsidRDefault="00AF0ECA">
      <w:pPr>
        <w:jc w:val="both"/>
        <w:rPr>
          <w:rFonts w:ascii="仿宋" w:eastAsia="仿宋" w:hAnsi="仿宋" w:cs="仿宋"/>
        </w:rPr>
        <w:sectPr w:rsidR="00AF0ECA">
          <w:footerReference w:type="default" r:id="rId18"/>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AF0ECA">
        <w:trPr>
          <w:trHeight w:val="321"/>
        </w:trPr>
        <w:tc>
          <w:tcPr>
            <w:tcW w:w="15417" w:type="dxa"/>
            <w:gridSpan w:val="5"/>
            <w:vAlign w:val="center"/>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AF0ECA">
        <w:trPr>
          <w:trHeight w:val="321"/>
        </w:trPr>
        <w:tc>
          <w:tcPr>
            <w:tcW w:w="6300" w:type="dxa"/>
            <w:gridSpan w:val="2"/>
          </w:tcPr>
          <w:p w:rsidR="00AF0ECA" w:rsidRDefault="00AF0ECA">
            <w:pPr>
              <w:pStyle w:val="TableParagraph"/>
              <w:rPr>
                <w:rFonts w:ascii="仿宋" w:eastAsia="仿宋" w:hAnsi="仿宋" w:cs="仿宋"/>
                <w:sz w:val="20"/>
              </w:rPr>
            </w:pPr>
          </w:p>
        </w:tc>
        <w:tc>
          <w:tcPr>
            <w:tcW w:w="3184" w:type="dxa"/>
          </w:tcPr>
          <w:p w:rsidR="00AF0ECA" w:rsidRDefault="00AF0ECA">
            <w:pPr>
              <w:pStyle w:val="TableParagraph"/>
              <w:rPr>
                <w:rFonts w:ascii="仿宋" w:eastAsia="仿宋" w:hAnsi="仿宋" w:cs="仿宋"/>
                <w:sz w:val="27"/>
              </w:rPr>
            </w:pPr>
          </w:p>
        </w:tc>
        <w:tc>
          <w:tcPr>
            <w:tcW w:w="5933" w:type="dxa"/>
            <w:gridSpan w:val="2"/>
            <w:vAlign w:val="center"/>
          </w:tcPr>
          <w:p w:rsidR="00AF0ECA" w:rsidRDefault="00996CBB">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AF0ECA">
        <w:trPr>
          <w:trHeight w:val="288"/>
        </w:trPr>
        <w:tc>
          <w:tcPr>
            <w:tcW w:w="6300" w:type="dxa"/>
            <w:gridSpan w:val="2"/>
          </w:tcPr>
          <w:p w:rsidR="00AF0ECA" w:rsidRDefault="00996CB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3184" w:type="dxa"/>
          </w:tcPr>
          <w:p w:rsidR="00AF0ECA" w:rsidRDefault="00AF0ECA">
            <w:pPr>
              <w:pStyle w:val="TableParagraph"/>
              <w:rPr>
                <w:rFonts w:ascii="仿宋" w:eastAsia="仿宋" w:hAnsi="仿宋" w:cs="仿宋"/>
                <w:sz w:val="27"/>
              </w:rPr>
            </w:pPr>
          </w:p>
        </w:tc>
        <w:tc>
          <w:tcPr>
            <w:tcW w:w="2778" w:type="dxa"/>
            <w:vAlign w:val="center"/>
          </w:tcPr>
          <w:p w:rsidR="00AF0ECA" w:rsidRDefault="00AF0ECA">
            <w:pPr>
              <w:pStyle w:val="TableParagraph"/>
              <w:jc w:val="right"/>
              <w:rPr>
                <w:rFonts w:ascii="仿宋" w:eastAsia="仿宋" w:hAnsi="仿宋" w:cs="仿宋"/>
                <w:sz w:val="27"/>
              </w:rPr>
            </w:pPr>
          </w:p>
        </w:tc>
        <w:tc>
          <w:tcPr>
            <w:tcW w:w="3155" w:type="dxa"/>
            <w:vAlign w:val="center"/>
          </w:tcPr>
          <w:p w:rsidR="00AF0ECA" w:rsidRDefault="00996CBB">
            <w:pPr>
              <w:pStyle w:val="TableParagraph"/>
              <w:jc w:val="right"/>
              <w:rPr>
                <w:rFonts w:ascii="仿宋" w:eastAsia="仿宋" w:hAnsi="仿宋" w:cs="仿宋"/>
                <w:sz w:val="27"/>
              </w:rPr>
            </w:pPr>
            <w:r>
              <w:rPr>
                <w:rFonts w:ascii="仿宋" w:eastAsia="仿宋" w:hAnsi="仿宋" w:cs="仿宋" w:hint="eastAsia"/>
              </w:rPr>
              <w:t>金额单位：万元</w:t>
            </w:r>
          </w:p>
        </w:tc>
      </w:tr>
      <w:tr w:rsidR="00AF0ECA">
        <w:trPr>
          <w:trHeight w:val="319"/>
        </w:trPr>
        <w:tc>
          <w:tcPr>
            <w:tcW w:w="6300" w:type="dxa"/>
            <w:gridSpan w:val="2"/>
            <w:tcBorders>
              <w:top w:val="single" w:sz="6" w:space="0" w:color="000000"/>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184" w:type="dxa"/>
            <w:vMerge w:val="restart"/>
            <w:tcBorders>
              <w:top w:val="single" w:sz="6" w:space="0" w:color="000000"/>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项目支出</w:t>
            </w:r>
          </w:p>
        </w:tc>
      </w:tr>
      <w:tr w:rsidR="00AF0ECA">
        <w:trPr>
          <w:trHeight w:val="341"/>
        </w:trPr>
        <w:tc>
          <w:tcPr>
            <w:tcW w:w="1278" w:type="dxa"/>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功能分类</w:t>
            </w:r>
          </w:p>
          <w:p w:rsidR="00AF0ECA" w:rsidRDefault="00996CBB">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AF0ECA" w:rsidRDefault="00AF0ECA">
            <w:pPr>
              <w:rPr>
                <w:rFonts w:ascii="仿宋" w:eastAsia="仿宋" w:hAnsi="仿宋" w:cs="仿宋"/>
              </w:rPr>
            </w:pPr>
          </w:p>
        </w:tc>
        <w:tc>
          <w:tcPr>
            <w:tcW w:w="2778" w:type="dxa"/>
            <w:vMerge/>
            <w:tcBorders>
              <w:left w:val="single" w:sz="6" w:space="0" w:color="000000"/>
              <w:bottom w:val="single" w:sz="6" w:space="0" w:color="000000"/>
            </w:tcBorders>
          </w:tcPr>
          <w:p w:rsidR="00AF0ECA" w:rsidRDefault="00AF0ECA">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AF0ECA" w:rsidRDefault="00AF0ECA">
            <w:pPr>
              <w:rPr>
                <w:rFonts w:ascii="仿宋" w:eastAsia="仿宋" w:hAnsi="仿宋" w:cs="仿宋"/>
              </w:rPr>
            </w:pPr>
          </w:p>
        </w:tc>
      </w:tr>
      <w:tr w:rsidR="00AF0ECA">
        <w:trPr>
          <w:trHeight w:val="275"/>
        </w:trPr>
        <w:tc>
          <w:tcPr>
            <w:tcW w:w="6300" w:type="dxa"/>
            <w:gridSpan w:val="2"/>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3</w:t>
            </w:r>
          </w:p>
        </w:tc>
      </w:tr>
      <w:tr w:rsidR="00AF0ECA">
        <w:trPr>
          <w:trHeight w:hRule="exact" w:val="374"/>
        </w:trPr>
        <w:tc>
          <w:tcPr>
            <w:tcW w:w="6300" w:type="dxa"/>
            <w:gridSpan w:val="2"/>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AF0ECA" w:rsidRDefault="00996CBB">
            <w:pPr>
              <w:pStyle w:val="TableParagraph"/>
              <w:jc w:val="right"/>
              <w:rPr>
                <w:rFonts w:ascii="仿宋" w:eastAsia="仿宋" w:hAnsi="仿宋" w:cs="仿宋"/>
              </w:rPr>
            </w:pPr>
            <w:r>
              <w:rPr>
                <w:rFonts w:ascii="仿宋" w:eastAsia="仿宋" w:hAnsi="仿宋" w:cs="仿宋" w:hint="eastAsia"/>
              </w:rPr>
              <w:t>12,244.47</w:t>
            </w:r>
          </w:p>
        </w:tc>
        <w:tc>
          <w:tcPr>
            <w:tcW w:w="2778" w:type="dxa"/>
            <w:tcBorders>
              <w:left w:val="single" w:sz="6" w:space="0" w:color="000000"/>
              <w:bottom w:val="single" w:sz="6" w:space="0" w:color="000000"/>
            </w:tcBorders>
          </w:tcPr>
          <w:p w:rsidR="00AF0ECA" w:rsidRDefault="00996CBB">
            <w:pPr>
              <w:pStyle w:val="TableParagraph"/>
              <w:jc w:val="right"/>
              <w:rPr>
                <w:rFonts w:ascii="仿宋" w:eastAsia="仿宋" w:hAnsi="仿宋" w:cs="仿宋"/>
              </w:rPr>
            </w:pPr>
            <w:r>
              <w:rPr>
                <w:rFonts w:ascii="仿宋" w:eastAsia="仿宋" w:hAnsi="仿宋" w:cs="仿宋" w:hint="eastAsia"/>
              </w:rPr>
              <w:t>5,665.29</w:t>
            </w:r>
          </w:p>
        </w:tc>
        <w:tc>
          <w:tcPr>
            <w:tcW w:w="3155" w:type="dxa"/>
            <w:tcBorders>
              <w:left w:val="single" w:sz="6" w:space="0" w:color="000000"/>
              <w:bottom w:val="single" w:sz="6" w:space="0" w:color="000000"/>
              <w:right w:val="single" w:sz="6" w:space="0" w:color="000000"/>
            </w:tcBorders>
          </w:tcPr>
          <w:p w:rsidR="00AF0ECA" w:rsidRDefault="00996CBB">
            <w:pPr>
              <w:pStyle w:val="TableParagraph"/>
              <w:jc w:val="right"/>
              <w:rPr>
                <w:rFonts w:ascii="仿宋" w:eastAsia="仿宋" w:hAnsi="仿宋" w:cs="仿宋"/>
              </w:rPr>
            </w:pPr>
            <w:r>
              <w:rPr>
                <w:rFonts w:ascii="仿宋" w:eastAsia="仿宋" w:hAnsi="仿宋" w:cs="仿宋" w:hint="eastAsia"/>
              </w:rPr>
              <w:t>6,579.18</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一般公共服务支出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20103</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2010301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科学技术支出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1,379.82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1,379.82</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20601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科学技术管理事务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35.65</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35.65</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2060199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其他科学技术管理事务支出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35.65</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35.65</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1,344.17</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1,344.17</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1,344.17</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1,344.17</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66.40</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63.34</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63.34</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63.34</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2080501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60.30</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60.30</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2080502</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3.04</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3.04</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卫生健康支出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21011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2101103</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211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节能环保支出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192.52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192.52</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21113</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循环经济</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177.20</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177.20</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2111301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循环经济</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177.20</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177.20</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其他节能环保支出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15.32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15.32</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其他节能环保支出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15.32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15.32</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资源勘探工业信息等支出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8,679.14</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3,894.54</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4,784.60</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21502</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制造业</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237.97</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237.97</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2150299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其他制造业支出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237.97</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237.97</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工业和信息产业监管</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8,426.36</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3,894.54</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4,531.82</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3,236.68</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3,236.68</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2150502</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一般行政管理事务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694.17</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694.17</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2150508</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无线电及信息通信监管</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606.84</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606.84</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2150517</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产业发展</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2,100.00</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2,100.00</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其他工业和信息产业监管支出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1,788.67</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657.86</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1,130.81</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21508</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支持中小企业发展和管理支出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14.81</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14.81</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2150899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其他支持中小企业发展和管理支出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14.81</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14.81</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援助其他地区支出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15.62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7.74</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7.88</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21999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15.62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7.74</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7.88</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348.46</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348.46</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823.66</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823.66</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312.40</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312.40</w:t>
            </w: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222</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粮油物资储备支出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22205</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重要商品储备</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2220509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食盐储备</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r>
      <w:tr w:rsidR="00AF0ECA">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c>
          <w:tcPr>
            <w:tcW w:w="2778" w:type="dxa"/>
            <w:tcBorders>
              <w:top w:val="single" w:sz="6" w:space="0" w:color="000000"/>
              <w:left w:val="single" w:sz="4" w:space="0" w:color="000000"/>
              <w:bottom w:val="single" w:sz="6"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r>
    </w:tbl>
    <w:p w:rsidR="00AF0ECA" w:rsidRDefault="00996CBB">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AF0ECA" w:rsidRDefault="00AF0ECA">
      <w:pPr>
        <w:tabs>
          <w:tab w:val="left" w:pos="55"/>
        </w:tabs>
        <w:jc w:val="both"/>
        <w:rPr>
          <w:rFonts w:ascii="仿宋" w:eastAsia="仿宋" w:hAnsi="仿宋" w:cs="仿宋"/>
        </w:rPr>
        <w:sectPr w:rsidR="00AF0ECA">
          <w:footerReference w:type="default" r:id="rId19"/>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AF0ECA">
        <w:trPr>
          <w:trHeight w:val="319"/>
        </w:trPr>
        <w:tc>
          <w:tcPr>
            <w:tcW w:w="10515" w:type="dxa"/>
            <w:gridSpan w:val="5"/>
            <w:vAlign w:val="center"/>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AF0ECA">
        <w:trPr>
          <w:trHeight w:val="319"/>
        </w:trPr>
        <w:tc>
          <w:tcPr>
            <w:tcW w:w="4532" w:type="dxa"/>
            <w:gridSpan w:val="2"/>
          </w:tcPr>
          <w:p w:rsidR="00AF0ECA" w:rsidRDefault="00AF0ECA">
            <w:pPr>
              <w:pStyle w:val="TableParagraph"/>
              <w:rPr>
                <w:rFonts w:ascii="仿宋" w:eastAsia="仿宋" w:hAnsi="仿宋" w:cs="仿宋"/>
                <w:sz w:val="20"/>
              </w:rPr>
            </w:pPr>
          </w:p>
        </w:tc>
        <w:tc>
          <w:tcPr>
            <w:tcW w:w="2047" w:type="dxa"/>
          </w:tcPr>
          <w:p w:rsidR="00AF0ECA" w:rsidRDefault="00AF0ECA">
            <w:pPr>
              <w:pStyle w:val="TableParagraph"/>
              <w:rPr>
                <w:rFonts w:ascii="仿宋" w:eastAsia="仿宋" w:hAnsi="仿宋" w:cs="仿宋"/>
                <w:sz w:val="20"/>
              </w:rPr>
            </w:pPr>
          </w:p>
        </w:tc>
        <w:tc>
          <w:tcPr>
            <w:tcW w:w="2040" w:type="dxa"/>
          </w:tcPr>
          <w:p w:rsidR="00AF0ECA" w:rsidRDefault="00AF0ECA">
            <w:pPr>
              <w:pStyle w:val="TableParagraph"/>
              <w:rPr>
                <w:rFonts w:ascii="仿宋" w:eastAsia="仿宋" w:hAnsi="仿宋" w:cs="仿宋"/>
                <w:sz w:val="20"/>
              </w:rPr>
            </w:pPr>
          </w:p>
        </w:tc>
        <w:tc>
          <w:tcPr>
            <w:tcW w:w="1896" w:type="dxa"/>
            <w:vAlign w:val="center"/>
          </w:tcPr>
          <w:p w:rsidR="00AF0ECA" w:rsidRDefault="00996CBB">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AF0ECA">
        <w:trPr>
          <w:trHeight w:val="319"/>
        </w:trPr>
        <w:tc>
          <w:tcPr>
            <w:tcW w:w="8619" w:type="dxa"/>
            <w:gridSpan w:val="4"/>
          </w:tcPr>
          <w:p w:rsidR="00AF0ECA" w:rsidRDefault="00996CB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1896" w:type="dxa"/>
            <w:vAlign w:val="center"/>
          </w:tcPr>
          <w:p w:rsidR="00AF0ECA" w:rsidRDefault="00996CBB">
            <w:pPr>
              <w:pStyle w:val="TableParagraph"/>
              <w:jc w:val="right"/>
              <w:rPr>
                <w:rFonts w:ascii="仿宋" w:eastAsia="仿宋" w:hAnsi="仿宋" w:cs="仿宋"/>
                <w:sz w:val="20"/>
              </w:rPr>
            </w:pPr>
            <w:r>
              <w:rPr>
                <w:rFonts w:ascii="仿宋" w:eastAsia="仿宋" w:hAnsi="仿宋" w:cs="仿宋" w:hint="eastAsia"/>
              </w:rPr>
              <w:t>金额单位：万元</w:t>
            </w:r>
          </w:p>
        </w:tc>
      </w:tr>
      <w:tr w:rsidR="00AF0ECA">
        <w:trPr>
          <w:trHeight w:val="243"/>
        </w:trPr>
        <w:tc>
          <w:tcPr>
            <w:tcW w:w="4532" w:type="dxa"/>
            <w:gridSpan w:val="2"/>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sz w:val="20"/>
              </w:rPr>
            </w:pPr>
            <w:r>
              <w:rPr>
                <w:rFonts w:ascii="仿宋" w:eastAsia="仿宋" w:hAnsi="仿宋" w:cs="仿宋" w:hint="eastAsia"/>
              </w:rPr>
              <w:t>财政拨款基本支出</w:t>
            </w:r>
          </w:p>
        </w:tc>
      </w:tr>
      <w:tr w:rsidR="00AF0ECA">
        <w:trPr>
          <w:trHeight w:val="483"/>
        </w:trPr>
        <w:tc>
          <w:tcPr>
            <w:tcW w:w="990"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公用经费</w:t>
            </w:r>
          </w:p>
        </w:tc>
      </w:tr>
      <w:tr w:rsidR="00AF0ECA">
        <w:trPr>
          <w:trHeight w:hRule="exact" w:val="409"/>
        </w:trPr>
        <w:tc>
          <w:tcPr>
            <w:tcW w:w="4532"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5,665.29</w:t>
            </w:r>
          </w:p>
        </w:tc>
        <w:tc>
          <w:tcPr>
            <w:tcW w:w="2040"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5,367.04</w:t>
            </w:r>
          </w:p>
        </w:tc>
        <w:tc>
          <w:tcPr>
            <w:tcW w:w="1896"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298.25</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4,691.72</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4,691.72</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539.88</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539.88</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1,496.63</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1,496.63</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1,425.64</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1,425.64</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84.36</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84.36</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265.40</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265.40</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132.70</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132.70</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124.75</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124.75</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13.51</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13.51</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17.35</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17.35</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551.32</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551.32</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40.18</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40.18</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292.22</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292.22</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28.88</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28.88</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0.01</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0.01</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0.30</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0.30</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1.05</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1.05</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5.33</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5.33</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20.15</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20.15</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0.71</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0.71</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63.24</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63.24</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1.26</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1.26</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0.22</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0.22</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0.22</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0.22</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2.29</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2.29</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0.99</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0.99</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11.82</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11.82</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45.10</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45.10</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0.78</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0.78</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103.14</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103.14</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6.74</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6.74</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675.32</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675.32</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78.68</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78.68</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508.26</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508.26</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52.05</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52.05</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7.94</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7.94</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0.40</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0.40</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0.20</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0.20</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27.80</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27.80</w:t>
            </w: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6.03</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6.03</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5.75</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5.75</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0.28</w:t>
            </w: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0.28</w:t>
            </w: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39909</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39910</w:t>
            </w:r>
          </w:p>
        </w:tc>
        <w:tc>
          <w:tcPr>
            <w:tcW w:w="35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bl>
    <w:p w:rsidR="00AF0ECA" w:rsidRDefault="00996CBB">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AF0ECA" w:rsidRDefault="00AF0ECA">
      <w:pPr>
        <w:spacing w:line="255" w:lineRule="exact"/>
        <w:jc w:val="both"/>
        <w:rPr>
          <w:rFonts w:ascii="仿宋" w:eastAsia="仿宋" w:hAnsi="仿宋" w:cs="仿宋"/>
        </w:rPr>
        <w:sectPr w:rsidR="00AF0ECA">
          <w:footerReference w:type="default" r:id="rId20"/>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AF0ECA">
        <w:trPr>
          <w:trHeight w:val="560"/>
        </w:trPr>
        <w:tc>
          <w:tcPr>
            <w:tcW w:w="10446" w:type="dxa"/>
            <w:gridSpan w:val="5"/>
            <w:vAlign w:val="center"/>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AF0ECA">
        <w:trPr>
          <w:trHeight w:val="147"/>
        </w:trPr>
        <w:tc>
          <w:tcPr>
            <w:tcW w:w="5466" w:type="dxa"/>
            <w:gridSpan w:val="2"/>
          </w:tcPr>
          <w:p w:rsidR="00AF0ECA" w:rsidRDefault="00AF0ECA">
            <w:pPr>
              <w:pStyle w:val="TableParagraph"/>
              <w:rPr>
                <w:rFonts w:ascii="仿宋" w:eastAsia="仿宋" w:hAnsi="仿宋" w:cs="仿宋"/>
                <w:sz w:val="20"/>
              </w:rPr>
            </w:pPr>
          </w:p>
        </w:tc>
        <w:tc>
          <w:tcPr>
            <w:tcW w:w="1969" w:type="dxa"/>
          </w:tcPr>
          <w:p w:rsidR="00AF0ECA" w:rsidRDefault="00AF0ECA">
            <w:pPr>
              <w:pStyle w:val="TableParagraph"/>
              <w:rPr>
                <w:rFonts w:ascii="仿宋" w:eastAsia="仿宋" w:hAnsi="仿宋" w:cs="仿宋"/>
                <w:sz w:val="20"/>
              </w:rPr>
            </w:pPr>
          </w:p>
        </w:tc>
        <w:tc>
          <w:tcPr>
            <w:tcW w:w="1499" w:type="dxa"/>
          </w:tcPr>
          <w:p w:rsidR="00AF0ECA" w:rsidRDefault="00AF0ECA">
            <w:pPr>
              <w:pStyle w:val="TableParagraph"/>
              <w:rPr>
                <w:rFonts w:ascii="仿宋" w:eastAsia="仿宋" w:hAnsi="仿宋" w:cs="仿宋"/>
                <w:sz w:val="20"/>
              </w:rPr>
            </w:pPr>
          </w:p>
        </w:tc>
        <w:tc>
          <w:tcPr>
            <w:tcW w:w="1512" w:type="dxa"/>
            <w:vAlign w:val="center"/>
          </w:tcPr>
          <w:p w:rsidR="00AF0ECA" w:rsidRDefault="00996CBB">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07</w:t>
            </w:r>
            <w:r>
              <w:rPr>
                <w:rFonts w:ascii="仿宋" w:eastAsia="仿宋" w:hAnsi="仿宋" w:cs="仿宋" w:hint="eastAsia"/>
              </w:rPr>
              <w:t>表</w:t>
            </w:r>
          </w:p>
        </w:tc>
      </w:tr>
      <w:tr w:rsidR="00AF0ECA">
        <w:trPr>
          <w:trHeight w:val="303"/>
        </w:trPr>
        <w:tc>
          <w:tcPr>
            <w:tcW w:w="7435" w:type="dxa"/>
            <w:gridSpan w:val="3"/>
          </w:tcPr>
          <w:p w:rsidR="00AF0ECA" w:rsidRDefault="00996CB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3011" w:type="dxa"/>
            <w:gridSpan w:val="2"/>
          </w:tcPr>
          <w:p w:rsidR="00AF0ECA" w:rsidRDefault="00996CBB">
            <w:pPr>
              <w:pStyle w:val="TableParagraph"/>
              <w:jc w:val="right"/>
              <w:rPr>
                <w:rFonts w:ascii="仿宋" w:eastAsia="仿宋" w:hAnsi="仿宋" w:cs="仿宋"/>
              </w:rPr>
            </w:pPr>
            <w:r>
              <w:rPr>
                <w:rFonts w:ascii="仿宋" w:eastAsia="仿宋" w:hAnsi="仿宋" w:cs="仿宋" w:hint="eastAsia"/>
              </w:rPr>
              <w:t>金额单位：万元</w:t>
            </w:r>
          </w:p>
        </w:tc>
      </w:tr>
      <w:tr w:rsidR="00AF0ECA">
        <w:trPr>
          <w:trHeight w:val="158"/>
        </w:trPr>
        <w:tc>
          <w:tcPr>
            <w:tcW w:w="5466" w:type="dxa"/>
            <w:gridSpan w:val="2"/>
            <w:tcBorders>
              <w:top w:val="single" w:sz="6" w:space="0" w:color="000000"/>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969" w:type="dxa"/>
            <w:vMerge w:val="restart"/>
            <w:tcBorders>
              <w:top w:val="single" w:sz="6" w:space="0" w:color="000000"/>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项目支出</w:t>
            </w:r>
          </w:p>
        </w:tc>
      </w:tr>
      <w:tr w:rsidR="00AF0ECA">
        <w:trPr>
          <w:trHeight w:val="561"/>
        </w:trPr>
        <w:tc>
          <w:tcPr>
            <w:tcW w:w="1134" w:type="dxa"/>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AF0ECA" w:rsidRDefault="00AF0ECA">
            <w:pPr>
              <w:rPr>
                <w:rFonts w:ascii="仿宋" w:eastAsia="仿宋" w:hAnsi="仿宋" w:cs="仿宋"/>
                <w:sz w:val="2"/>
                <w:szCs w:val="2"/>
              </w:rPr>
            </w:pPr>
          </w:p>
        </w:tc>
        <w:tc>
          <w:tcPr>
            <w:tcW w:w="1499" w:type="dxa"/>
            <w:vMerge/>
            <w:tcBorders>
              <w:left w:val="single" w:sz="6" w:space="0" w:color="000000"/>
              <w:bottom w:val="single" w:sz="6" w:space="0" w:color="000000"/>
            </w:tcBorders>
          </w:tcPr>
          <w:p w:rsidR="00AF0ECA" w:rsidRDefault="00AF0ECA">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AF0ECA" w:rsidRDefault="00AF0ECA">
            <w:pPr>
              <w:rPr>
                <w:rFonts w:ascii="仿宋" w:eastAsia="仿宋" w:hAnsi="仿宋" w:cs="仿宋"/>
                <w:sz w:val="2"/>
                <w:szCs w:val="2"/>
              </w:rPr>
            </w:pPr>
          </w:p>
        </w:tc>
      </w:tr>
      <w:tr w:rsidR="00AF0ECA">
        <w:trPr>
          <w:trHeight w:val="152"/>
        </w:trPr>
        <w:tc>
          <w:tcPr>
            <w:tcW w:w="5466" w:type="dxa"/>
            <w:gridSpan w:val="2"/>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3</w:t>
            </w:r>
          </w:p>
        </w:tc>
      </w:tr>
      <w:tr w:rsidR="00AF0ECA">
        <w:trPr>
          <w:trHeight w:hRule="exact" w:val="298"/>
        </w:trPr>
        <w:tc>
          <w:tcPr>
            <w:tcW w:w="5466" w:type="dxa"/>
            <w:gridSpan w:val="2"/>
            <w:tcBorders>
              <w:left w:val="single" w:sz="6" w:space="0" w:color="000000"/>
              <w:bottom w:val="single" w:sz="6" w:space="0" w:color="000000"/>
            </w:tcBorders>
            <w:vAlign w:val="center"/>
          </w:tcPr>
          <w:p w:rsidR="00AF0ECA" w:rsidRDefault="00996CBB">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12,244.47</w:t>
            </w:r>
          </w:p>
        </w:tc>
        <w:tc>
          <w:tcPr>
            <w:tcW w:w="1499" w:type="dxa"/>
            <w:tcBorders>
              <w:left w:val="single" w:sz="6" w:space="0" w:color="000000"/>
              <w:bottom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5,665.29</w:t>
            </w:r>
          </w:p>
        </w:tc>
        <w:tc>
          <w:tcPr>
            <w:tcW w:w="1512" w:type="dxa"/>
            <w:tcBorders>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6,579.18</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一般公共服务支出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20103</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2010301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161.62</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科学技术支出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1,379.82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1,379.82</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20601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科学技术管理事务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35.65</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35.65</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2060199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其他科学技术管理事务支出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35.65</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35.65</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1,344.17</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1,344.17</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2069999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其他科学技术支出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1,344.17</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1,344.17</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66.40</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63.34</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63.34</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63.34</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2080501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60.30</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60.30</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2080502</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3.04</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3.04</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2089999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3.06</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卫生健康支出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21011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2101103</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53.53</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节能环保支出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192.52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192.52</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21113</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循环经济</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177.20</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177.20</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2111301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循环经济</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177.20</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177.20</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其他节能环保支出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15.32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15.32</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2119999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其他节能环保支出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15.32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15.32</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资源勘探工业信息等支出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8,679.14</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3,894.54</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4,784.60</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21502</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制造业</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237.97</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237.97</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2150299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其他制造业支出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237.97</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237.97</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工业和信息产业监管</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8,426.36</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3,894.54</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4,531.82</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3,236.68</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3,236.68</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2150502</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一般行政管理事务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694.17</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694.17</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2150508</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无线电及信息通信监管</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606.84</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606.84</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2150517</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产业发展</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2,100.00</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2,100.00</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2150599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其他工业和信息产业监管支出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1,788.67</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657.86</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1,130.81</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21508</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支持中小企业发展和管理支出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14.81</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14.81</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2150899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其他支持中小企业发展和管理支出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14.81</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14.81</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援助其他地区支出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15.62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7.74</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7.88</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21999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15.62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7.74</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7.88</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1,484.52</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348.46</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348.46</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823.66</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823.66</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312.40</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312.40</w:t>
            </w: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222</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粮油物资储备支出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22205</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重要商品储备</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2220509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食盐储备</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39.95</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r>
      <w:tr w:rsidR="00AF0ECA">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2299999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c>
          <w:tcPr>
            <w:tcW w:w="1499" w:type="dxa"/>
            <w:tcBorders>
              <w:top w:val="single" w:sz="6" w:space="0" w:color="000000"/>
              <w:left w:val="single" w:sz="6" w:space="0" w:color="000000"/>
              <w:bottom w:val="single" w:sz="6" w:space="0" w:color="000000"/>
              <w:right w:val="single" w:sz="6" w:space="0" w:color="000000"/>
            </w:tcBorders>
            <w:vAlign w:val="center"/>
          </w:tcPr>
          <w:p w:rsidR="00AF0ECA" w:rsidRDefault="00AF0ECA">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171.35</w:t>
            </w:r>
          </w:p>
        </w:tc>
      </w:tr>
    </w:tbl>
    <w:p w:rsidR="00AF0ECA" w:rsidRDefault="00996CBB">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AF0ECA" w:rsidRDefault="00AF0ECA">
      <w:pPr>
        <w:spacing w:before="25"/>
        <w:jc w:val="both"/>
        <w:rPr>
          <w:rFonts w:ascii="仿宋" w:eastAsia="仿宋" w:hAnsi="仿宋" w:cs="仿宋"/>
        </w:rPr>
        <w:sectPr w:rsidR="00AF0ECA">
          <w:footerReference w:type="default" r:id="rId21"/>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AF0ECA">
        <w:trPr>
          <w:trHeight w:val="319"/>
        </w:trPr>
        <w:tc>
          <w:tcPr>
            <w:tcW w:w="10473" w:type="dxa"/>
            <w:gridSpan w:val="5"/>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AF0ECA">
        <w:trPr>
          <w:trHeight w:val="199"/>
        </w:trPr>
        <w:tc>
          <w:tcPr>
            <w:tcW w:w="8595" w:type="dxa"/>
            <w:gridSpan w:val="4"/>
            <w:vAlign w:val="center"/>
          </w:tcPr>
          <w:p w:rsidR="00AF0ECA" w:rsidRDefault="00AF0ECA">
            <w:pPr>
              <w:pStyle w:val="TableParagraph"/>
              <w:jc w:val="right"/>
              <w:rPr>
                <w:rFonts w:ascii="仿宋" w:eastAsia="仿宋" w:hAnsi="仿宋" w:cs="仿宋"/>
                <w:color w:val="000000"/>
              </w:rPr>
            </w:pPr>
          </w:p>
        </w:tc>
        <w:tc>
          <w:tcPr>
            <w:tcW w:w="1878" w:type="dxa"/>
            <w:vAlign w:val="center"/>
          </w:tcPr>
          <w:p w:rsidR="00AF0ECA" w:rsidRDefault="00996CBB">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AF0ECA">
        <w:trPr>
          <w:trHeight w:val="320"/>
        </w:trPr>
        <w:tc>
          <w:tcPr>
            <w:tcW w:w="8595" w:type="dxa"/>
            <w:gridSpan w:val="4"/>
            <w:vAlign w:val="center"/>
          </w:tcPr>
          <w:p w:rsidR="00AF0ECA" w:rsidRDefault="00996CB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1878" w:type="dxa"/>
            <w:vAlign w:val="center"/>
          </w:tcPr>
          <w:p w:rsidR="00AF0ECA" w:rsidRDefault="00996CBB">
            <w:pPr>
              <w:pStyle w:val="TableParagraph"/>
              <w:jc w:val="right"/>
              <w:rPr>
                <w:rFonts w:ascii="仿宋" w:eastAsia="仿宋" w:hAnsi="仿宋" w:cs="仿宋"/>
                <w:sz w:val="20"/>
              </w:rPr>
            </w:pPr>
            <w:r>
              <w:rPr>
                <w:rFonts w:ascii="仿宋" w:eastAsia="仿宋" w:hAnsi="仿宋" w:cs="仿宋" w:hint="eastAsia"/>
              </w:rPr>
              <w:t>金额单位：万元</w:t>
            </w:r>
          </w:p>
        </w:tc>
      </w:tr>
      <w:tr w:rsidR="00AF0ECA">
        <w:trPr>
          <w:trHeight w:val="180"/>
        </w:trPr>
        <w:tc>
          <w:tcPr>
            <w:tcW w:w="4687" w:type="dxa"/>
            <w:gridSpan w:val="2"/>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AF0ECA">
        <w:trPr>
          <w:trHeight w:val="474"/>
        </w:trPr>
        <w:tc>
          <w:tcPr>
            <w:tcW w:w="1121"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公用经费</w:t>
            </w:r>
          </w:p>
        </w:tc>
      </w:tr>
      <w:tr w:rsidR="00AF0ECA">
        <w:trPr>
          <w:trHeight w:hRule="exact" w:val="394"/>
        </w:trPr>
        <w:tc>
          <w:tcPr>
            <w:tcW w:w="4687"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5,665.29</w:t>
            </w:r>
          </w:p>
        </w:tc>
        <w:tc>
          <w:tcPr>
            <w:tcW w:w="1708"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5,367.04</w:t>
            </w:r>
          </w:p>
        </w:tc>
        <w:tc>
          <w:tcPr>
            <w:tcW w:w="1878"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298.25</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4,691.72</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4,691.72</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539.88</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539.88</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1,496.63</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1,496.63</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1,425.64</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1,425.64</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84.36</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84.36</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265.40</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265.40</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132.70</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132.70</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124.75</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124.75</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13.51</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13.51</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17.35</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17.35</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551.32</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551.32</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40.18</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40.18</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292.22</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292.22</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28.88</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28.88</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0.01</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0.01</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0.30</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0.30</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1.05</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1.05</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5.33</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5.33</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20.15</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20.15</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0.71</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0.71</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63.24</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63.24</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1.26</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1.26</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0.22</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0.22</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0.22</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0.22</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2.29</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2.29</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0.99</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0.99</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11.82</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11.82</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45.10</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45.10</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0.78</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0.78</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103.14</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103.14</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6.74</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6.74</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675.32</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675.32</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78.68</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78.68</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508.26</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508.26</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52.05</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52.05</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7.94</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7.94</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0.40</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0.40</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0.20</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0.20</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27.80</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27.80</w:t>
            </w: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6.03</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6.03</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5.75</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5.75</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0.28</w:t>
            </w: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0.28</w:t>
            </w: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39909</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39910</w:t>
            </w:r>
          </w:p>
        </w:tc>
        <w:tc>
          <w:tcPr>
            <w:tcW w:w="3566"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bl>
    <w:p w:rsidR="00AF0ECA" w:rsidRDefault="00996CBB">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AF0ECA" w:rsidRDefault="00AF0ECA">
      <w:pPr>
        <w:spacing w:before="25"/>
        <w:jc w:val="both"/>
        <w:rPr>
          <w:rFonts w:ascii="仿宋" w:eastAsia="仿宋" w:hAnsi="仿宋" w:cs="仿宋"/>
        </w:rPr>
        <w:sectPr w:rsidR="00AF0ECA">
          <w:footerReference w:type="default" r:id="rId22"/>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AF0ECA">
        <w:trPr>
          <w:trHeight w:val="321"/>
        </w:trPr>
        <w:tc>
          <w:tcPr>
            <w:tcW w:w="16486" w:type="dxa"/>
            <w:gridSpan w:val="16"/>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val="en-US"/>
              </w:rPr>
              <w:lastRenderedPageBreak/>
              <w:t>财政拨款“三公”经费、会议费和培训费支出决算表</w:t>
            </w:r>
          </w:p>
        </w:tc>
      </w:tr>
      <w:tr w:rsidR="00AF0ECA">
        <w:trPr>
          <w:trHeight w:val="207"/>
        </w:trPr>
        <w:tc>
          <w:tcPr>
            <w:tcW w:w="16486" w:type="dxa"/>
            <w:gridSpan w:val="16"/>
          </w:tcPr>
          <w:p w:rsidR="00AF0ECA" w:rsidRDefault="00996CBB">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AF0ECA">
        <w:trPr>
          <w:trHeight w:val="103"/>
        </w:trPr>
        <w:tc>
          <w:tcPr>
            <w:tcW w:w="8212" w:type="dxa"/>
            <w:gridSpan w:val="8"/>
            <w:tcBorders>
              <w:bottom w:val="single" w:sz="4" w:space="0" w:color="auto"/>
            </w:tcBorders>
          </w:tcPr>
          <w:p w:rsidR="00AF0ECA" w:rsidRDefault="00996CB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8274" w:type="dxa"/>
            <w:gridSpan w:val="8"/>
            <w:tcBorders>
              <w:bottom w:val="single" w:sz="4" w:space="0" w:color="auto"/>
            </w:tcBorders>
          </w:tcPr>
          <w:p w:rsidR="00AF0ECA" w:rsidRDefault="00996CBB">
            <w:pPr>
              <w:pStyle w:val="TableParagraph"/>
              <w:jc w:val="right"/>
              <w:rPr>
                <w:rFonts w:ascii="仿宋" w:eastAsia="仿宋" w:hAnsi="仿宋" w:cs="仿宋"/>
              </w:rPr>
            </w:pPr>
            <w:r>
              <w:rPr>
                <w:rFonts w:ascii="仿宋" w:eastAsia="仿宋" w:hAnsi="仿宋" w:cs="仿宋" w:hint="eastAsia"/>
              </w:rPr>
              <w:t>金额单位：万元</w:t>
            </w:r>
          </w:p>
        </w:tc>
      </w:tr>
      <w:tr w:rsidR="00AF0ECA">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AF0ECA" w:rsidRDefault="00996CBB">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AF0ECA" w:rsidRDefault="00996CBB">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AF0ECA">
        <w:trPr>
          <w:trHeight w:val="179"/>
        </w:trPr>
        <w:tc>
          <w:tcPr>
            <w:tcW w:w="6159" w:type="dxa"/>
            <w:gridSpan w:val="6"/>
            <w:tcBorders>
              <w:top w:val="single" w:sz="4" w:space="0" w:color="auto"/>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培训费</w:t>
            </w:r>
          </w:p>
        </w:tc>
      </w:tr>
      <w:tr w:rsidR="00AF0ECA">
        <w:trPr>
          <w:trHeight w:val="297"/>
        </w:trPr>
        <w:tc>
          <w:tcPr>
            <w:tcW w:w="1044" w:type="dxa"/>
            <w:vMerge w:val="restart"/>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公务</w:t>
            </w:r>
          </w:p>
          <w:p w:rsidR="00AF0ECA" w:rsidRDefault="00996CBB">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AF0ECA" w:rsidRDefault="00AF0ECA">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AF0ECA" w:rsidRDefault="00AF0ECA">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AF0ECA" w:rsidRDefault="00996CBB">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AF0ECA" w:rsidRDefault="00996CBB">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公务</w:t>
            </w:r>
          </w:p>
          <w:p w:rsidR="00AF0ECA" w:rsidRDefault="00996CBB">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AF0ECA" w:rsidRDefault="00AF0ECA">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AF0ECA" w:rsidRDefault="00AF0ECA">
            <w:pPr>
              <w:jc w:val="center"/>
              <w:rPr>
                <w:rFonts w:ascii="仿宋" w:eastAsia="仿宋" w:hAnsi="仿宋" w:cs="仿宋"/>
                <w:sz w:val="20"/>
              </w:rPr>
            </w:pPr>
          </w:p>
        </w:tc>
      </w:tr>
      <w:tr w:rsidR="00AF0ECA">
        <w:trPr>
          <w:trHeight w:hRule="exact" w:val="621"/>
        </w:trPr>
        <w:tc>
          <w:tcPr>
            <w:tcW w:w="1044" w:type="dxa"/>
            <w:vMerge/>
            <w:tcBorders>
              <w:left w:val="single" w:sz="4" w:space="0" w:color="000000"/>
              <w:bottom w:val="single" w:sz="4" w:space="0" w:color="000000"/>
            </w:tcBorders>
          </w:tcPr>
          <w:p w:rsidR="00AF0ECA" w:rsidRDefault="00AF0ECA">
            <w:pPr>
              <w:rPr>
                <w:rFonts w:ascii="仿宋" w:eastAsia="仿宋" w:hAnsi="仿宋" w:cs="仿宋"/>
                <w:sz w:val="2"/>
                <w:szCs w:val="2"/>
              </w:rPr>
            </w:pPr>
          </w:p>
        </w:tc>
        <w:tc>
          <w:tcPr>
            <w:tcW w:w="1042" w:type="dxa"/>
            <w:vMerge/>
            <w:tcBorders>
              <w:left w:val="single" w:sz="4" w:space="0" w:color="000000"/>
              <w:bottom w:val="single" w:sz="4" w:space="0" w:color="000000"/>
            </w:tcBorders>
          </w:tcPr>
          <w:p w:rsidR="00AF0ECA" w:rsidRDefault="00AF0ECA">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AF0ECA" w:rsidRDefault="00AF0ECA">
            <w:pPr>
              <w:rPr>
                <w:rFonts w:ascii="仿宋" w:eastAsia="仿宋" w:hAnsi="仿宋" w:cs="仿宋"/>
                <w:sz w:val="2"/>
                <w:szCs w:val="2"/>
              </w:rPr>
            </w:pPr>
          </w:p>
        </w:tc>
        <w:tc>
          <w:tcPr>
            <w:tcW w:w="1043" w:type="dxa"/>
            <w:vMerge/>
            <w:tcBorders>
              <w:left w:val="single" w:sz="4" w:space="0" w:color="000000"/>
              <w:bottom w:val="single" w:sz="4" w:space="0" w:color="000000"/>
            </w:tcBorders>
          </w:tcPr>
          <w:p w:rsidR="00AF0ECA" w:rsidRDefault="00AF0ECA">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sz w:val="2"/>
                <w:szCs w:val="2"/>
              </w:rPr>
            </w:pPr>
          </w:p>
        </w:tc>
      </w:tr>
      <w:tr w:rsidR="00AF0ECA">
        <w:trPr>
          <w:cantSplit/>
          <w:trHeight w:val="380"/>
        </w:trPr>
        <w:tc>
          <w:tcPr>
            <w:tcW w:w="1044"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16.70</w:t>
            </w:r>
          </w:p>
        </w:tc>
        <w:tc>
          <w:tcPr>
            <w:tcW w:w="1042"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14.27</w:t>
            </w:r>
          </w:p>
        </w:tc>
        <w:tc>
          <w:tcPr>
            <w:tcW w:w="1029"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14.27</w:t>
            </w:r>
          </w:p>
        </w:tc>
        <w:tc>
          <w:tcPr>
            <w:tcW w:w="1026"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2.43</w:t>
            </w:r>
          </w:p>
        </w:tc>
        <w:tc>
          <w:tcPr>
            <w:tcW w:w="1043" w:type="dxa"/>
            <w:tcBorders>
              <w:left w:val="single" w:sz="4" w:space="0" w:color="000000"/>
              <w:bottom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44.49</w:t>
            </w:r>
          </w:p>
        </w:tc>
        <w:tc>
          <w:tcPr>
            <w:tcW w:w="1010"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105.61</w:t>
            </w:r>
          </w:p>
        </w:tc>
        <w:tc>
          <w:tcPr>
            <w:tcW w:w="1058"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11.75</w:t>
            </w:r>
          </w:p>
        </w:tc>
        <w:tc>
          <w:tcPr>
            <w:tcW w:w="1010"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9.46</w:t>
            </w:r>
          </w:p>
        </w:tc>
        <w:tc>
          <w:tcPr>
            <w:tcW w:w="1089"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9.46</w:t>
            </w:r>
          </w:p>
        </w:tc>
        <w:tc>
          <w:tcPr>
            <w:tcW w:w="1043"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2.29</w:t>
            </w:r>
          </w:p>
        </w:tc>
        <w:tc>
          <w:tcPr>
            <w:tcW w:w="1057"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44.11</w:t>
            </w:r>
          </w:p>
        </w:tc>
        <w:tc>
          <w:tcPr>
            <w:tcW w:w="1027"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sz w:val="18"/>
                <w:szCs w:val="18"/>
              </w:rPr>
            </w:pPr>
            <w:r>
              <w:rPr>
                <w:rFonts w:ascii="仿宋" w:eastAsia="仿宋" w:hAnsi="仿宋" w:cs="仿宋" w:hint="eastAsia"/>
                <w:sz w:val="18"/>
                <w:szCs w:val="18"/>
              </w:rPr>
              <w:t>105.48</w:t>
            </w:r>
          </w:p>
        </w:tc>
      </w:tr>
    </w:tbl>
    <w:p w:rsidR="00AF0ECA" w:rsidRDefault="00996CBB">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AF0ECA">
        <w:trPr>
          <w:cantSplit/>
          <w:trHeight w:val="214"/>
        </w:trPr>
        <w:tc>
          <w:tcPr>
            <w:tcW w:w="4028" w:type="dxa"/>
            <w:tcBorders>
              <w:top w:val="single" w:sz="4" w:space="0" w:color="auto"/>
              <w:left w:val="single" w:sz="4" w:space="0" w:color="auto"/>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统计数</w:t>
            </w:r>
          </w:p>
        </w:tc>
      </w:tr>
      <w:tr w:rsidR="00AF0ECA">
        <w:trPr>
          <w:cantSplit/>
          <w:trHeight w:val="190"/>
        </w:trPr>
        <w:tc>
          <w:tcPr>
            <w:tcW w:w="4028" w:type="dxa"/>
            <w:tcBorders>
              <w:top w:val="single" w:sz="4" w:space="0" w:color="auto"/>
              <w:left w:val="single" w:sz="4" w:space="0" w:color="auto"/>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因公出国（境）团组数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因公出国（境）人次数</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0</w:t>
            </w:r>
          </w:p>
        </w:tc>
      </w:tr>
      <w:tr w:rsidR="00AF0ECA">
        <w:trPr>
          <w:cantSplit/>
          <w:trHeight w:val="190"/>
        </w:trPr>
        <w:tc>
          <w:tcPr>
            <w:tcW w:w="4028" w:type="dxa"/>
            <w:tcBorders>
              <w:top w:val="single" w:sz="4" w:space="0" w:color="auto"/>
              <w:left w:val="single" w:sz="4" w:space="0" w:color="auto"/>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公务用车购置数</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公务用车保有量</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10</w:t>
            </w:r>
          </w:p>
        </w:tc>
      </w:tr>
      <w:tr w:rsidR="00AF0ECA">
        <w:trPr>
          <w:cantSplit/>
          <w:trHeight w:val="190"/>
        </w:trPr>
        <w:tc>
          <w:tcPr>
            <w:tcW w:w="4028" w:type="dxa"/>
            <w:tcBorders>
              <w:top w:val="single" w:sz="4" w:space="0" w:color="auto"/>
              <w:left w:val="single" w:sz="4" w:space="0" w:color="auto"/>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国内公务接待批次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22</w:t>
            </w:r>
          </w:p>
        </w:tc>
        <w:tc>
          <w:tcPr>
            <w:tcW w:w="3908"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国内公务接待人次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225</w:t>
            </w:r>
          </w:p>
        </w:tc>
      </w:tr>
      <w:tr w:rsidR="00AF0ECA">
        <w:trPr>
          <w:cantSplit/>
          <w:trHeight w:val="190"/>
        </w:trPr>
        <w:tc>
          <w:tcPr>
            <w:tcW w:w="4028" w:type="dxa"/>
            <w:tcBorders>
              <w:top w:val="single" w:sz="4" w:space="0" w:color="auto"/>
              <w:left w:val="single" w:sz="4" w:space="0" w:color="auto"/>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国（境）外公务接待批次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国（境）外公务接待人次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0</w:t>
            </w:r>
          </w:p>
        </w:tc>
      </w:tr>
      <w:tr w:rsidR="00AF0ECA">
        <w:trPr>
          <w:cantSplit/>
          <w:trHeight w:val="190"/>
        </w:trPr>
        <w:tc>
          <w:tcPr>
            <w:tcW w:w="4028" w:type="dxa"/>
            <w:tcBorders>
              <w:top w:val="single" w:sz="4" w:space="0" w:color="auto"/>
              <w:left w:val="single" w:sz="4" w:space="0" w:color="auto"/>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召开会议次数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57</w:t>
            </w:r>
          </w:p>
        </w:tc>
        <w:tc>
          <w:tcPr>
            <w:tcW w:w="3908"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参加会议人次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1,663</w:t>
            </w:r>
          </w:p>
        </w:tc>
      </w:tr>
      <w:tr w:rsidR="00AF0ECA">
        <w:trPr>
          <w:cantSplit/>
          <w:trHeight w:val="190"/>
        </w:trPr>
        <w:tc>
          <w:tcPr>
            <w:tcW w:w="4028" w:type="dxa"/>
            <w:tcBorders>
              <w:top w:val="single" w:sz="4" w:space="0" w:color="auto"/>
              <w:left w:val="single" w:sz="4" w:space="0" w:color="auto"/>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组织培训次数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27</w:t>
            </w:r>
          </w:p>
        </w:tc>
        <w:tc>
          <w:tcPr>
            <w:tcW w:w="3908" w:type="dxa"/>
            <w:tcBorders>
              <w:top w:val="single" w:sz="4" w:space="0" w:color="auto"/>
              <w:left w:val="single" w:sz="4" w:space="0" w:color="000000"/>
              <w:bottom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参加培训人次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3,423</w:t>
            </w:r>
          </w:p>
        </w:tc>
      </w:tr>
    </w:tbl>
    <w:p w:rsidR="00AF0ECA" w:rsidRDefault="00996CBB">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ascii="仿宋" w:eastAsia="仿宋" w:hAnsi="仿宋" w:cs="仿宋" w:hint="eastAsia"/>
        </w:rPr>
        <w:t>。</w:t>
      </w:r>
    </w:p>
    <w:p w:rsidR="00AF0ECA" w:rsidRDefault="00AF0ECA">
      <w:pPr>
        <w:ind w:left="227" w:firstLineChars="100" w:firstLine="220"/>
        <w:jc w:val="both"/>
        <w:rPr>
          <w:rFonts w:ascii="仿宋" w:eastAsia="仿宋" w:hAnsi="仿宋" w:cs="仿宋"/>
        </w:rPr>
        <w:sectPr w:rsidR="00AF0ECA">
          <w:footerReference w:type="default" r:id="rId23"/>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AF0ECA">
        <w:trPr>
          <w:trHeight w:val="395"/>
        </w:trPr>
        <w:tc>
          <w:tcPr>
            <w:tcW w:w="15400" w:type="dxa"/>
            <w:gridSpan w:val="5"/>
            <w:vAlign w:val="center"/>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AF0ECA">
        <w:trPr>
          <w:trHeight w:val="323"/>
        </w:trPr>
        <w:tc>
          <w:tcPr>
            <w:tcW w:w="8426" w:type="dxa"/>
            <w:gridSpan w:val="2"/>
          </w:tcPr>
          <w:p w:rsidR="00AF0ECA" w:rsidRDefault="00AF0ECA">
            <w:pPr>
              <w:pStyle w:val="TableParagraph"/>
              <w:rPr>
                <w:rFonts w:ascii="仿宋" w:eastAsia="仿宋" w:hAnsi="仿宋" w:cs="仿宋"/>
                <w:sz w:val="20"/>
              </w:rPr>
            </w:pPr>
          </w:p>
        </w:tc>
        <w:tc>
          <w:tcPr>
            <w:tcW w:w="2684" w:type="dxa"/>
          </w:tcPr>
          <w:p w:rsidR="00AF0ECA" w:rsidRDefault="00AF0ECA">
            <w:pPr>
              <w:pStyle w:val="TableParagraph"/>
              <w:rPr>
                <w:rFonts w:ascii="仿宋" w:eastAsia="仿宋" w:hAnsi="仿宋" w:cs="仿宋"/>
                <w:sz w:val="27"/>
              </w:rPr>
            </w:pPr>
          </w:p>
        </w:tc>
        <w:tc>
          <w:tcPr>
            <w:tcW w:w="2432" w:type="dxa"/>
          </w:tcPr>
          <w:p w:rsidR="00AF0ECA" w:rsidRDefault="00AF0ECA">
            <w:pPr>
              <w:pStyle w:val="TableParagraph"/>
              <w:rPr>
                <w:rFonts w:ascii="仿宋" w:eastAsia="仿宋" w:hAnsi="仿宋" w:cs="仿宋"/>
                <w:sz w:val="20"/>
              </w:rPr>
            </w:pPr>
          </w:p>
        </w:tc>
        <w:tc>
          <w:tcPr>
            <w:tcW w:w="1858" w:type="dxa"/>
            <w:vAlign w:val="center"/>
          </w:tcPr>
          <w:p w:rsidR="00AF0ECA" w:rsidRDefault="00996CBB">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10</w:t>
            </w:r>
            <w:r>
              <w:rPr>
                <w:rFonts w:ascii="仿宋" w:eastAsia="仿宋" w:hAnsi="仿宋" w:cs="仿宋" w:hint="eastAsia"/>
              </w:rPr>
              <w:t>表</w:t>
            </w:r>
          </w:p>
        </w:tc>
      </w:tr>
      <w:tr w:rsidR="00AF0ECA">
        <w:trPr>
          <w:trHeight w:val="152"/>
        </w:trPr>
        <w:tc>
          <w:tcPr>
            <w:tcW w:w="13542" w:type="dxa"/>
            <w:gridSpan w:val="4"/>
            <w:vAlign w:val="center"/>
          </w:tcPr>
          <w:p w:rsidR="00AF0ECA" w:rsidRDefault="00996CB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1858" w:type="dxa"/>
            <w:vAlign w:val="center"/>
          </w:tcPr>
          <w:p w:rsidR="00AF0ECA" w:rsidRDefault="00996CBB">
            <w:pPr>
              <w:pStyle w:val="TableParagraph"/>
              <w:jc w:val="right"/>
              <w:rPr>
                <w:rFonts w:ascii="仿宋" w:eastAsia="仿宋" w:hAnsi="仿宋" w:cs="仿宋"/>
                <w:sz w:val="27"/>
              </w:rPr>
            </w:pPr>
            <w:r>
              <w:rPr>
                <w:rFonts w:ascii="仿宋" w:eastAsia="仿宋" w:hAnsi="仿宋" w:cs="仿宋" w:hint="eastAsia"/>
              </w:rPr>
              <w:t>金额单位：万元</w:t>
            </w:r>
          </w:p>
        </w:tc>
      </w:tr>
      <w:tr w:rsidR="00AF0ECA">
        <w:trPr>
          <w:trHeight w:val="267"/>
        </w:trPr>
        <w:tc>
          <w:tcPr>
            <w:tcW w:w="8426" w:type="dxa"/>
            <w:gridSpan w:val="2"/>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684" w:type="dxa"/>
            <w:vMerge w:val="restart"/>
            <w:tcBorders>
              <w:top w:val="single" w:sz="4" w:space="0" w:color="000000"/>
              <w:lef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项目支出</w:t>
            </w:r>
          </w:p>
        </w:tc>
      </w:tr>
      <w:tr w:rsidR="00AF0ECA">
        <w:trPr>
          <w:trHeight w:val="427"/>
        </w:trPr>
        <w:tc>
          <w:tcPr>
            <w:tcW w:w="1431"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功能分类</w:t>
            </w:r>
          </w:p>
          <w:p w:rsidR="00AF0ECA" w:rsidRDefault="00996CBB">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AF0ECA" w:rsidRDefault="00AF0ECA">
            <w:pPr>
              <w:rPr>
                <w:rFonts w:ascii="仿宋" w:eastAsia="仿宋" w:hAnsi="仿宋" w:cs="仿宋"/>
              </w:rPr>
            </w:pPr>
          </w:p>
        </w:tc>
        <w:tc>
          <w:tcPr>
            <w:tcW w:w="2432" w:type="dxa"/>
            <w:vMerge/>
            <w:tcBorders>
              <w:left w:val="single" w:sz="4" w:space="0" w:color="000000"/>
              <w:bottom w:val="single" w:sz="4" w:space="0" w:color="000000"/>
            </w:tcBorders>
            <w:vAlign w:val="center"/>
          </w:tcPr>
          <w:p w:rsidR="00AF0ECA" w:rsidRDefault="00AF0ECA">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rPr>
            </w:pPr>
          </w:p>
        </w:tc>
      </w:tr>
      <w:tr w:rsidR="00AF0ECA">
        <w:trPr>
          <w:trHeight w:val="275"/>
        </w:trPr>
        <w:tc>
          <w:tcPr>
            <w:tcW w:w="8426"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lang w:val="en-US"/>
              </w:rPr>
            </w:pPr>
            <w:r>
              <w:rPr>
                <w:rFonts w:ascii="仿宋" w:eastAsia="仿宋" w:hAnsi="仿宋" w:cs="仿宋" w:hint="eastAsia"/>
                <w:lang w:val="en-US"/>
              </w:rPr>
              <w:t>3</w:t>
            </w:r>
          </w:p>
        </w:tc>
      </w:tr>
      <w:tr w:rsidR="00AF0ECA">
        <w:trPr>
          <w:trHeight w:hRule="exact" w:val="389"/>
        </w:trPr>
        <w:tc>
          <w:tcPr>
            <w:tcW w:w="8426"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bl>
    <w:p w:rsidR="00AF0ECA" w:rsidRDefault="00996CBB">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AF0ECA" w:rsidRDefault="00996CBB">
      <w:pPr>
        <w:spacing w:before="25"/>
        <w:ind w:leftChars="200" w:left="440"/>
        <w:jc w:val="both"/>
        <w:rPr>
          <w:rFonts w:ascii="仿宋" w:eastAsia="仿宋" w:hAnsi="仿宋" w:cs="仿宋"/>
          <w:lang w:val="en-US"/>
        </w:rPr>
      </w:pPr>
      <w:r>
        <w:rPr>
          <w:rFonts w:ascii="仿宋" w:eastAsia="仿宋" w:hAnsi="仿宋" w:cs="仿宋"/>
        </w:rPr>
        <w:t>本部门无政府性基金预算收入支出决算，故本表为空。</w:t>
      </w:r>
    </w:p>
    <w:p w:rsidR="00AF0ECA" w:rsidRDefault="00AF0ECA">
      <w:pPr>
        <w:spacing w:before="25"/>
        <w:jc w:val="both"/>
        <w:rPr>
          <w:rFonts w:ascii="仿宋" w:eastAsia="仿宋" w:hAnsi="仿宋" w:cs="仿宋"/>
          <w:lang w:val="en-US"/>
        </w:rPr>
        <w:sectPr w:rsidR="00AF0ECA">
          <w:footerReference w:type="default" r:id="rId24"/>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AF0ECA">
        <w:trPr>
          <w:trHeight w:val="395"/>
        </w:trPr>
        <w:tc>
          <w:tcPr>
            <w:tcW w:w="15400" w:type="dxa"/>
            <w:gridSpan w:val="5"/>
            <w:vAlign w:val="center"/>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AF0ECA">
        <w:trPr>
          <w:trHeight w:val="323"/>
        </w:trPr>
        <w:tc>
          <w:tcPr>
            <w:tcW w:w="8520" w:type="dxa"/>
            <w:gridSpan w:val="2"/>
          </w:tcPr>
          <w:p w:rsidR="00AF0ECA" w:rsidRDefault="00AF0ECA">
            <w:pPr>
              <w:pStyle w:val="TableParagraph"/>
              <w:rPr>
                <w:rFonts w:ascii="仿宋" w:eastAsia="仿宋" w:hAnsi="仿宋" w:cs="仿宋"/>
                <w:sz w:val="20"/>
              </w:rPr>
            </w:pPr>
          </w:p>
        </w:tc>
        <w:tc>
          <w:tcPr>
            <w:tcW w:w="2510" w:type="dxa"/>
          </w:tcPr>
          <w:p w:rsidR="00AF0ECA" w:rsidRDefault="00AF0ECA">
            <w:pPr>
              <w:pStyle w:val="TableParagraph"/>
              <w:rPr>
                <w:rFonts w:ascii="仿宋" w:eastAsia="仿宋" w:hAnsi="仿宋" w:cs="仿宋"/>
                <w:sz w:val="27"/>
              </w:rPr>
            </w:pPr>
          </w:p>
        </w:tc>
        <w:tc>
          <w:tcPr>
            <w:tcW w:w="2309" w:type="dxa"/>
          </w:tcPr>
          <w:p w:rsidR="00AF0ECA" w:rsidRDefault="00AF0ECA">
            <w:pPr>
              <w:pStyle w:val="TableParagraph"/>
              <w:rPr>
                <w:rFonts w:ascii="仿宋" w:eastAsia="仿宋" w:hAnsi="仿宋" w:cs="仿宋"/>
                <w:sz w:val="20"/>
              </w:rPr>
            </w:pPr>
          </w:p>
        </w:tc>
        <w:tc>
          <w:tcPr>
            <w:tcW w:w="2061" w:type="dxa"/>
            <w:vAlign w:val="center"/>
          </w:tcPr>
          <w:p w:rsidR="00AF0ECA" w:rsidRDefault="00996CBB">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1</w:t>
            </w:r>
            <w:r>
              <w:rPr>
                <w:rFonts w:ascii="仿宋" w:eastAsia="仿宋" w:hAnsi="仿宋" w:cs="仿宋" w:hint="eastAsia"/>
              </w:rPr>
              <w:t>表</w:t>
            </w:r>
          </w:p>
        </w:tc>
      </w:tr>
      <w:tr w:rsidR="00AF0ECA">
        <w:trPr>
          <w:trHeight w:val="152"/>
        </w:trPr>
        <w:tc>
          <w:tcPr>
            <w:tcW w:w="13339" w:type="dxa"/>
            <w:gridSpan w:val="4"/>
            <w:vAlign w:val="center"/>
          </w:tcPr>
          <w:p w:rsidR="00AF0ECA" w:rsidRDefault="00996CB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2061" w:type="dxa"/>
            <w:vAlign w:val="center"/>
          </w:tcPr>
          <w:p w:rsidR="00AF0ECA" w:rsidRDefault="00996CBB">
            <w:pPr>
              <w:pStyle w:val="TableParagraph"/>
              <w:jc w:val="right"/>
              <w:rPr>
                <w:rFonts w:ascii="仿宋" w:eastAsia="仿宋" w:hAnsi="仿宋" w:cs="仿宋"/>
                <w:sz w:val="27"/>
              </w:rPr>
            </w:pPr>
            <w:r>
              <w:rPr>
                <w:rFonts w:ascii="仿宋" w:eastAsia="仿宋" w:hAnsi="仿宋" w:cs="仿宋" w:hint="eastAsia"/>
              </w:rPr>
              <w:t>金额单位：万元</w:t>
            </w:r>
          </w:p>
        </w:tc>
      </w:tr>
      <w:tr w:rsidR="00AF0ECA">
        <w:trPr>
          <w:trHeight w:val="267"/>
        </w:trPr>
        <w:tc>
          <w:tcPr>
            <w:tcW w:w="8520" w:type="dxa"/>
            <w:gridSpan w:val="2"/>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510" w:type="dxa"/>
            <w:vMerge w:val="restart"/>
            <w:tcBorders>
              <w:top w:val="single" w:sz="4" w:space="0" w:color="000000"/>
              <w:lef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项目支出</w:t>
            </w:r>
          </w:p>
        </w:tc>
      </w:tr>
      <w:tr w:rsidR="00AF0ECA">
        <w:trPr>
          <w:trHeight w:val="427"/>
        </w:trPr>
        <w:tc>
          <w:tcPr>
            <w:tcW w:w="1462"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功能分类</w:t>
            </w:r>
          </w:p>
          <w:p w:rsidR="00AF0ECA" w:rsidRDefault="00996CBB">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AF0ECA" w:rsidRDefault="00AF0ECA">
            <w:pPr>
              <w:rPr>
                <w:rFonts w:ascii="仿宋" w:eastAsia="仿宋" w:hAnsi="仿宋" w:cs="仿宋"/>
              </w:rPr>
            </w:pPr>
          </w:p>
        </w:tc>
        <w:tc>
          <w:tcPr>
            <w:tcW w:w="2309" w:type="dxa"/>
            <w:vMerge/>
            <w:tcBorders>
              <w:left w:val="single" w:sz="4" w:space="0" w:color="000000"/>
              <w:bottom w:val="single" w:sz="4" w:space="0" w:color="000000"/>
            </w:tcBorders>
            <w:vAlign w:val="center"/>
          </w:tcPr>
          <w:p w:rsidR="00AF0ECA" w:rsidRDefault="00AF0ECA">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rPr>
            </w:pPr>
          </w:p>
        </w:tc>
      </w:tr>
      <w:tr w:rsidR="00AF0ECA">
        <w:trPr>
          <w:trHeight w:val="275"/>
        </w:trPr>
        <w:tc>
          <w:tcPr>
            <w:tcW w:w="8520"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lang w:val="en-US"/>
              </w:rPr>
            </w:pPr>
            <w:r>
              <w:rPr>
                <w:rFonts w:ascii="仿宋" w:eastAsia="仿宋" w:hAnsi="仿宋" w:cs="仿宋" w:hint="eastAsia"/>
                <w:lang w:val="en-US"/>
              </w:rPr>
              <w:t>3</w:t>
            </w:r>
          </w:p>
        </w:tc>
      </w:tr>
      <w:tr w:rsidR="00AF0ECA">
        <w:trPr>
          <w:trHeight w:hRule="exact" w:val="389"/>
        </w:trPr>
        <w:tc>
          <w:tcPr>
            <w:tcW w:w="8520"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AF0ECA" w:rsidRDefault="00AF0ECA">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AF0ECA" w:rsidRDefault="00AF0ECA">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bl>
    <w:p w:rsidR="00AF0ECA" w:rsidRDefault="00996CBB">
      <w:pPr>
        <w:jc w:val="both"/>
        <w:rPr>
          <w:rFonts w:ascii="仿宋" w:eastAsia="仿宋" w:hAnsi="仿宋" w:cs="仿宋"/>
        </w:rPr>
      </w:pPr>
      <w:r>
        <w:rPr>
          <w:rFonts w:ascii="仿宋" w:eastAsia="仿宋" w:hAnsi="仿宋" w:cs="仿宋" w:hint="eastAsia"/>
        </w:rPr>
        <w:t>注：本表反映本年度国有资本经营预算财政拨款支出情况。</w:t>
      </w:r>
    </w:p>
    <w:p w:rsidR="00AF0ECA" w:rsidRDefault="00996CBB">
      <w:pPr>
        <w:ind w:leftChars="200" w:left="440"/>
        <w:jc w:val="both"/>
        <w:rPr>
          <w:rFonts w:ascii="仿宋" w:eastAsia="仿宋" w:hAnsi="仿宋" w:cs="仿宋"/>
          <w:lang w:val="en-US"/>
        </w:rPr>
      </w:pPr>
      <w:r>
        <w:rPr>
          <w:rFonts w:ascii="仿宋" w:eastAsia="仿宋" w:hAnsi="仿宋" w:cs="仿宋"/>
        </w:rPr>
        <w:t>本部门无</w:t>
      </w:r>
      <w:r>
        <w:rPr>
          <w:rFonts w:ascii="仿宋" w:eastAsia="仿宋" w:hAnsi="仿宋" w:cs="仿宋" w:hint="eastAsia"/>
        </w:rPr>
        <w:t>国有资本经营预算支出</w:t>
      </w:r>
      <w:r>
        <w:rPr>
          <w:rFonts w:ascii="仿宋" w:eastAsia="仿宋" w:hAnsi="仿宋" w:cs="仿宋" w:hint="eastAsia"/>
          <w:lang w:val="en-US"/>
        </w:rPr>
        <w:t>决算，故本表为空。</w:t>
      </w:r>
    </w:p>
    <w:p w:rsidR="00AF0ECA" w:rsidRDefault="00AF0ECA">
      <w:pPr>
        <w:spacing w:before="25"/>
        <w:ind w:leftChars="-100" w:left="-220"/>
        <w:jc w:val="both"/>
        <w:rPr>
          <w:rFonts w:ascii="仿宋" w:eastAsia="仿宋" w:hAnsi="仿宋" w:cs="仿宋"/>
          <w:lang w:val="en-US"/>
        </w:rPr>
        <w:sectPr w:rsidR="00AF0ECA">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AF0ECA">
        <w:trPr>
          <w:trHeight w:val="319"/>
        </w:trPr>
        <w:tc>
          <w:tcPr>
            <w:tcW w:w="10466" w:type="dxa"/>
            <w:gridSpan w:val="3"/>
          </w:tcPr>
          <w:p w:rsidR="00AF0ECA" w:rsidRDefault="00996CBB">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机关运行经费支出决算表</w:t>
            </w:r>
          </w:p>
        </w:tc>
      </w:tr>
      <w:tr w:rsidR="00AF0ECA">
        <w:trPr>
          <w:trHeight w:val="90"/>
        </w:trPr>
        <w:tc>
          <w:tcPr>
            <w:tcW w:w="6632" w:type="dxa"/>
            <w:gridSpan w:val="2"/>
          </w:tcPr>
          <w:p w:rsidR="00AF0ECA" w:rsidRDefault="00AF0ECA">
            <w:pPr>
              <w:pStyle w:val="TableParagraph"/>
              <w:rPr>
                <w:rFonts w:ascii="仿宋" w:eastAsia="仿宋" w:hAnsi="仿宋" w:cs="仿宋"/>
                <w:sz w:val="20"/>
              </w:rPr>
            </w:pPr>
          </w:p>
        </w:tc>
        <w:tc>
          <w:tcPr>
            <w:tcW w:w="3834" w:type="dxa"/>
            <w:vAlign w:val="center"/>
          </w:tcPr>
          <w:p w:rsidR="00AF0ECA" w:rsidRDefault="00996CBB">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AF0ECA">
        <w:trPr>
          <w:trHeight w:val="90"/>
        </w:trPr>
        <w:tc>
          <w:tcPr>
            <w:tcW w:w="6632" w:type="dxa"/>
            <w:gridSpan w:val="2"/>
            <w:vAlign w:val="center"/>
          </w:tcPr>
          <w:p w:rsidR="00AF0ECA" w:rsidRDefault="00996CB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3834" w:type="dxa"/>
            <w:vAlign w:val="center"/>
          </w:tcPr>
          <w:p w:rsidR="00AF0ECA" w:rsidRDefault="00996CBB">
            <w:pPr>
              <w:pStyle w:val="TableParagraph"/>
              <w:jc w:val="right"/>
              <w:rPr>
                <w:rFonts w:ascii="仿宋" w:eastAsia="仿宋" w:hAnsi="仿宋" w:cs="仿宋"/>
                <w:sz w:val="27"/>
              </w:rPr>
            </w:pPr>
            <w:r>
              <w:rPr>
                <w:rFonts w:ascii="仿宋" w:eastAsia="仿宋" w:hAnsi="仿宋" w:cs="仿宋" w:hint="eastAsia"/>
              </w:rPr>
              <w:t>金额单位：万元</w:t>
            </w:r>
          </w:p>
        </w:tc>
      </w:tr>
      <w:tr w:rsidR="00AF0ECA">
        <w:trPr>
          <w:trHeight w:val="319"/>
        </w:trPr>
        <w:tc>
          <w:tcPr>
            <w:tcW w:w="6632" w:type="dxa"/>
            <w:gridSpan w:val="2"/>
            <w:tcBorders>
              <w:top w:val="single" w:sz="4" w:space="0" w:color="000000"/>
              <w:left w:val="single" w:sz="4" w:space="0" w:color="000000"/>
              <w:bottom w:val="single" w:sz="4" w:space="0" w:color="000000"/>
            </w:tcBorders>
          </w:tcPr>
          <w:p w:rsidR="00AF0ECA" w:rsidRDefault="00996CB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机关运行经费支出决算</w:t>
            </w:r>
          </w:p>
        </w:tc>
      </w:tr>
      <w:tr w:rsidR="00AF0ECA">
        <w:trPr>
          <w:trHeight w:val="363"/>
        </w:trPr>
        <w:tc>
          <w:tcPr>
            <w:tcW w:w="1642"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AF0ECA" w:rsidRDefault="00AF0ECA">
            <w:pPr>
              <w:rPr>
                <w:rFonts w:ascii="仿宋" w:eastAsia="仿宋" w:hAnsi="仿宋" w:cs="仿宋"/>
              </w:rPr>
            </w:pPr>
          </w:p>
        </w:tc>
      </w:tr>
      <w:tr w:rsidR="00AF0ECA">
        <w:trPr>
          <w:trHeight w:val="229"/>
        </w:trPr>
        <w:tc>
          <w:tcPr>
            <w:tcW w:w="6632" w:type="dxa"/>
            <w:gridSpan w:val="2"/>
            <w:tcBorders>
              <w:left w:val="single" w:sz="4" w:space="0" w:color="000000"/>
              <w:bottom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246.90</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240.87</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23.78</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0.01</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0.30</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0.09</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0.58</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18.97</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0.71</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58.22</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1.00</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0.22</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0.07</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2.14</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0.99</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11.82</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34.53</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0.32</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84.88</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2.28</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6.03</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5.75</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996CBB">
            <w:pPr>
              <w:jc w:val="right"/>
              <w:rPr>
                <w:rFonts w:ascii="仿宋" w:eastAsia="仿宋" w:hAnsi="仿宋" w:cs="仿宋"/>
              </w:rPr>
            </w:pPr>
            <w:r>
              <w:rPr>
                <w:rFonts w:ascii="仿宋" w:eastAsia="仿宋" w:hAnsi="仿宋" w:cs="仿宋" w:hint="eastAsia"/>
              </w:rPr>
              <w:t>0.28</w:t>
            </w: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r w:rsidR="00AF0ECA">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AF0ECA" w:rsidRDefault="00AF0ECA">
            <w:pPr>
              <w:jc w:val="right"/>
              <w:rPr>
                <w:rFonts w:ascii="仿宋" w:eastAsia="仿宋" w:hAnsi="仿宋" w:cs="仿宋"/>
              </w:rPr>
            </w:pPr>
          </w:p>
        </w:tc>
      </w:tr>
    </w:tbl>
    <w:p w:rsidR="00AF0ECA" w:rsidRDefault="00996CBB">
      <w:pPr>
        <w:spacing w:before="25"/>
        <w:ind w:rightChars="-42" w:right="-92"/>
        <w:jc w:val="both"/>
        <w:rPr>
          <w:rFonts w:ascii="仿宋" w:eastAsia="仿宋" w:hAnsi="仿宋" w:cs="仿宋"/>
          <w:lang w:val="en-US"/>
        </w:rPr>
      </w:pPr>
      <w:r>
        <w:rPr>
          <w:rFonts w:ascii="仿宋" w:eastAsia="仿宋" w:hAnsi="仿宋" w:cs="仿宋" w:hint="eastAsia"/>
        </w:rPr>
        <w:t>注：“机关运行经费”</w:t>
      </w:r>
      <w:r>
        <w:rPr>
          <w:rFonts w:ascii="仿宋" w:eastAsia="仿宋" w:hAnsi="仿宋" w:cs="仿宋" w:hint="eastAsia"/>
        </w:rPr>
        <w:t xml:space="preserve"> </w:t>
      </w:r>
      <w:r>
        <w:rPr>
          <w:rFonts w:ascii="仿宋" w:eastAsia="仿宋" w:hAnsi="仿宋" w:cs="仿宋" w:hint="eastAsia"/>
        </w:rPr>
        <w:t>指行政单位（含参照公务员法管理的事业单位）使用</w:t>
      </w:r>
      <w:r>
        <w:rPr>
          <w:rFonts w:ascii="仿宋" w:eastAsia="仿宋" w:hAnsi="仿宋" w:cs="仿宋" w:hint="eastAsia"/>
          <w:lang w:val="en-US"/>
        </w:rPr>
        <w:t>财政拨款</w:t>
      </w:r>
      <w:r>
        <w:rPr>
          <w:rFonts w:ascii="仿宋" w:eastAsia="仿宋" w:hAnsi="仿宋" w:cs="仿宋" w:hint="eastAsia"/>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rsidR="00AF0ECA" w:rsidRDefault="00AF0ECA">
      <w:pPr>
        <w:tabs>
          <w:tab w:val="left" w:pos="440"/>
        </w:tabs>
        <w:spacing w:before="25"/>
        <w:ind w:leftChars="200" w:left="440"/>
        <w:jc w:val="both"/>
        <w:rPr>
          <w:rFonts w:ascii="仿宋" w:eastAsia="仿宋" w:hAnsi="仿宋" w:cs="仿宋"/>
          <w:lang w:val="en-US"/>
        </w:rPr>
        <w:sectPr w:rsidR="00AF0ECA">
          <w:footerReference w:type="default" r:id="rId25"/>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AF0ECA">
        <w:trPr>
          <w:trHeight w:val="333"/>
        </w:trPr>
        <w:tc>
          <w:tcPr>
            <w:tcW w:w="10459" w:type="dxa"/>
            <w:gridSpan w:val="4"/>
            <w:vAlign w:val="center"/>
          </w:tcPr>
          <w:p w:rsidR="00AF0ECA" w:rsidRDefault="00996CB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AF0ECA">
        <w:trPr>
          <w:trHeight w:val="333"/>
        </w:trPr>
        <w:tc>
          <w:tcPr>
            <w:tcW w:w="4472" w:type="dxa"/>
          </w:tcPr>
          <w:p w:rsidR="00AF0ECA" w:rsidRDefault="00AF0ECA">
            <w:pPr>
              <w:pStyle w:val="TableParagraph"/>
              <w:rPr>
                <w:rFonts w:ascii="仿宋" w:eastAsia="仿宋" w:hAnsi="仿宋" w:cs="仿宋"/>
              </w:rPr>
            </w:pPr>
          </w:p>
        </w:tc>
        <w:tc>
          <w:tcPr>
            <w:tcW w:w="722" w:type="dxa"/>
          </w:tcPr>
          <w:p w:rsidR="00AF0ECA" w:rsidRDefault="00AF0ECA">
            <w:pPr>
              <w:pStyle w:val="TableParagraph"/>
              <w:rPr>
                <w:rFonts w:ascii="仿宋" w:eastAsia="仿宋" w:hAnsi="仿宋" w:cs="仿宋"/>
              </w:rPr>
            </w:pPr>
          </w:p>
        </w:tc>
        <w:tc>
          <w:tcPr>
            <w:tcW w:w="1992" w:type="dxa"/>
          </w:tcPr>
          <w:p w:rsidR="00AF0ECA" w:rsidRDefault="00AF0ECA">
            <w:pPr>
              <w:pStyle w:val="TableParagraph"/>
              <w:rPr>
                <w:rFonts w:ascii="仿宋" w:eastAsia="仿宋" w:hAnsi="仿宋" w:cs="仿宋"/>
              </w:rPr>
            </w:pPr>
          </w:p>
        </w:tc>
        <w:tc>
          <w:tcPr>
            <w:tcW w:w="3273" w:type="dxa"/>
            <w:vAlign w:val="center"/>
          </w:tcPr>
          <w:p w:rsidR="00AF0ECA" w:rsidRDefault="00996CBB">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AF0ECA">
        <w:trPr>
          <w:trHeight w:val="90"/>
        </w:trPr>
        <w:tc>
          <w:tcPr>
            <w:tcW w:w="7186" w:type="dxa"/>
            <w:gridSpan w:val="3"/>
          </w:tcPr>
          <w:p w:rsidR="00AF0ECA" w:rsidRDefault="00996CB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常州市工业和信息化局</w:t>
            </w:r>
          </w:p>
        </w:tc>
        <w:tc>
          <w:tcPr>
            <w:tcW w:w="3273" w:type="dxa"/>
            <w:vAlign w:val="center"/>
          </w:tcPr>
          <w:p w:rsidR="00AF0ECA" w:rsidRDefault="00996CBB">
            <w:pPr>
              <w:pStyle w:val="TableParagraph"/>
              <w:jc w:val="right"/>
              <w:rPr>
                <w:rFonts w:ascii="仿宋" w:eastAsia="仿宋" w:hAnsi="仿宋" w:cs="仿宋"/>
              </w:rPr>
            </w:pPr>
            <w:r>
              <w:rPr>
                <w:rFonts w:ascii="仿宋" w:eastAsia="仿宋" w:hAnsi="仿宋" w:cs="仿宋" w:hint="eastAsia"/>
              </w:rPr>
              <w:t>单位：万元</w:t>
            </w:r>
          </w:p>
        </w:tc>
      </w:tr>
      <w:tr w:rsidR="00AF0ECA">
        <w:trPr>
          <w:trHeight w:val="244"/>
        </w:trPr>
        <w:tc>
          <w:tcPr>
            <w:tcW w:w="4472" w:type="dxa"/>
            <w:tcBorders>
              <w:top w:val="single" w:sz="4" w:space="0" w:color="000000"/>
              <w:left w:val="single" w:sz="4" w:space="0" w:color="000000"/>
              <w:bottom w:val="single" w:sz="4" w:space="0" w:color="000000"/>
            </w:tcBorders>
            <w:vAlign w:val="center"/>
          </w:tcPr>
          <w:p w:rsidR="00AF0ECA" w:rsidRDefault="00996CBB">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AF0ECA" w:rsidRDefault="00996CBB">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r>
            <w:r>
              <w:rPr>
                <w:rFonts w:ascii="仿宋" w:eastAsia="仿宋" w:hAnsi="仿宋" w:cs="仿宋" w:hint="eastAsia"/>
              </w:rPr>
              <w:t>额</w:t>
            </w:r>
          </w:p>
        </w:tc>
      </w:tr>
      <w:tr w:rsidR="00AF0ECA">
        <w:trPr>
          <w:cantSplit/>
          <w:trHeight w:val="277"/>
        </w:trPr>
        <w:tc>
          <w:tcPr>
            <w:tcW w:w="4472"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4,606.79</w:t>
            </w:r>
          </w:p>
        </w:tc>
      </w:tr>
      <w:tr w:rsidR="00AF0ECA">
        <w:trPr>
          <w:cantSplit/>
          <w:trHeight w:val="277"/>
        </w:trPr>
        <w:tc>
          <w:tcPr>
            <w:tcW w:w="4472"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（一）政府采购货物支出</w:t>
            </w:r>
          </w:p>
        </w:tc>
        <w:tc>
          <w:tcPr>
            <w:tcW w:w="5987" w:type="dxa"/>
            <w:gridSpan w:val="3"/>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589.45</w:t>
            </w:r>
          </w:p>
        </w:tc>
      </w:tr>
      <w:tr w:rsidR="00AF0ECA">
        <w:trPr>
          <w:cantSplit/>
          <w:trHeight w:val="277"/>
        </w:trPr>
        <w:tc>
          <w:tcPr>
            <w:tcW w:w="4472"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（二）政府采购工程支出</w:t>
            </w:r>
          </w:p>
        </w:tc>
        <w:tc>
          <w:tcPr>
            <w:tcW w:w="5987" w:type="dxa"/>
            <w:gridSpan w:val="3"/>
            <w:tcBorders>
              <w:left w:val="single" w:sz="4" w:space="0" w:color="000000"/>
              <w:bottom w:val="single" w:sz="4" w:space="0" w:color="000000"/>
              <w:right w:val="single" w:sz="4" w:space="0" w:color="000000"/>
            </w:tcBorders>
            <w:vAlign w:val="center"/>
          </w:tcPr>
          <w:p w:rsidR="00AF0ECA" w:rsidRDefault="00AF0ECA">
            <w:pPr>
              <w:pStyle w:val="TableParagraph"/>
              <w:jc w:val="right"/>
              <w:rPr>
                <w:rFonts w:ascii="仿宋" w:eastAsia="仿宋" w:hAnsi="仿宋" w:cs="仿宋"/>
              </w:rPr>
            </w:pPr>
          </w:p>
        </w:tc>
      </w:tr>
      <w:tr w:rsidR="00AF0ECA">
        <w:trPr>
          <w:cantSplit/>
          <w:trHeight w:val="277"/>
        </w:trPr>
        <w:tc>
          <w:tcPr>
            <w:tcW w:w="4472"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（三）政府采购服务支出</w:t>
            </w:r>
          </w:p>
        </w:tc>
        <w:tc>
          <w:tcPr>
            <w:tcW w:w="5987" w:type="dxa"/>
            <w:gridSpan w:val="3"/>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4,017.35</w:t>
            </w:r>
          </w:p>
        </w:tc>
      </w:tr>
      <w:tr w:rsidR="00AF0ECA">
        <w:trPr>
          <w:cantSplit/>
          <w:trHeight w:val="277"/>
        </w:trPr>
        <w:tc>
          <w:tcPr>
            <w:tcW w:w="4472"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4,578.14</w:t>
            </w:r>
          </w:p>
        </w:tc>
      </w:tr>
      <w:tr w:rsidR="00AF0ECA">
        <w:trPr>
          <w:cantSplit/>
          <w:trHeight w:val="277"/>
        </w:trPr>
        <w:tc>
          <w:tcPr>
            <w:tcW w:w="4472" w:type="dxa"/>
            <w:tcBorders>
              <w:left w:val="single" w:sz="4" w:space="0" w:color="000000"/>
              <w:bottom w:val="single" w:sz="4" w:space="0" w:color="000000"/>
            </w:tcBorders>
            <w:vAlign w:val="center"/>
          </w:tcPr>
          <w:p w:rsidR="00AF0ECA" w:rsidRDefault="00996CBB">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AF0ECA" w:rsidRDefault="00996CBB">
            <w:pPr>
              <w:pStyle w:val="TableParagraph"/>
              <w:jc w:val="right"/>
              <w:rPr>
                <w:rFonts w:ascii="仿宋" w:eastAsia="仿宋" w:hAnsi="仿宋" w:cs="仿宋"/>
              </w:rPr>
            </w:pPr>
            <w:r>
              <w:rPr>
                <w:rFonts w:ascii="仿宋" w:eastAsia="仿宋" w:hAnsi="仿宋" w:cs="仿宋" w:hint="eastAsia"/>
              </w:rPr>
              <w:t>4,065.59</w:t>
            </w:r>
          </w:p>
        </w:tc>
      </w:tr>
    </w:tbl>
    <w:p w:rsidR="00AF0ECA" w:rsidRDefault="00996CBB">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AF0ECA" w:rsidRDefault="00AF0ECA">
      <w:pPr>
        <w:ind w:leftChars="200" w:left="440"/>
        <w:jc w:val="both"/>
        <w:rPr>
          <w:rFonts w:ascii="仿宋" w:eastAsia="仿宋" w:hAnsi="仿宋" w:cs="仿宋"/>
        </w:rPr>
        <w:sectPr w:rsidR="00AF0ECA">
          <w:pgSz w:w="11906" w:h="16838"/>
          <w:pgMar w:top="720" w:right="720" w:bottom="720" w:left="720" w:header="170" w:footer="280" w:gutter="0"/>
          <w:pgNumType w:fmt="numberInDash"/>
          <w:cols w:space="720"/>
          <w:formProt w:val="0"/>
          <w:docGrid w:linePitch="100"/>
        </w:sectPr>
      </w:pPr>
    </w:p>
    <w:p w:rsidR="00AF0ECA" w:rsidRDefault="00996CBB">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rPr>
        <w:t>2022</w:t>
      </w:r>
      <w:r>
        <w:rPr>
          <w:rFonts w:ascii="宋体" w:eastAsia="宋体" w:hAnsi="宋体" w:cs="宋体" w:hint="eastAsia"/>
          <w:b/>
          <w:bCs/>
          <w:color w:val="000000"/>
          <w:lang w:eastAsia="ar-SA"/>
        </w:rPr>
        <w:t>年度</w:t>
      </w:r>
      <w:r>
        <w:rPr>
          <w:rFonts w:ascii="宋体" w:eastAsia="宋体" w:hAnsi="宋体" w:cs="宋体"/>
          <w:b/>
          <w:color w:val="000000"/>
        </w:rPr>
        <w:t>部门决算情况说明</w:t>
      </w:r>
    </w:p>
    <w:p w:rsidR="00AF0ECA" w:rsidRDefault="00AF0ECA">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年度收入、支出决算总计</w:t>
      </w:r>
      <w:r>
        <w:rPr>
          <w:rFonts w:ascii="仿宋" w:eastAsia="仿宋" w:hAnsi="仿宋" w:cs="仿宋"/>
        </w:rPr>
        <w:t>12,336.79</w:t>
      </w:r>
      <w:r>
        <w:rPr>
          <w:rFonts w:ascii="仿宋" w:eastAsia="仿宋" w:hAnsi="仿宋" w:cs="仿宋"/>
        </w:rPr>
        <w:t>万元。与上年相比，收、支总计各增加</w:t>
      </w:r>
      <w:r>
        <w:rPr>
          <w:rFonts w:ascii="仿宋" w:eastAsia="仿宋" w:hAnsi="仿宋" w:cs="仿宋"/>
        </w:rPr>
        <w:t>4,477.49</w:t>
      </w:r>
      <w:r>
        <w:rPr>
          <w:rFonts w:ascii="仿宋" w:eastAsia="仿宋" w:hAnsi="仿宋" w:cs="仿宋"/>
        </w:rPr>
        <w:t>万元，增长</w:t>
      </w:r>
      <w:r>
        <w:rPr>
          <w:rFonts w:ascii="仿宋" w:eastAsia="仿宋" w:hAnsi="仿宋" w:cs="仿宋"/>
        </w:rPr>
        <w:t>56.97%</w:t>
      </w:r>
      <w:r>
        <w:rPr>
          <w:rFonts w:ascii="仿宋" w:eastAsia="仿宋" w:hAnsi="仿宋" w:cs="仿宋"/>
        </w:rPr>
        <w:t>。其中：</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w:t>
      </w:r>
      <w:r>
        <w:rPr>
          <w:rFonts w:ascii="仿宋" w:eastAsia="仿宋" w:hAnsi="仿宋" w:cs="仿宋"/>
          <w:b/>
        </w:rPr>
        <w:t>12,336.79</w:t>
      </w:r>
      <w:r>
        <w:rPr>
          <w:rFonts w:ascii="仿宋" w:eastAsia="仿宋" w:hAnsi="仿宋" w:cs="仿宋"/>
          <w:b/>
        </w:rPr>
        <w:t>万元。包括：</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本年收入决算合计</w:t>
      </w:r>
      <w:r>
        <w:rPr>
          <w:rFonts w:ascii="仿宋" w:eastAsia="仿宋" w:hAnsi="仿宋" w:cs="仿宋"/>
        </w:rPr>
        <w:t>12,336.79</w:t>
      </w:r>
      <w:r>
        <w:rPr>
          <w:rFonts w:ascii="仿宋" w:eastAsia="仿宋" w:hAnsi="仿宋" w:cs="仿宋"/>
        </w:rPr>
        <w:t>万元。与上年相比，增加</w:t>
      </w:r>
      <w:r>
        <w:rPr>
          <w:rFonts w:ascii="仿宋" w:eastAsia="仿宋" w:hAnsi="仿宋" w:cs="仿宋"/>
        </w:rPr>
        <w:t>4,615.94</w:t>
      </w:r>
      <w:r>
        <w:rPr>
          <w:rFonts w:ascii="仿宋" w:eastAsia="仿宋" w:hAnsi="仿宋" w:cs="仿宋"/>
        </w:rPr>
        <w:t>万元，增长</w:t>
      </w:r>
      <w:r>
        <w:rPr>
          <w:rFonts w:ascii="仿宋" w:eastAsia="仿宋" w:hAnsi="仿宋" w:cs="仿宋"/>
        </w:rPr>
        <w:t>59.79%</w:t>
      </w:r>
      <w:r>
        <w:rPr>
          <w:rFonts w:ascii="仿宋" w:eastAsia="仿宋" w:hAnsi="仿宋" w:cs="仿宋"/>
        </w:rPr>
        <w:t>，变动原因：</w:t>
      </w:r>
      <w:r>
        <w:rPr>
          <w:rFonts w:ascii="仿宋" w:eastAsia="仿宋" w:hAnsi="仿宋" w:cs="仿宋"/>
        </w:rPr>
        <w:t>①</w:t>
      </w:r>
      <w:r>
        <w:rPr>
          <w:rFonts w:ascii="仿宋" w:eastAsia="仿宋" w:hAnsi="仿宋" w:cs="仿宋"/>
        </w:rPr>
        <w:t>人员经费政策性涨幅。</w:t>
      </w:r>
      <w:r>
        <w:rPr>
          <w:rFonts w:ascii="仿宋" w:eastAsia="仿宋" w:hAnsi="仿宋" w:cs="仿宋"/>
        </w:rPr>
        <w:t>②</w:t>
      </w:r>
      <w:r>
        <w:rPr>
          <w:rFonts w:ascii="仿宋" w:eastAsia="仿宋" w:hAnsi="仿宋" w:cs="仿宋"/>
        </w:rPr>
        <w:t>省级拨入专项资金第一批省工业和信息产业转型升级专项资金</w:t>
      </w:r>
      <w:r>
        <w:rPr>
          <w:rFonts w:ascii="仿宋" w:eastAsia="仿宋" w:hAnsi="仿宋" w:cs="仿宋"/>
        </w:rPr>
        <w:t>2100</w:t>
      </w:r>
      <w:r>
        <w:rPr>
          <w:rFonts w:ascii="仿宋" w:eastAsia="仿宋" w:hAnsi="仿宋" w:cs="仿宋"/>
        </w:rPr>
        <w:t>万、软件考试费</w:t>
      </w:r>
      <w:r>
        <w:rPr>
          <w:rFonts w:ascii="仿宋" w:eastAsia="仿宋" w:hAnsi="仿宋" w:cs="仿宋"/>
        </w:rPr>
        <w:t>11.4</w:t>
      </w:r>
      <w:r>
        <w:rPr>
          <w:rFonts w:ascii="仿宋" w:eastAsia="仿宋" w:hAnsi="仿宋" w:cs="仿宋"/>
        </w:rPr>
        <w:t>万。</w:t>
      </w:r>
      <w:r>
        <w:rPr>
          <w:rFonts w:ascii="仿宋" w:eastAsia="仿宋" w:hAnsi="仿宋" w:cs="仿宋"/>
        </w:rPr>
        <w:t>③</w:t>
      </w:r>
      <w:r>
        <w:rPr>
          <w:rFonts w:ascii="仿宋" w:eastAsia="仿宋" w:hAnsi="仿宋" w:cs="仿宋"/>
        </w:rPr>
        <w:t>市级专项资金常州市节能及发展循环经济专项金额比</w:t>
      </w:r>
      <w:r>
        <w:rPr>
          <w:rFonts w:ascii="仿宋" w:eastAsia="仿宋" w:hAnsi="仿宋" w:cs="仿宋"/>
        </w:rPr>
        <w:t>2021</w:t>
      </w:r>
      <w:r>
        <w:rPr>
          <w:rFonts w:ascii="仿宋" w:eastAsia="仿宋" w:hAnsi="仿宋" w:cs="仿宋"/>
        </w:rPr>
        <w:t>年增加。</w:t>
      </w:r>
      <w:r>
        <w:rPr>
          <w:rFonts w:ascii="仿宋" w:eastAsia="仿宋" w:hAnsi="仿宋" w:cs="仿宋"/>
        </w:rPr>
        <w:t>④</w:t>
      </w:r>
      <w:r>
        <w:rPr>
          <w:rFonts w:ascii="仿宋" w:eastAsia="仿宋" w:hAnsi="仿宋" w:cs="仿宋"/>
        </w:rPr>
        <w:t>常州市工信大数据服务平台项目、工业高质量发展专项是</w:t>
      </w:r>
      <w:r>
        <w:rPr>
          <w:rFonts w:ascii="仿宋" w:eastAsia="仿宋" w:hAnsi="仿宋" w:cs="仿宋"/>
        </w:rPr>
        <w:t>2022</w:t>
      </w:r>
      <w:r>
        <w:rPr>
          <w:rFonts w:ascii="仿宋" w:eastAsia="仿宋" w:hAnsi="仿宋" w:cs="仿宋"/>
        </w:rPr>
        <w:t>年新下达的专项资金，</w:t>
      </w:r>
      <w:r>
        <w:rPr>
          <w:rFonts w:ascii="仿宋" w:eastAsia="仿宋" w:hAnsi="仿宋" w:cs="仿宋"/>
        </w:rPr>
        <w:t>2021</w:t>
      </w:r>
      <w:r>
        <w:rPr>
          <w:rFonts w:ascii="仿宋" w:eastAsia="仿宋" w:hAnsi="仿宋" w:cs="仿宋"/>
        </w:rPr>
        <w:t>年未下达。</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使用非财政拨款结余</w:t>
      </w:r>
      <w:r>
        <w:rPr>
          <w:rFonts w:ascii="仿宋" w:eastAsia="仿宋" w:hAnsi="仿宋" w:cs="仿宋"/>
        </w:rPr>
        <w:t>0</w:t>
      </w:r>
      <w:r>
        <w:rPr>
          <w:rFonts w:ascii="仿宋" w:eastAsia="仿宋" w:hAnsi="仿宋" w:cs="仿宋"/>
        </w:rPr>
        <w:t>万元。与上年决算数相同。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年初结转和结余</w:t>
      </w:r>
      <w:r>
        <w:rPr>
          <w:rFonts w:ascii="仿宋" w:eastAsia="仿宋" w:hAnsi="仿宋" w:cs="仿宋"/>
        </w:rPr>
        <w:t>0</w:t>
      </w:r>
      <w:r>
        <w:rPr>
          <w:rFonts w:ascii="仿宋" w:eastAsia="仿宋" w:hAnsi="仿宋" w:cs="仿宋"/>
        </w:rPr>
        <w:t>万元。与上年相比，减少</w:t>
      </w:r>
      <w:r>
        <w:rPr>
          <w:rFonts w:ascii="仿宋" w:eastAsia="仿宋" w:hAnsi="仿宋" w:cs="仿宋"/>
        </w:rPr>
        <w:t>138.45</w:t>
      </w:r>
      <w:r>
        <w:rPr>
          <w:rFonts w:ascii="仿宋" w:eastAsia="仿宋" w:hAnsi="仿宋" w:cs="仿宋"/>
        </w:rPr>
        <w:t>万元，减少</w:t>
      </w:r>
      <w:r>
        <w:rPr>
          <w:rFonts w:ascii="仿宋" w:eastAsia="仿宋" w:hAnsi="仿宋" w:cs="仿宋"/>
        </w:rPr>
        <w:t>100%</w:t>
      </w:r>
      <w:r>
        <w:rPr>
          <w:rFonts w:ascii="仿宋" w:eastAsia="仿宋" w:hAnsi="仿宋" w:cs="仿宋"/>
        </w:rPr>
        <w:t>，变</w:t>
      </w:r>
      <w:r>
        <w:rPr>
          <w:rFonts w:ascii="仿宋" w:eastAsia="仿宋" w:hAnsi="仿宋" w:cs="仿宋"/>
        </w:rPr>
        <w:t>动原因：工信局</w:t>
      </w:r>
      <w:r>
        <w:rPr>
          <w:rFonts w:ascii="仿宋" w:eastAsia="仿宋" w:hAnsi="仿宋" w:cs="仿宋"/>
        </w:rPr>
        <w:t>2022</w:t>
      </w:r>
      <w:r>
        <w:rPr>
          <w:rFonts w:ascii="仿宋" w:eastAsia="仿宋" w:hAnsi="仿宋" w:cs="仿宋"/>
        </w:rPr>
        <w:t>年年初未有结转和结余资金。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w:t>
      </w:r>
      <w:r>
        <w:rPr>
          <w:rFonts w:ascii="仿宋" w:eastAsia="仿宋" w:hAnsi="仿宋" w:cs="仿宋"/>
          <w:b/>
        </w:rPr>
        <w:t>12,336.79</w:t>
      </w:r>
      <w:r>
        <w:rPr>
          <w:rFonts w:ascii="仿宋" w:eastAsia="仿宋" w:hAnsi="仿宋" w:cs="仿宋"/>
          <w:b/>
        </w:rPr>
        <w:t>万元。包括：</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本年支出决算合计</w:t>
      </w:r>
      <w:r>
        <w:rPr>
          <w:rFonts w:ascii="仿宋" w:eastAsia="仿宋" w:hAnsi="仿宋" w:cs="仿宋"/>
        </w:rPr>
        <w:t>12,336.79</w:t>
      </w:r>
      <w:r>
        <w:rPr>
          <w:rFonts w:ascii="仿宋" w:eastAsia="仿宋" w:hAnsi="仿宋" w:cs="仿宋"/>
        </w:rPr>
        <w:t>万元。与上年相比，增加</w:t>
      </w:r>
      <w:r>
        <w:rPr>
          <w:rFonts w:ascii="仿宋" w:eastAsia="仿宋" w:hAnsi="仿宋" w:cs="仿宋"/>
        </w:rPr>
        <w:t>4,477.49</w:t>
      </w:r>
      <w:r>
        <w:rPr>
          <w:rFonts w:ascii="仿宋" w:eastAsia="仿宋" w:hAnsi="仿宋" w:cs="仿宋"/>
        </w:rPr>
        <w:t>万元，增长</w:t>
      </w:r>
      <w:r>
        <w:rPr>
          <w:rFonts w:ascii="仿宋" w:eastAsia="仿宋" w:hAnsi="仿宋" w:cs="仿宋"/>
        </w:rPr>
        <w:t>56.97%</w:t>
      </w:r>
      <w:r>
        <w:rPr>
          <w:rFonts w:ascii="仿宋" w:eastAsia="仿宋" w:hAnsi="仿宋" w:cs="仿宋"/>
        </w:rPr>
        <w:t>，变动原因：</w:t>
      </w:r>
      <w:r>
        <w:rPr>
          <w:rFonts w:ascii="仿宋" w:eastAsia="仿宋" w:hAnsi="仿宋" w:cs="仿宋"/>
        </w:rPr>
        <w:t>①</w:t>
      </w:r>
      <w:r>
        <w:rPr>
          <w:rFonts w:ascii="仿宋" w:eastAsia="仿宋" w:hAnsi="仿宋" w:cs="仿宋"/>
        </w:rPr>
        <w:t>人员经费政策性涨幅。</w:t>
      </w:r>
      <w:r>
        <w:rPr>
          <w:rFonts w:ascii="仿宋" w:eastAsia="仿宋" w:hAnsi="仿宋" w:cs="仿宋"/>
        </w:rPr>
        <w:t>②</w:t>
      </w:r>
      <w:r>
        <w:rPr>
          <w:rFonts w:ascii="仿宋" w:eastAsia="仿宋" w:hAnsi="仿宋" w:cs="仿宋"/>
        </w:rPr>
        <w:t>省级拨入专项资金第一批省工业和信息产业转型升级专项资金</w:t>
      </w:r>
      <w:r>
        <w:rPr>
          <w:rFonts w:ascii="仿宋" w:eastAsia="仿宋" w:hAnsi="仿宋" w:cs="仿宋"/>
        </w:rPr>
        <w:t>2100</w:t>
      </w:r>
      <w:r>
        <w:rPr>
          <w:rFonts w:ascii="仿宋" w:eastAsia="仿宋" w:hAnsi="仿宋" w:cs="仿宋"/>
        </w:rPr>
        <w:t>万、软件考试费</w:t>
      </w:r>
      <w:r>
        <w:rPr>
          <w:rFonts w:ascii="仿宋" w:eastAsia="仿宋" w:hAnsi="仿宋" w:cs="仿宋"/>
        </w:rPr>
        <w:t>11.4</w:t>
      </w:r>
      <w:r>
        <w:rPr>
          <w:rFonts w:ascii="仿宋" w:eastAsia="仿宋" w:hAnsi="仿宋" w:cs="仿宋"/>
        </w:rPr>
        <w:t>万。</w:t>
      </w:r>
      <w:r>
        <w:rPr>
          <w:rFonts w:ascii="仿宋" w:eastAsia="仿宋" w:hAnsi="仿宋" w:cs="仿宋"/>
        </w:rPr>
        <w:t>③</w:t>
      </w:r>
      <w:r>
        <w:rPr>
          <w:rFonts w:ascii="仿宋" w:eastAsia="仿宋" w:hAnsi="仿宋" w:cs="仿宋"/>
        </w:rPr>
        <w:t>市级专项资金常州市</w:t>
      </w:r>
      <w:r>
        <w:rPr>
          <w:rFonts w:ascii="仿宋" w:eastAsia="仿宋" w:hAnsi="仿宋" w:cs="仿宋"/>
        </w:rPr>
        <w:lastRenderedPageBreak/>
        <w:t>节能及发展循环经济专项金额比</w:t>
      </w:r>
      <w:r>
        <w:rPr>
          <w:rFonts w:ascii="仿宋" w:eastAsia="仿宋" w:hAnsi="仿宋" w:cs="仿宋"/>
        </w:rPr>
        <w:t>2021</w:t>
      </w:r>
      <w:r>
        <w:rPr>
          <w:rFonts w:ascii="仿宋" w:eastAsia="仿宋" w:hAnsi="仿宋" w:cs="仿宋"/>
        </w:rPr>
        <w:t>年增加。</w:t>
      </w:r>
      <w:r>
        <w:rPr>
          <w:rFonts w:ascii="仿宋" w:eastAsia="仿宋" w:hAnsi="仿宋" w:cs="仿宋"/>
        </w:rPr>
        <w:t>④</w:t>
      </w:r>
      <w:r>
        <w:rPr>
          <w:rFonts w:ascii="仿宋" w:eastAsia="仿宋" w:hAnsi="仿宋" w:cs="仿宋"/>
        </w:rPr>
        <w:t>常州市工信大数据服务平台项目、工业高质量发展专项是</w:t>
      </w:r>
      <w:r>
        <w:rPr>
          <w:rFonts w:ascii="仿宋" w:eastAsia="仿宋" w:hAnsi="仿宋" w:cs="仿宋"/>
        </w:rPr>
        <w:t>2022</w:t>
      </w:r>
      <w:r>
        <w:rPr>
          <w:rFonts w:ascii="仿宋" w:eastAsia="仿宋" w:hAnsi="仿宋" w:cs="仿宋"/>
        </w:rPr>
        <w:t>年新下达的专项资金，</w:t>
      </w:r>
      <w:r>
        <w:rPr>
          <w:rFonts w:ascii="仿宋" w:eastAsia="仿宋" w:hAnsi="仿宋" w:cs="仿宋"/>
        </w:rPr>
        <w:t>2021</w:t>
      </w:r>
      <w:r>
        <w:rPr>
          <w:rFonts w:ascii="仿宋" w:eastAsia="仿宋" w:hAnsi="仿宋" w:cs="仿宋"/>
        </w:rPr>
        <w:t>年未下达。</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结余分配</w:t>
      </w:r>
      <w:r>
        <w:rPr>
          <w:rFonts w:ascii="仿宋" w:eastAsia="仿宋" w:hAnsi="仿宋" w:cs="仿宋"/>
        </w:rPr>
        <w:t>0</w:t>
      </w:r>
      <w:r>
        <w:rPr>
          <w:rFonts w:ascii="仿宋" w:eastAsia="仿宋" w:hAnsi="仿宋" w:cs="仿宋"/>
        </w:rPr>
        <w:t>万元。与上年</w:t>
      </w:r>
      <w:r>
        <w:rPr>
          <w:rFonts w:ascii="仿宋" w:eastAsia="仿宋" w:hAnsi="仿宋" w:cs="仿宋"/>
        </w:rPr>
        <w:t>决算数相同。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年末结转和结余</w:t>
      </w:r>
      <w:r>
        <w:rPr>
          <w:rFonts w:ascii="仿宋" w:eastAsia="仿宋" w:hAnsi="仿宋" w:cs="仿宋"/>
        </w:rPr>
        <w:t>0</w:t>
      </w:r>
      <w:r>
        <w:rPr>
          <w:rFonts w:ascii="仿宋" w:eastAsia="仿宋" w:hAnsi="仿宋" w:cs="仿宋"/>
        </w:rPr>
        <w:t>万元。与上年决算数相同。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年度本年收入决算合计</w:t>
      </w:r>
      <w:r>
        <w:rPr>
          <w:rFonts w:ascii="仿宋" w:eastAsia="仿宋" w:hAnsi="仿宋" w:cs="仿宋"/>
        </w:rPr>
        <w:t>12,336.79</w:t>
      </w:r>
      <w:r>
        <w:rPr>
          <w:rFonts w:ascii="仿宋" w:eastAsia="仿宋" w:hAnsi="仿宋" w:cs="仿宋"/>
        </w:rPr>
        <w:t>万元，其中：财政拨款收入</w:t>
      </w:r>
      <w:r>
        <w:rPr>
          <w:rFonts w:ascii="仿宋" w:eastAsia="仿宋" w:hAnsi="仿宋" w:cs="仿宋"/>
        </w:rPr>
        <w:t>12,244.47</w:t>
      </w:r>
      <w:r>
        <w:rPr>
          <w:rFonts w:ascii="仿宋" w:eastAsia="仿宋" w:hAnsi="仿宋" w:cs="仿宋"/>
        </w:rPr>
        <w:t>万元，占</w:t>
      </w:r>
      <w:r>
        <w:rPr>
          <w:rFonts w:ascii="仿宋" w:eastAsia="仿宋" w:hAnsi="仿宋" w:cs="仿宋"/>
        </w:rPr>
        <w:t>99.25%</w:t>
      </w:r>
      <w:r>
        <w:rPr>
          <w:rFonts w:ascii="仿宋" w:eastAsia="仿宋" w:hAnsi="仿宋" w:cs="仿宋"/>
        </w:rPr>
        <w:t>；上级补助收入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；财政专户管理教育收费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；事业收入（不含专户管理教育收费）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；其他收入</w:t>
      </w:r>
      <w:r>
        <w:rPr>
          <w:rFonts w:ascii="仿宋" w:eastAsia="仿宋" w:hAnsi="仿宋" w:cs="仿宋"/>
        </w:rPr>
        <w:t>92.31</w:t>
      </w:r>
      <w:r>
        <w:rPr>
          <w:rFonts w:ascii="仿宋" w:eastAsia="仿宋" w:hAnsi="仿宋" w:cs="仿宋"/>
        </w:rPr>
        <w:t>万元，占</w:t>
      </w:r>
      <w:r>
        <w:rPr>
          <w:rFonts w:ascii="仿宋" w:eastAsia="仿宋" w:hAnsi="仿宋" w:cs="仿宋"/>
        </w:rPr>
        <w:t>0.75%</w:t>
      </w:r>
      <w:r>
        <w:rPr>
          <w:rFonts w:ascii="仿宋" w:eastAsia="仿宋" w:hAnsi="仿宋" w:cs="仿宋"/>
        </w:rPr>
        <w:t>。</w:t>
      </w:r>
    </w:p>
    <w:p w:rsidR="00AF0ECA" w:rsidRDefault="00996CBB">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6"/>
                    <a:stretch>
                      <a:fillRect/>
                    </a:stretch>
                  </pic:blipFill>
                  <pic:spPr>
                    <a:xfrm>
                      <a:off x="0" y="0"/>
                      <a:ext cx="6134100" cy="3429000"/>
                    </a:xfrm>
                    <a:prstGeom prst="rect">
                      <a:avLst/>
                    </a:prstGeom>
                  </pic:spPr>
                </pic:pic>
              </a:graphicData>
            </a:graphic>
          </wp:inline>
        </w:drawing>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2022</w:t>
      </w:r>
      <w:r>
        <w:rPr>
          <w:rFonts w:ascii="仿宋" w:eastAsia="仿宋" w:hAnsi="仿宋" w:cs="仿宋"/>
        </w:rPr>
        <w:t>年度本年支出决算合计</w:t>
      </w:r>
      <w:r>
        <w:rPr>
          <w:rFonts w:ascii="仿宋" w:eastAsia="仿宋" w:hAnsi="仿宋" w:cs="仿宋"/>
        </w:rPr>
        <w:t>12,336.79</w:t>
      </w:r>
      <w:r>
        <w:rPr>
          <w:rFonts w:ascii="仿宋" w:eastAsia="仿宋" w:hAnsi="仿宋" w:cs="仿宋"/>
        </w:rPr>
        <w:t>万元，其中：基本支出</w:t>
      </w:r>
      <w:r>
        <w:rPr>
          <w:rFonts w:ascii="仿宋" w:eastAsia="仿宋" w:hAnsi="仿宋" w:cs="仿宋"/>
        </w:rPr>
        <w:t>5,665.29</w:t>
      </w:r>
      <w:r>
        <w:rPr>
          <w:rFonts w:ascii="仿宋" w:eastAsia="仿宋" w:hAnsi="仿宋" w:cs="仿宋"/>
        </w:rPr>
        <w:t>万元，占</w:t>
      </w:r>
      <w:r>
        <w:rPr>
          <w:rFonts w:ascii="仿宋" w:eastAsia="仿宋" w:hAnsi="仿宋" w:cs="仿宋"/>
        </w:rPr>
        <w:t>45.92%</w:t>
      </w:r>
      <w:r>
        <w:rPr>
          <w:rFonts w:ascii="仿宋" w:eastAsia="仿宋" w:hAnsi="仿宋" w:cs="仿宋"/>
        </w:rPr>
        <w:t>；项目支出</w:t>
      </w:r>
      <w:r>
        <w:rPr>
          <w:rFonts w:ascii="仿宋" w:eastAsia="仿宋" w:hAnsi="仿宋" w:cs="仿宋"/>
        </w:rPr>
        <w:t>6,671.49</w:t>
      </w:r>
      <w:r>
        <w:rPr>
          <w:rFonts w:ascii="仿宋" w:eastAsia="仿宋" w:hAnsi="仿宋" w:cs="仿宋"/>
        </w:rPr>
        <w:t>万元，占</w:t>
      </w:r>
      <w:r>
        <w:rPr>
          <w:rFonts w:ascii="仿宋" w:eastAsia="仿宋" w:hAnsi="仿宋" w:cs="仿宋"/>
        </w:rPr>
        <w:t>54.08%</w:t>
      </w: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F0ECA" w:rsidRDefault="00996CBB">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年度财政拨款收入、支出决算总计</w:t>
      </w:r>
      <w:r>
        <w:rPr>
          <w:rFonts w:ascii="仿宋" w:eastAsia="仿宋" w:hAnsi="仿宋" w:cs="仿宋"/>
        </w:rPr>
        <w:t>12,244.47</w:t>
      </w:r>
      <w:r>
        <w:rPr>
          <w:rFonts w:ascii="仿宋" w:eastAsia="仿宋" w:hAnsi="仿宋" w:cs="仿宋"/>
        </w:rPr>
        <w:t>万元。与上年相比，收、支总计各增加</w:t>
      </w:r>
      <w:r>
        <w:rPr>
          <w:rFonts w:ascii="仿宋" w:eastAsia="仿宋" w:hAnsi="仿宋" w:cs="仿宋"/>
        </w:rPr>
        <w:t>4,435.61</w:t>
      </w:r>
      <w:r>
        <w:rPr>
          <w:rFonts w:ascii="仿宋" w:eastAsia="仿宋" w:hAnsi="仿宋" w:cs="仿宋"/>
        </w:rPr>
        <w:t>万元，增长</w:t>
      </w:r>
      <w:r>
        <w:rPr>
          <w:rFonts w:ascii="仿宋" w:eastAsia="仿宋" w:hAnsi="仿宋" w:cs="仿宋"/>
        </w:rPr>
        <w:t>56.8%</w:t>
      </w:r>
      <w:r>
        <w:rPr>
          <w:rFonts w:ascii="仿宋" w:eastAsia="仿宋" w:hAnsi="仿宋" w:cs="仿宋"/>
        </w:rPr>
        <w:t>，变动原因：</w:t>
      </w:r>
      <w:r>
        <w:rPr>
          <w:rFonts w:ascii="仿宋" w:eastAsia="仿宋" w:hAnsi="仿宋" w:cs="仿宋"/>
        </w:rPr>
        <w:t>①</w:t>
      </w:r>
      <w:r>
        <w:rPr>
          <w:rFonts w:ascii="仿宋" w:eastAsia="仿宋" w:hAnsi="仿宋" w:cs="仿宋"/>
        </w:rPr>
        <w:t>人员经费政策性涨幅。</w:t>
      </w:r>
      <w:r>
        <w:rPr>
          <w:rFonts w:ascii="仿宋" w:eastAsia="仿宋" w:hAnsi="仿宋" w:cs="仿宋"/>
        </w:rPr>
        <w:t>②</w:t>
      </w:r>
      <w:r>
        <w:rPr>
          <w:rFonts w:ascii="仿宋" w:eastAsia="仿宋" w:hAnsi="仿宋" w:cs="仿宋"/>
        </w:rPr>
        <w:t>省级拨入专项资金第一批省工业和信息产业转型升级专项资金</w:t>
      </w:r>
      <w:r>
        <w:rPr>
          <w:rFonts w:ascii="仿宋" w:eastAsia="仿宋" w:hAnsi="仿宋" w:cs="仿宋"/>
        </w:rPr>
        <w:t>2100</w:t>
      </w:r>
      <w:r>
        <w:rPr>
          <w:rFonts w:ascii="仿宋" w:eastAsia="仿宋" w:hAnsi="仿宋" w:cs="仿宋"/>
        </w:rPr>
        <w:t>万、软件考试费</w:t>
      </w:r>
      <w:r>
        <w:rPr>
          <w:rFonts w:ascii="仿宋" w:eastAsia="仿宋" w:hAnsi="仿宋" w:cs="仿宋"/>
        </w:rPr>
        <w:t>11.4</w:t>
      </w:r>
      <w:r>
        <w:rPr>
          <w:rFonts w:ascii="仿宋" w:eastAsia="仿宋" w:hAnsi="仿宋" w:cs="仿宋"/>
        </w:rPr>
        <w:t>万。</w:t>
      </w:r>
      <w:r>
        <w:rPr>
          <w:rFonts w:ascii="仿宋" w:eastAsia="仿宋" w:hAnsi="仿宋" w:cs="仿宋"/>
        </w:rPr>
        <w:t>③</w:t>
      </w:r>
      <w:r>
        <w:rPr>
          <w:rFonts w:ascii="仿宋" w:eastAsia="仿宋" w:hAnsi="仿宋" w:cs="仿宋"/>
        </w:rPr>
        <w:t>市级专项资金常州市节能及发展循环经济专项金额比</w:t>
      </w:r>
      <w:r>
        <w:rPr>
          <w:rFonts w:ascii="仿宋" w:eastAsia="仿宋" w:hAnsi="仿宋" w:cs="仿宋"/>
        </w:rPr>
        <w:t>2021</w:t>
      </w:r>
      <w:r>
        <w:rPr>
          <w:rFonts w:ascii="仿宋" w:eastAsia="仿宋" w:hAnsi="仿宋" w:cs="仿宋"/>
        </w:rPr>
        <w:t>年增加。</w:t>
      </w:r>
      <w:r>
        <w:rPr>
          <w:rFonts w:ascii="仿宋" w:eastAsia="仿宋" w:hAnsi="仿宋" w:cs="仿宋"/>
        </w:rPr>
        <w:t>④</w:t>
      </w:r>
      <w:r>
        <w:rPr>
          <w:rFonts w:ascii="仿宋" w:eastAsia="仿宋" w:hAnsi="仿宋" w:cs="仿宋"/>
        </w:rPr>
        <w:t>常州市工信大数据服务平台项目、工业高质量发展专项是</w:t>
      </w:r>
      <w:r>
        <w:rPr>
          <w:rFonts w:ascii="仿宋" w:eastAsia="仿宋" w:hAnsi="仿宋" w:cs="仿宋"/>
        </w:rPr>
        <w:t>2022</w:t>
      </w:r>
      <w:r>
        <w:rPr>
          <w:rFonts w:ascii="仿宋" w:eastAsia="仿宋" w:hAnsi="仿宋" w:cs="仿宋"/>
        </w:rPr>
        <w:t>年新下达的专项资金，</w:t>
      </w:r>
      <w:r>
        <w:rPr>
          <w:rFonts w:ascii="仿宋" w:eastAsia="仿宋" w:hAnsi="仿宋" w:cs="仿宋"/>
        </w:rPr>
        <w:t>2021</w:t>
      </w:r>
      <w:r>
        <w:rPr>
          <w:rFonts w:ascii="仿宋" w:eastAsia="仿宋" w:hAnsi="仿宋" w:cs="仿宋"/>
        </w:rPr>
        <w:t>年未下达。</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财政拨款支出决算反映的是一般公共预算、政府性基金预算和国有资本经营预</w:t>
      </w:r>
      <w:r>
        <w:rPr>
          <w:rFonts w:ascii="仿宋" w:eastAsia="仿宋" w:hAnsi="仿宋" w:cs="仿宋"/>
        </w:rPr>
        <w:t>算财政拨款支出的总体情况，既包括使用本年从本级财政取得的财政拨款发生的支出，也包括使用上年度财政拨款结转资金发生的支出。</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年度财政拨款支出决算</w:t>
      </w:r>
      <w:r>
        <w:rPr>
          <w:rFonts w:ascii="仿宋" w:eastAsia="仿宋" w:hAnsi="仿宋" w:cs="仿宋"/>
        </w:rPr>
        <w:t>12,244.47</w:t>
      </w:r>
      <w:r>
        <w:rPr>
          <w:rFonts w:ascii="仿宋" w:eastAsia="仿宋" w:hAnsi="仿宋" w:cs="仿宋"/>
        </w:rPr>
        <w:t>万元，占本年支出合计的</w:t>
      </w:r>
      <w:r>
        <w:rPr>
          <w:rFonts w:ascii="仿宋" w:eastAsia="仿宋" w:hAnsi="仿宋" w:cs="仿宋"/>
        </w:rPr>
        <w:t>99.25%</w:t>
      </w:r>
      <w:r>
        <w:rPr>
          <w:rFonts w:ascii="仿宋" w:eastAsia="仿宋" w:hAnsi="仿宋" w:cs="仿宋"/>
        </w:rPr>
        <w:t>。与</w:t>
      </w:r>
      <w:r>
        <w:rPr>
          <w:rFonts w:ascii="仿宋" w:eastAsia="仿宋" w:hAnsi="仿宋" w:cs="仿宋"/>
        </w:rPr>
        <w:t>2022</w:t>
      </w:r>
      <w:r>
        <w:rPr>
          <w:rFonts w:ascii="仿宋" w:eastAsia="仿宋" w:hAnsi="仿宋" w:cs="仿宋"/>
        </w:rPr>
        <w:t>年度财政拨款支出年初预算</w:t>
      </w:r>
      <w:r>
        <w:rPr>
          <w:rFonts w:ascii="仿宋" w:eastAsia="仿宋" w:hAnsi="仿宋" w:cs="仿宋"/>
        </w:rPr>
        <w:t>5,144.03</w:t>
      </w:r>
      <w:r>
        <w:rPr>
          <w:rFonts w:ascii="仿宋" w:eastAsia="仿宋" w:hAnsi="仿宋" w:cs="仿宋"/>
        </w:rPr>
        <w:t>万元相比，完成年初预算的</w:t>
      </w:r>
      <w:r>
        <w:rPr>
          <w:rFonts w:ascii="仿宋" w:eastAsia="仿宋" w:hAnsi="仿宋" w:cs="仿宋"/>
        </w:rPr>
        <w:t>238.03%</w:t>
      </w:r>
      <w:r>
        <w:rPr>
          <w:rFonts w:ascii="仿宋" w:eastAsia="仿宋" w:hAnsi="仿宋" w:cs="仿宋"/>
        </w:rPr>
        <w:t>。其中：</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（一）一般公共服务支出（类）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政府办公厅（室）及相关机构事务（款）行政运行（项）。年初预算</w:t>
      </w:r>
      <w:r>
        <w:rPr>
          <w:rFonts w:ascii="仿宋" w:eastAsia="仿宋" w:hAnsi="仿宋" w:cs="仿宋"/>
        </w:rPr>
        <w:t>137.21</w:t>
      </w:r>
      <w:r>
        <w:rPr>
          <w:rFonts w:ascii="仿宋" w:eastAsia="仿宋" w:hAnsi="仿宋" w:cs="仿宋"/>
        </w:rPr>
        <w:t>万元，支出决算</w:t>
      </w:r>
      <w:r>
        <w:rPr>
          <w:rFonts w:ascii="仿宋" w:eastAsia="仿宋" w:hAnsi="仿宋" w:cs="仿宋"/>
        </w:rPr>
        <w:t>161.62</w:t>
      </w:r>
      <w:r>
        <w:rPr>
          <w:rFonts w:ascii="仿宋" w:eastAsia="仿宋" w:hAnsi="仿宋" w:cs="仿宋"/>
        </w:rPr>
        <w:t>万元，完成年初预算的</w:t>
      </w:r>
      <w:r>
        <w:rPr>
          <w:rFonts w:ascii="仿宋" w:eastAsia="仿宋" w:hAnsi="仿宋" w:cs="仿宋"/>
        </w:rPr>
        <w:t>117.79%</w:t>
      </w:r>
      <w:r>
        <w:rPr>
          <w:rFonts w:ascii="仿宋" w:eastAsia="仿宋" w:hAnsi="仿宋" w:cs="仿宋"/>
        </w:rPr>
        <w:t>。决算数与年初预算数的差异原因：无线电管理监测站</w:t>
      </w:r>
      <w:r>
        <w:rPr>
          <w:rFonts w:ascii="仿宋" w:eastAsia="仿宋" w:hAnsi="仿宋" w:cs="仿宋"/>
        </w:rPr>
        <w:t>工作人员增加一人，行政运行支出增加。</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（二）科学技术支出（类）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科学技术管理事务（款）其他科学技术管理事务支出（项）。年初预算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35.65</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万元，无法计算完成比率）决算数与年初预算数的差异原因：此笔经费是</w:t>
      </w:r>
      <w:r>
        <w:rPr>
          <w:rFonts w:ascii="仿宋" w:eastAsia="仿宋" w:hAnsi="仿宋" w:cs="仿宋"/>
        </w:rPr>
        <w:t>2022</w:t>
      </w:r>
      <w:r>
        <w:rPr>
          <w:rFonts w:ascii="仿宋" w:eastAsia="仿宋" w:hAnsi="仿宋" w:cs="仿宋"/>
        </w:rPr>
        <w:t>年组织部根据工信局举办培训班的实际情况下达的干部教育培训经费。</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其他科学技术支出（款）其他科学技术支出（项）。年初预算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1,344.17</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万元，无法计算完成比率）决算数与年初预算数的差异原因：此笔经费是</w:t>
      </w:r>
      <w:r>
        <w:rPr>
          <w:rFonts w:ascii="仿宋" w:eastAsia="仿宋" w:hAnsi="仿宋" w:cs="仿宋"/>
        </w:rPr>
        <w:t>2022</w:t>
      </w:r>
      <w:r>
        <w:rPr>
          <w:rFonts w:ascii="仿宋" w:eastAsia="仿宋" w:hAnsi="仿宋" w:cs="仿宋"/>
        </w:rPr>
        <w:t>年下达的工业互</w:t>
      </w:r>
      <w:r>
        <w:rPr>
          <w:rFonts w:ascii="仿宋" w:eastAsia="仿宋" w:hAnsi="仿宋" w:cs="仿宋"/>
        </w:rPr>
        <w:t>联网专项费用，主要用于工业互</w:t>
      </w:r>
      <w:r>
        <w:rPr>
          <w:rFonts w:ascii="仿宋" w:eastAsia="仿宋" w:hAnsi="仿宋" w:cs="仿宋"/>
        </w:rPr>
        <w:lastRenderedPageBreak/>
        <w:t>联网博览会、工业互联网宣传推广，属于市级财政直接分配的资金。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（三）社会保障和就业支出（类）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行政事业单位养老支出（款）行政单位离退休（项）。年初预算</w:t>
      </w:r>
      <w:r>
        <w:rPr>
          <w:rFonts w:ascii="仿宋" w:eastAsia="仿宋" w:hAnsi="仿宋" w:cs="仿宋"/>
        </w:rPr>
        <w:t>60.3</w:t>
      </w:r>
      <w:r>
        <w:rPr>
          <w:rFonts w:ascii="仿宋" w:eastAsia="仿宋" w:hAnsi="仿宋" w:cs="仿宋"/>
        </w:rPr>
        <w:t>万元，支出决算</w:t>
      </w:r>
      <w:r>
        <w:rPr>
          <w:rFonts w:ascii="仿宋" w:eastAsia="仿宋" w:hAnsi="仿宋" w:cs="仿宋"/>
        </w:rPr>
        <w:t>60.3</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行政事业单位养老支出（款）事业单位离退休（项）。年初预算</w:t>
      </w:r>
      <w:r>
        <w:rPr>
          <w:rFonts w:ascii="仿宋" w:eastAsia="仿宋" w:hAnsi="仿宋" w:cs="仿宋"/>
        </w:rPr>
        <w:t>3.04</w:t>
      </w:r>
      <w:r>
        <w:rPr>
          <w:rFonts w:ascii="仿宋" w:eastAsia="仿宋" w:hAnsi="仿宋" w:cs="仿宋"/>
        </w:rPr>
        <w:t>万元，支出决算</w:t>
      </w:r>
      <w:r>
        <w:rPr>
          <w:rFonts w:ascii="仿宋" w:eastAsia="仿宋" w:hAnsi="仿宋" w:cs="仿宋"/>
        </w:rPr>
        <w:t>3.04</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其他社会保障和就业支出（款）其他社会保障和就业支出（项）。年初预算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3.06</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万元，无法计算完成比率）决算数与年初预算数的差异原因：此项费用是按照企业离休干部的实际情况上报老干部局再报批财政下拨的费用，年初未纳入预算。</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（四）卫生健康支出（类）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行政事业单位医疗（款）公务员医疗补助（项）。年初预算</w:t>
      </w:r>
      <w:r>
        <w:rPr>
          <w:rFonts w:ascii="仿宋" w:eastAsia="仿宋" w:hAnsi="仿宋" w:cs="仿宋"/>
        </w:rPr>
        <w:t>53.53</w:t>
      </w:r>
      <w:r>
        <w:rPr>
          <w:rFonts w:ascii="仿宋" w:eastAsia="仿宋" w:hAnsi="仿宋" w:cs="仿宋"/>
        </w:rPr>
        <w:t>万元，支出决算</w:t>
      </w:r>
      <w:r>
        <w:rPr>
          <w:rFonts w:ascii="仿宋" w:eastAsia="仿宋" w:hAnsi="仿宋" w:cs="仿宋"/>
        </w:rPr>
        <w:t>53.53</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（五）节能环保支出（类）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循环经济（款）循环经济（项）。年初预算</w:t>
      </w:r>
      <w:r>
        <w:rPr>
          <w:rFonts w:ascii="仿宋" w:eastAsia="仿宋" w:hAnsi="仿宋" w:cs="仿宋"/>
        </w:rPr>
        <w:t>0</w:t>
      </w:r>
      <w:r>
        <w:rPr>
          <w:rFonts w:ascii="仿宋" w:eastAsia="仿宋" w:hAnsi="仿宋" w:cs="仿宋"/>
        </w:rPr>
        <w:t>万元，支出决算</w:t>
      </w:r>
      <w:r>
        <w:rPr>
          <w:rFonts w:ascii="仿宋" w:eastAsia="仿宋" w:hAnsi="仿宋" w:cs="仿宋"/>
        </w:rPr>
        <w:t>1</w:t>
      </w:r>
      <w:r>
        <w:rPr>
          <w:rFonts w:ascii="仿宋" w:eastAsia="仿宋" w:hAnsi="仿宋" w:cs="仿宋"/>
        </w:rPr>
        <w:t>77.2</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万元，无法计算完成比率）决算数与年初预算数的差异原因：此笔费用是财政下达的</w:t>
      </w:r>
      <w:r>
        <w:rPr>
          <w:rFonts w:ascii="仿宋" w:eastAsia="仿宋" w:hAnsi="仿宋" w:cs="仿宋"/>
        </w:rPr>
        <w:lastRenderedPageBreak/>
        <w:t>节能管理专项资金，属于市级财政直接分配的资金。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其他节能环保支出（款）其他节能环保支出（项）。年初预算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15.32</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万元，无法计算完成比率）决算数与年初预算数的差异原因：该项资金是省里下达的化工整治专项资金。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（六）资源勘探工业信息等支出（类）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制造业（款）其他制造业支出（项）。年初预算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237.97</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w:t>
      </w:r>
      <w:r>
        <w:rPr>
          <w:rFonts w:ascii="仿宋" w:eastAsia="仿宋" w:hAnsi="仿宋" w:cs="仿宋"/>
        </w:rPr>
        <w:t>数与年初预算数的差异原因：此笔费用是财政下达的中小微企业发展专项资金，属于市级财政直接分配的资金。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工业和信息产业监管（款）行政运行（项）。年初预算</w:t>
      </w:r>
      <w:r>
        <w:rPr>
          <w:rFonts w:ascii="仿宋" w:eastAsia="仿宋" w:hAnsi="仿宋" w:cs="仿宋"/>
        </w:rPr>
        <w:t>2,443.98</w:t>
      </w:r>
      <w:r>
        <w:rPr>
          <w:rFonts w:ascii="仿宋" w:eastAsia="仿宋" w:hAnsi="仿宋" w:cs="仿宋"/>
        </w:rPr>
        <w:t>万元，支出决算</w:t>
      </w:r>
      <w:r>
        <w:rPr>
          <w:rFonts w:ascii="仿宋" w:eastAsia="仿宋" w:hAnsi="仿宋" w:cs="仿宋"/>
        </w:rPr>
        <w:t>3,236.68</w:t>
      </w:r>
      <w:r>
        <w:rPr>
          <w:rFonts w:ascii="仿宋" w:eastAsia="仿宋" w:hAnsi="仿宋" w:cs="仿宋"/>
        </w:rPr>
        <w:t>万元，完成年初预算的</w:t>
      </w:r>
      <w:r>
        <w:rPr>
          <w:rFonts w:ascii="仿宋" w:eastAsia="仿宋" w:hAnsi="仿宋" w:cs="仿宋"/>
        </w:rPr>
        <w:t>132.43%</w:t>
      </w:r>
      <w:r>
        <w:rPr>
          <w:rFonts w:ascii="仿宋" w:eastAsia="仿宋" w:hAnsi="仿宋" w:cs="仿宋"/>
        </w:rPr>
        <w:t>。决算数与年初预算数的差异原因：人员经费政策性调整涨幅。</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工业和信息产业监管（款）一般行政管理事务（项）。年初预算</w:t>
      </w:r>
      <w:r>
        <w:rPr>
          <w:rFonts w:ascii="仿宋" w:eastAsia="仿宋" w:hAnsi="仿宋" w:cs="仿宋"/>
        </w:rPr>
        <w:t>227</w:t>
      </w:r>
      <w:r>
        <w:rPr>
          <w:rFonts w:ascii="仿宋" w:eastAsia="仿宋" w:hAnsi="仿宋" w:cs="仿宋"/>
        </w:rPr>
        <w:t>万元，支出决算</w:t>
      </w:r>
      <w:r>
        <w:rPr>
          <w:rFonts w:ascii="仿宋" w:eastAsia="仿宋" w:hAnsi="仿宋" w:cs="仿宋"/>
        </w:rPr>
        <w:t>694.17</w:t>
      </w:r>
      <w:r>
        <w:rPr>
          <w:rFonts w:ascii="仿宋" w:eastAsia="仿宋" w:hAnsi="仿宋" w:cs="仿宋"/>
        </w:rPr>
        <w:t>万元，完成年初预算的</w:t>
      </w:r>
      <w:r>
        <w:rPr>
          <w:rFonts w:ascii="仿宋" w:eastAsia="仿宋" w:hAnsi="仿宋" w:cs="仿宋"/>
        </w:rPr>
        <w:t>305.8%</w:t>
      </w:r>
      <w:r>
        <w:rPr>
          <w:rFonts w:ascii="仿宋" w:eastAsia="仿宋" w:hAnsi="仿宋" w:cs="仿宋"/>
        </w:rPr>
        <w:t>。决算数与年初预算数的差异原因：该项资金包含了国产化应用项目经费、</w:t>
      </w:r>
      <w:r>
        <w:rPr>
          <w:rFonts w:ascii="仿宋" w:eastAsia="仿宋" w:hAnsi="仿宋" w:cs="仿宋"/>
        </w:rPr>
        <w:t>2022</w:t>
      </w:r>
      <w:r>
        <w:rPr>
          <w:rFonts w:ascii="仿宋" w:eastAsia="仿宋" w:hAnsi="仿宋" w:cs="仿宋"/>
        </w:rPr>
        <w:t>年财政下达的工信大数据服</w:t>
      </w:r>
      <w:r>
        <w:rPr>
          <w:rFonts w:ascii="仿宋" w:eastAsia="仿宋" w:hAnsi="仿宋" w:cs="仿宋"/>
        </w:rPr>
        <w:t>务平台项目经费，两项经费未列入部门预算，是财政下达的专项资金。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工业和信息产业监管（款）无线电及信息通信监管（项）。年初预算</w:t>
      </w:r>
      <w:r>
        <w:rPr>
          <w:rFonts w:ascii="仿宋" w:eastAsia="仿宋" w:hAnsi="仿宋" w:cs="仿宋"/>
        </w:rPr>
        <w:t>23.02</w:t>
      </w:r>
      <w:r>
        <w:rPr>
          <w:rFonts w:ascii="仿宋" w:eastAsia="仿宋" w:hAnsi="仿宋" w:cs="仿宋"/>
        </w:rPr>
        <w:t>万元，支出决算</w:t>
      </w:r>
      <w:r>
        <w:rPr>
          <w:rFonts w:ascii="仿宋" w:eastAsia="仿宋" w:hAnsi="仿宋" w:cs="仿宋"/>
        </w:rPr>
        <w:t>606.84</w:t>
      </w:r>
      <w:r>
        <w:rPr>
          <w:rFonts w:ascii="仿宋" w:eastAsia="仿宋" w:hAnsi="仿宋" w:cs="仿宋"/>
        </w:rPr>
        <w:t>万元，完成年</w:t>
      </w:r>
      <w:r>
        <w:rPr>
          <w:rFonts w:ascii="仿宋" w:eastAsia="仿宋" w:hAnsi="仿宋" w:cs="仿宋"/>
        </w:rPr>
        <w:lastRenderedPageBreak/>
        <w:t>初预算的</w:t>
      </w:r>
      <w:r>
        <w:rPr>
          <w:rFonts w:ascii="仿宋" w:eastAsia="仿宋" w:hAnsi="仿宋" w:cs="仿宋"/>
        </w:rPr>
        <w:t>2,636.14%</w:t>
      </w:r>
      <w:r>
        <w:rPr>
          <w:rFonts w:ascii="仿宋" w:eastAsia="仿宋" w:hAnsi="仿宋" w:cs="仿宋"/>
        </w:rPr>
        <w:t>。决算数与年初预算数的差异原因：</w:t>
      </w:r>
      <w:r>
        <w:rPr>
          <w:rFonts w:ascii="仿宋" w:eastAsia="仿宋" w:hAnsi="仿宋" w:cs="仿宋"/>
        </w:rPr>
        <w:t>2021</w:t>
      </w:r>
      <w:r>
        <w:rPr>
          <w:rFonts w:ascii="仿宋" w:eastAsia="仿宋" w:hAnsi="仿宋" w:cs="仿宋"/>
        </w:rPr>
        <w:t>年国家下拨的无线电频率占用费当年未使用完资金及</w:t>
      </w:r>
      <w:r>
        <w:rPr>
          <w:rFonts w:ascii="仿宋" w:eastAsia="仿宋" w:hAnsi="仿宋" w:cs="仿宋"/>
        </w:rPr>
        <w:t>2022</w:t>
      </w:r>
      <w:r>
        <w:rPr>
          <w:rFonts w:ascii="仿宋" w:eastAsia="仿宋" w:hAnsi="仿宋" w:cs="仿宋"/>
        </w:rPr>
        <w:t>年国家下达资金都在</w:t>
      </w:r>
      <w:r>
        <w:rPr>
          <w:rFonts w:ascii="仿宋" w:eastAsia="仿宋" w:hAnsi="仿宋" w:cs="仿宋"/>
        </w:rPr>
        <w:t>2022</w:t>
      </w:r>
      <w:r>
        <w:rPr>
          <w:rFonts w:ascii="仿宋" w:eastAsia="仿宋" w:hAnsi="仿宋" w:cs="仿宋"/>
        </w:rPr>
        <w:t>年度使用，此笔资金属于国家转移支付资金。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w:t>
      </w:r>
      <w:r>
        <w:rPr>
          <w:rFonts w:ascii="仿宋" w:eastAsia="仿宋" w:hAnsi="仿宋" w:cs="仿宋"/>
        </w:rPr>
        <w:t>工业和信息产业监管（款）产业发展（项）。年初预算</w:t>
      </w:r>
      <w:r>
        <w:rPr>
          <w:rFonts w:ascii="仿宋" w:eastAsia="仿宋" w:hAnsi="仿宋" w:cs="仿宋"/>
        </w:rPr>
        <w:t>0</w:t>
      </w:r>
      <w:r>
        <w:rPr>
          <w:rFonts w:ascii="仿宋" w:eastAsia="仿宋" w:hAnsi="仿宋" w:cs="仿宋"/>
        </w:rPr>
        <w:t>万元，支出决算</w:t>
      </w:r>
      <w:r>
        <w:rPr>
          <w:rFonts w:ascii="仿宋" w:eastAsia="仿宋" w:hAnsi="仿宋" w:cs="仿宋"/>
        </w:rPr>
        <w:t>2,100</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w:t>
      </w:r>
      <w:r>
        <w:rPr>
          <w:rFonts w:ascii="仿宋" w:eastAsia="仿宋" w:hAnsi="仿宋" w:cs="仿宋"/>
        </w:rPr>
        <w:t>原因：此笔资金是省级拨入的第一批省工业和信息产业转型升级专项资金。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w:t>
      </w:r>
      <w:r>
        <w:rPr>
          <w:rFonts w:ascii="仿宋" w:eastAsia="仿宋" w:hAnsi="仿宋" w:cs="仿宋"/>
        </w:rPr>
        <w:t>工业和信息产业监管（款）其他工业和信息产业监管支出（项）。年初预算</w:t>
      </w:r>
      <w:r>
        <w:rPr>
          <w:rFonts w:ascii="仿宋" w:eastAsia="仿宋" w:hAnsi="仿宋" w:cs="仿宋"/>
        </w:rPr>
        <w:t>693.93</w:t>
      </w:r>
      <w:r>
        <w:rPr>
          <w:rFonts w:ascii="仿宋" w:eastAsia="仿宋" w:hAnsi="仿宋" w:cs="仿宋"/>
        </w:rPr>
        <w:t>万元，支出决算</w:t>
      </w:r>
      <w:r>
        <w:rPr>
          <w:rFonts w:ascii="仿宋" w:eastAsia="仿宋" w:hAnsi="仿宋" w:cs="仿宋"/>
        </w:rPr>
        <w:t>1,788.67</w:t>
      </w:r>
      <w:r>
        <w:rPr>
          <w:rFonts w:ascii="仿宋" w:eastAsia="仿宋" w:hAnsi="仿宋" w:cs="仿宋"/>
        </w:rPr>
        <w:t>万元，完成年初预算的</w:t>
      </w:r>
      <w:r>
        <w:rPr>
          <w:rFonts w:ascii="仿宋" w:eastAsia="仿宋" w:hAnsi="仿宋" w:cs="仿宋"/>
        </w:rPr>
        <w:t>257.76%</w:t>
      </w:r>
      <w:r>
        <w:rPr>
          <w:rFonts w:ascii="仿宋" w:eastAsia="仿宋" w:hAnsi="仿宋" w:cs="仿宋"/>
        </w:rPr>
        <w:t>。决算数与年初预算数的差异原因：此笔资金包含财政</w:t>
      </w:r>
      <w:r>
        <w:rPr>
          <w:rFonts w:ascii="仿宋" w:eastAsia="仿宋" w:hAnsi="仿宋" w:cs="仿宋"/>
        </w:rPr>
        <w:t>2022</w:t>
      </w:r>
      <w:r>
        <w:rPr>
          <w:rFonts w:ascii="仿宋" w:eastAsia="仿宋" w:hAnsi="仿宋" w:cs="仿宋"/>
        </w:rPr>
        <w:t>年度下达的工业高质量发展专项资金，主要用于新能源汽车消费购置补贴及紫金奖工业设计大赛，属于市级财政直接分配的资金。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w:t>
      </w:r>
      <w:r>
        <w:rPr>
          <w:rFonts w:ascii="仿宋" w:eastAsia="仿宋" w:hAnsi="仿宋" w:cs="仿宋"/>
        </w:rPr>
        <w:t>支持中小企业发展和管理支出（款）其他支持中小企业发展和管理支出（项）。年初预算</w:t>
      </w:r>
      <w:r>
        <w:rPr>
          <w:rFonts w:ascii="仿宋" w:eastAsia="仿宋" w:hAnsi="仿宋" w:cs="仿宋"/>
        </w:rPr>
        <w:t>17.5</w:t>
      </w:r>
      <w:r>
        <w:rPr>
          <w:rFonts w:ascii="仿宋" w:eastAsia="仿宋" w:hAnsi="仿宋" w:cs="仿宋"/>
        </w:rPr>
        <w:t>万元，支出决算</w:t>
      </w:r>
      <w:r>
        <w:rPr>
          <w:rFonts w:ascii="仿宋" w:eastAsia="仿宋" w:hAnsi="仿宋" w:cs="仿宋"/>
        </w:rPr>
        <w:t>14.81</w:t>
      </w:r>
      <w:r>
        <w:rPr>
          <w:rFonts w:ascii="仿宋" w:eastAsia="仿宋" w:hAnsi="仿宋" w:cs="仿宋"/>
        </w:rPr>
        <w:t>万元，完成年</w:t>
      </w:r>
      <w:r>
        <w:rPr>
          <w:rFonts w:ascii="仿宋" w:eastAsia="仿宋" w:hAnsi="仿宋" w:cs="仿宋"/>
        </w:rPr>
        <w:t>初预算的</w:t>
      </w:r>
      <w:r>
        <w:rPr>
          <w:rFonts w:ascii="仿宋" w:eastAsia="仿宋" w:hAnsi="仿宋" w:cs="仿宋"/>
        </w:rPr>
        <w:t>84.63%</w:t>
      </w:r>
      <w:r>
        <w:rPr>
          <w:rFonts w:ascii="仿宋" w:eastAsia="仿宋" w:hAnsi="仿宋" w:cs="仿宋"/>
        </w:rPr>
        <w:t>。决算数与年初预算数的差异原因：此笔资金主要用于软博会工作，</w:t>
      </w:r>
      <w:r>
        <w:rPr>
          <w:rFonts w:ascii="仿宋" w:eastAsia="仿宋" w:hAnsi="仿宋" w:cs="仿宋"/>
        </w:rPr>
        <w:t>2022</w:t>
      </w:r>
      <w:r>
        <w:rPr>
          <w:rFonts w:ascii="仿宋" w:eastAsia="仿宋" w:hAnsi="仿宋" w:cs="仿宋"/>
        </w:rPr>
        <w:t>年软博会工作开展过程中有部分展板在</w:t>
      </w:r>
      <w:r>
        <w:rPr>
          <w:rFonts w:ascii="仿宋" w:eastAsia="仿宋" w:hAnsi="仿宋" w:cs="仿宋"/>
        </w:rPr>
        <w:t>2021</w:t>
      </w:r>
      <w:r>
        <w:rPr>
          <w:rFonts w:ascii="仿宋" w:eastAsia="仿宋" w:hAnsi="仿宋" w:cs="仿宋"/>
        </w:rPr>
        <w:t>年已经做好，因此</w:t>
      </w:r>
      <w:r>
        <w:rPr>
          <w:rFonts w:ascii="仿宋" w:eastAsia="仿宋" w:hAnsi="仿宋" w:cs="仿宋"/>
        </w:rPr>
        <w:t>2022</w:t>
      </w:r>
      <w:r>
        <w:rPr>
          <w:rFonts w:ascii="仿宋" w:eastAsia="仿宋" w:hAnsi="仿宋" w:cs="仿宋"/>
        </w:rPr>
        <w:t>年减少了部分开支。</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（七）援助其他地区支出（类）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其他支出（款）。年初预算</w:t>
      </w:r>
      <w:r>
        <w:rPr>
          <w:rFonts w:ascii="仿宋" w:eastAsia="仿宋" w:hAnsi="仿宋" w:cs="仿宋"/>
        </w:rPr>
        <w:t>0</w:t>
      </w:r>
      <w:r>
        <w:rPr>
          <w:rFonts w:ascii="仿宋" w:eastAsia="仿宋" w:hAnsi="仿宋" w:cs="仿宋"/>
        </w:rPr>
        <w:t>万元，支出决算</w:t>
      </w:r>
      <w:r>
        <w:rPr>
          <w:rFonts w:ascii="仿宋" w:eastAsia="仿宋" w:hAnsi="仿宋" w:cs="仿宋"/>
        </w:rPr>
        <w:t>15.62</w:t>
      </w:r>
      <w:r>
        <w:rPr>
          <w:rFonts w:ascii="仿宋" w:eastAsia="仿宋" w:hAnsi="仿宋" w:cs="仿宋"/>
        </w:rPr>
        <w:t>万</w:t>
      </w:r>
      <w:r>
        <w:rPr>
          <w:rFonts w:ascii="仿宋" w:eastAsia="仿宋" w:hAnsi="仿宋" w:cs="仿宋"/>
        </w:rPr>
        <w:lastRenderedPageBreak/>
        <w:t>元，（年初预算数为</w:t>
      </w:r>
      <w:r>
        <w:rPr>
          <w:rFonts w:ascii="仿宋" w:eastAsia="仿宋" w:hAnsi="仿宋" w:cs="仿宋"/>
        </w:rPr>
        <w:t>0</w:t>
      </w:r>
      <w:r>
        <w:rPr>
          <w:rFonts w:ascii="仿宋" w:eastAsia="仿宋" w:hAnsi="仿宋" w:cs="仿宋"/>
        </w:rPr>
        <w:t>万元，无法计算完成比率）决算数与年初预算数的差异原因：该项资金是</w:t>
      </w:r>
      <w:r>
        <w:rPr>
          <w:rFonts w:ascii="仿宋" w:eastAsia="仿宋" w:hAnsi="仿宋" w:cs="仿宋"/>
        </w:rPr>
        <w:t>2022</w:t>
      </w:r>
      <w:r>
        <w:rPr>
          <w:rFonts w:ascii="仿宋" w:eastAsia="仿宋" w:hAnsi="仿宋" w:cs="仿宋"/>
        </w:rPr>
        <w:t>年追加的新疆和盐城挂职干部费用。</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（八）住房保障支出（类）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住房改革支出（款）住房公积金（项）。年初预算</w:t>
      </w:r>
      <w:r>
        <w:rPr>
          <w:rFonts w:ascii="仿宋" w:eastAsia="仿宋" w:hAnsi="仿宋" w:cs="仿宋"/>
        </w:rPr>
        <w:t>348.46</w:t>
      </w:r>
      <w:r>
        <w:rPr>
          <w:rFonts w:ascii="仿宋" w:eastAsia="仿宋" w:hAnsi="仿宋" w:cs="仿宋"/>
        </w:rPr>
        <w:t>万元，支出决算</w:t>
      </w:r>
      <w:r>
        <w:rPr>
          <w:rFonts w:ascii="仿宋" w:eastAsia="仿宋" w:hAnsi="仿宋" w:cs="仿宋"/>
        </w:rPr>
        <w:t>348.46</w:t>
      </w:r>
      <w:r>
        <w:rPr>
          <w:rFonts w:ascii="仿宋" w:eastAsia="仿宋" w:hAnsi="仿宋" w:cs="仿宋"/>
        </w:rPr>
        <w:t>万元，完成年初预算</w:t>
      </w:r>
      <w:r>
        <w:rPr>
          <w:rFonts w:ascii="仿宋" w:eastAsia="仿宋" w:hAnsi="仿宋" w:cs="仿宋"/>
        </w:rPr>
        <w:t>的</w:t>
      </w:r>
      <w:r>
        <w:rPr>
          <w:rFonts w:ascii="仿宋" w:eastAsia="仿宋" w:hAnsi="仿宋" w:cs="仿宋"/>
        </w:rPr>
        <w:t>100%</w:t>
      </w:r>
      <w:r>
        <w:rPr>
          <w:rFonts w:ascii="仿宋" w:eastAsia="仿宋" w:hAnsi="仿宋" w:cs="仿宋"/>
        </w:rPr>
        <w:t>。决算数与年初预算数相同。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住房改革支出（款）提租补贴（项）。年初预算</w:t>
      </w:r>
      <w:r>
        <w:rPr>
          <w:rFonts w:ascii="仿宋" w:eastAsia="仿宋" w:hAnsi="仿宋" w:cs="仿宋"/>
        </w:rPr>
        <w:t>823.66</w:t>
      </w:r>
      <w:r>
        <w:rPr>
          <w:rFonts w:ascii="仿宋" w:eastAsia="仿宋" w:hAnsi="仿宋" w:cs="仿宋"/>
        </w:rPr>
        <w:t>万元，支出决算</w:t>
      </w:r>
      <w:r>
        <w:rPr>
          <w:rFonts w:ascii="仿宋" w:eastAsia="仿宋" w:hAnsi="仿宋" w:cs="仿宋"/>
        </w:rPr>
        <w:t>823.66</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住房改革支出（款）购房补贴（项）。年初预算</w:t>
      </w:r>
      <w:r>
        <w:rPr>
          <w:rFonts w:ascii="仿宋" w:eastAsia="仿宋" w:hAnsi="仿宋" w:cs="仿宋"/>
        </w:rPr>
        <w:t>312.4</w:t>
      </w:r>
      <w:r>
        <w:rPr>
          <w:rFonts w:ascii="仿宋" w:eastAsia="仿宋" w:hAnsi="仿宋" w:cs="仿宋"/>
        </w:rPr>
        <w:t>万元，支出决算</w:t>
      </w:r>
      <w:r>
        <w:rPr>
          <w:rFonts w:ascii="仿宋" w:eastAsia="仿宋" w:hAnsi="仿宋" w:cs="仿宋"/>
        </w:rPr>
        <w:t>312.4</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（九）粮油物资储备支出（类）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重要商品储备（款）食盐储备（项）。年初预算</w:t>
      </w:r>
      <w:r>
        <w:rPr>
          <w:rFonts w:ascii="仿宋" w:eastAsia="仿宋" w:hAnsi="仿宋" w:cs="仿宋"/>
        </w:rPr>
        <w:t>0</w:t>
      </w:r>
      <w:r>
        <w:rPr>
          <w:rFonts w:ascii="仿宋" w:eastAsia="仿宋" w:hAnsi="仿宋" w:cs="仿宋"/>
        </w:rPr>
        <w:t>万元，支出决算</w:t>
      </w:r>
      <w:r>
        <w:rPr>
          <w:rFonts w:ascii="仿宋" w:eastAsia="仿宋" w:hAnsi="仿宋" w:cs="仿宋"/>
        </w:rPr>
        <w:t>39.95</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万元，无法计算完成比率）决算数与年初预算数的差异原因：该项资金是</w:t>
      </w:r>
      <w:r>
        <w:rPr>
          <w:rFonts w:ascii="仿宋" w:eastAsia="仿宋" w:hAnsi="仿宋" w:cs="仿宋"/>
        </w:rPr>
        <w:t>2022</w:t>
      </w:r>
      <w:r>
        <w:rPr>
          <w:rFonts w:ascii="仿宋" w:eastAsia="仿宋" w:hAnsi="仿宋" w:cs="仿宋"/>
        </w:rPr>
        <w:t>年财政下达的食盐储备专项资金，属于市级直接分配的专项资金。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（十）其他支出（类）</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其他支出（款）其他支出（项）。年初预算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171.35</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万元，无法计算完成比率）决算数与年初预算数的差异原因：该项资金是</w:t>
      </w:r>
      <w:r>
        <w:rPr>
          <w:rFonts w:ascii="仿宋" w:eastAsia="仿宋" w:hAnsi="仿宋" w:cs="仿宋"/>
        </w:rPr>
        <w:t>2022</w:t>
      </w:r>
      <w:r>
        <w:rPr>
          <w:rFonts w:ascii="仿宋" w:eastAsia="仿宋" w:hAnsi="仿宋" w:cs="仿宋"/>
        </w:rPr>
        <w:t>年财政</w:t>
      </w:r>
      <w:r>
        <w:rPr>
          <w:rFonts w:ascii="仿宋" w:eastAsia="仿宋" w:hAnsi="仿宋" w:cs="仿宋"/>
        </w:rPr>
        <w:lastRenderedPageBreak/>
        <w:t>下达的工博会部分专项资金，属于市级直接分配的专项资金。</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w:t>
      </w:r>
      <w:r>
        <w:rPr>
          <w:rFonts w:ascii="仿宋" w:eastAsia="仿宋" w:hAnsi="仿宋" w:cs="仿宋"/>
        </w:rPr>
        <w:t>财政拨款基本支出决算</w:t>
      </w:r>
      <w:r>
        <w:rPr>
          <w:rFonts w:ascii="仿宋" w:eastAsia="仿宋" w:hAnsi="仿宋" w:cs="仿宋"/>
        </w:rPr>
        <w:t>5,665.29</w:t>
      </w:r>
      <w:r>
        <w:rPr>
          <w:rFonts w:ascii="仿宋" w:eastAsia="仿宋" w:hAnsi="仿宋" w:cs="仿宋"/>
        </w:rPr>
        <w:t>万元，其中：</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5,367.04</w:t>
      </w:r>
      <w:r>
        <w:rPr>
          <w:rFonts w:ascii="楷体" w:eastAsia="楷体" w:hAnsi="楷体" w:cs="楷体"/>
        </w:rPr>
        <w:t>万元。</w:t>
      </w:r>
      <w:r>
        <w:rPr>
          <w:rFonts w:ascii="仿宋" w:eastAsia="仿宋" w:hAnsi="仿宋" w:cs="仿宋"/>
        </w:rPr>
        <w:t>主要包括：基本工资、津贴补贴、奖金、绩效工资、机关事业单位基本养老保险缴费、职业年金缴费、职工基本医疗保险缴费、公务员医疗补助缴费、其他社会保障缴费、住房公积金、其他工资福利支出、离休费、退休费、抚恤金、生活补助、救济费、医疗费补助、其他对个人和家庭的补助。</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298.25</w:t>
      </w:r>
      <w:r>
        <w:rPr>
          <w:rFonts w:ascii="楷体" w:eastAsia="楷体" w:hAnsi="楷体" w:cs="楷体"/>
        </w:rPr>
        <w:t>万元。</w:t>
      </w:r>
      <w:r>
        <w:rPr>
          <w:rFonts w:ascii="仿宋" w:eastAsia="仿宋" w:hAnsi="仿宋" w:cs="仿宋"/>
        </w:rPr>
        <w:t>主要包括：办公费、印刷费、咨询费、水费、电费、邮电费、物业管理费、差旅费、维修（护）费、会议费、培训费、公务接待费、劳务费、委托业务费</w:t>
      </w:r>
      <w:r>
        <w:rPr>
          <w:rFonts w:ascii="仿宋" w:eastAsia="仿宋" w:hAnsi="仿宋" w:cs="仿宋"/>
        </w:rPr>
        <w:t>、工会经费、公务用车运行维护费、其他交通费用、其他商品和服务支出、办公设备购置、信息网络及软件购置更新。</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年度一般公共预算财政拨款支出决算</w:t>
      </w:r>
      <w:r>
        <w:rPr>
          <w:rFonts w:ascii="仿宋" w:eastAsia="仿宋" w:hAnsi="仿宋" w:cs="仿宋"/>
        </w:rPr>
        <w:t>12,244.47</w:t>
      </w:r>
      <w:r>
        <w:rPr>
          <w:rFonts w:ascii="仿宋" w:eastAsia="仿宋" w:hAnsi="仿宋" w:cs="仿宋"/>
        </w:rPr>
        <w:t>万元。与上年相比，增加</w:t>
      </w:r>
      <w:r>
        <w:rPr>
          <w:rFonts w:ascii="仿宋" w:eastAsia="仿宋" w:hAnsi="仿宋" w:cs="仿宋"/>
        </w:rPr>
        <w:t>4,435.61</w:t>
      </w:r>
      <w:r>
        <w:rPr>
          <w:rFonts w:ascii="仿宋" w:eastAsia="仿宋" w:hAnsi="仿宋" w:cs="仿宋"/>
        </w:rPr>
        <w:t>万元，增长</w:t>
      </w:r>
      <w:r>
        <w:rPr>
          <w:rFonts w:ascii="仿宋" w:eastAsia="仿宋" w:hAnsi="仿宋" w:cs="仿宋"/>
        </w:rPr>
        <w:t>56.8%</w:t>
      </w:r>
      <w:r>
        <w:rPr>
          <w:rFonts w:ascii="仿宋" w:eastAsia="仿宋" w:hAnsi="仿宋" w:cs="仿宋"/>
        </w:rPr>
        <w:t>，变动原因：</w:t>
      </w:r>
      <w:r>
        <w:rPr>
          <w:rFonts w:ascii="仿宋" w:eastAsia="仿宋" w:hAnsi="仿宋" w:cs="仿宋"/>
        </w:rPr>
        <w:t>①</w:t>
      </w:r>
      <w:r>
        <w:rPr>
          <w:rFonts w:ascii="仿宋" w:eastAsia="仿宋" w:hAnsi="仿宋" w:cs="仿宋"/>
        </w:rPr>
        <w:t>人员经费政策性涨幅。</w:t>
      </w:r>
      <w:r>
        <w:rPr>
          <w:rFonts w:ascii="仿宋" w:eastAsia="仿宋" w:hAnsi="仿宋" w:cs="仿宋"/>
        </w:rPr>
        <w:t>②</w:t>
      </w:r>
      <w:r>
        <w:rPr>
          <w:rFonts w:ascii="仿宋" w:eastAsia="仿宋" w:hAnsi="仿宋" w:cs="仿宋"/>
        </w:rPr>
        <w:t>省级拨入专项资金第一批省工业和信息产业转型升级专项资金</w:t>
      </w:r>
      <w:r>
        <w:rPr>
          <w:rFonts w:ascii="仿宋" w:eastAsia="仿宋" w:hAnsi="仿宋" w:cs="仿宋"/>
        </w:rPr>
        <w:t>2100</w:t>
      </w:r>
      <w:r>
        <w:rPr>
          <w:rFonts w:ascii="仿宋" w:eastAsia="仿宋" w:hAnsi="仿宋" w:cs="仿宋"/>
        </w:rPr>
        <w:t>万、软件考试费</w:t>
      </w:r>
      <w:r>
        <w:rPr>
          <w:rFonts w:ascii="仿宋" w:eastAsia="仿宋" w:hAnsi="仿宋" w:cs="仿宋"/>
        </w:rPr>
        <w:t>11.4</w:t>
      </w:r>
      <w:r>
        <w:rPr>
          <w:rFonts w:ascii="仿宋" w:eastAsia="仿宋" w:hAnsi="仿宋" w:cs="仿宋"/>
        </w:rPr>
        <w:t>万。</w:t>
      </w:r>
      <w:r>
        <w:rPr>
          <w:rFonts w:ascii="仿宋" w:eastAsia="仿宋" w:hAnsi="仿宋" w:cs="仿宋"/>
        </w:rPr>
        <w:t>③</w:t>
      </w:r>
      <w:r>
        <w:rPr>
          <w:rFonts w:ascii="仿宋" w:eastAsia="仿宋" w:hAnsi="仿宋" w:cs="仿宋"/>
        </w:rPr>
        <w:t>市级专项资金常州市节能及发展循环经济专项金额比</w:t>
      </w:r>
      <w:r>
        <w:rPr>
          <w:rFonts w:ascii="仿宋" w:eastAsia="仿宋" w:hAnsi="仿宋" w:cs="仿宋"/>
        </w:rPr>
        <w:t>2021</w:t>
      </w:r>
      <w:r>
        <w:rPr>
          <w:rFonts w:ascii="仿宋" w:eastAsia="仿宋" w:hAnsi="仿宋" w:cs="仿宋"/>
        </w:rPr>
        <w:t>年增加。</w:t>
      </w:r>
      <w:r>
        <w:rPr>
          <w:rFonts w:ascii="仿宋" w:eastAsia="仿宋" w:hAnsi="仿宋" w:cs="仿宋"/>
        </w:rPr>
        <w:t>④</w:t>
      </w:r>
      <w:r>
        <w:rPr>
          <w:rFonts w:ascii="仿宋" w:eastAsia="仿宋" w:hAnsi="仿宋" w:cs="仿宋"/>
        </w:rPr>
        <w:t>常州市工信大数据服务平台项目、工业高质量发展专项是</w:t>
      </w:r>
      <w:r>
        <w:rPr>
          <w:rFonts w:ascii="仿宋" w:eastAsia="仿宋" w:hAnsi="仿宋" w:cs="仿宋"/>
        </w:rPr>
        <w:t>2022</w:t>
      </w:r>
      <w:r>
        <w:rPr>
          <w:rFonts w:ascii="仿宋" w:eastAsia="仿宋" w:hAnsi="仿宋" w:cs="仿宋"/>
        </w:rPr>
        <w:t>年新下达的专项资金，</w:t>
      </w:r>
      <w:r>
        <w:rPr>
          <w:rFonts w:ascii="仿宋" w:eastAsia="仿宋" w:hAnsi="仿宋" w:cs="仿宋"/>
        </w:rPr>
        <w:t>2021</w:t>
      </w:r>
      <w:r>
        <w:rPr>
          <w:rFonts w:ascii="仿宋" w:eastAsia="仿宋" w:hAnsi="仿宋" w:cs="仿宋"/>
        </w:rPr>
        <w:t>年未下达。</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八、一般公共预算基本支出决算情况说明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年度一般公共预算财政拨款基本支出决算</w:t>
      </w:r>
      <w:r>
        <w:rPr>
          <w:rFonts w:ascii="仿宋" w:eastAsia="仿宋" w:hAnsi="仿宋" w:cs="仿宋"/>
        </w:rPr>
        <w:t>5,665.29</w:t>
      </w:r>
      <w:r>
        <w:rPr>
          <w:rFonts w:ascii="仿宋" w:eastAsia="仿宋" w:hAnsi="仿宋" w:cs="仿宋"/>
        </w:rPr>
        <w:t>万元，其中</w:t>
      </w:r>
      <w:r>
        <w:rPr>
          <w:rFonts w:ascii="仿宋" w:eastAsia="仿宋" w:hAnsi="仿宋" w:cs="仿宋"/>
        </w:rPr>
        <w:t>：</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5,367.04</w:t>
      </w:r>
      <w:r>
        <w:rPr>
          <w:rFonts w:ascii="楷体" w:eastAsia="楷体" w:hAnsi="楷体" w:cs="楷体"/>
        </w:rPr>
        <w:t>万元。</w:t>
      </w:r>
      <w:r>
        <w:rPr>
          <w:rFonts w:ascii="仿宋" w:eastAsia="仿宋" w:hAnsi="仿宋" w:cs="仿宋"/>
        </w:rPr>
        <w:t>主要包括：基本工资、津贴补贴、奖金、绩效工资、机关事业单位基本养老保险缴费、职业年金缴费、职工基本医疗保险缴费、公务员医疗补助缴费、其他社会保障缴费、住房公积金、其他工资福利支出、离休费、退休费、抚恤金、生活补助、救济费、医疗费补助、其他对个人和家庭的补助。</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298.25</w:t>
      </w:r>
      <w:r>
        <w:rPr>
          <w:rFonts w:ascii="楷体" w:eastAsia="楷体" w:hAnsi="楷体" w:cs="楷体"/>
        </w:rPr>
        <w:t>万元。</w:t>
      </w:r>
      <w:r>
        <w:rPr>
          <w:rFonts w:ascii="仿宋" w:eastAsia="仿宋" w:hAnsi="仿宋" w:cs="仿宋"/>
        </w:rPr>
        <w:t>主要包括：办公费、印刷费、咨询费、水费、电费、邮电费、物业管理费、差旅费、维修（护）费、会议费、培训费、公务接待费、劳务费、委托业务费、工会经费、公务用车运行维护费、其他交通费用、</w:t>
      </w:r>
      <w:r>
        <w:rPr>
          <w:rFonts w:ascii="仿宋" w:eastAsia="仿宋" w:hAnsi="仿宋" w:cs="仿宋"/>
        </w:rPr>
        <w:t>其他商品和服务支出、办公设备购置、信息网络及软件购置更新。</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经费、会议费和培训费支出情况说明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经费支出总体情况说明。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经费支出决算</w:t>
      </w:r>
      <w:r>
        <w:rPr>
          <w:rFonts w:ascii="仿宋" w:eastAsia="仿宋" w:hAnsi="仿宋" w:cs="仿宋"/>
        </w:rPr>
        <w:t>11.75</w:t>
      </w:r>
      <w:r>
        <w:rPr>
          <w:rFonts w:ascii="仿宋" w:eastAsia="仿宋" w:hAnsi="仿宋" w:cs="仿宋"/>
        </w:rPr>
        <w:t>万元（其中：一般公共预算支出</w:t>
      </w:r>
      <w:r>
        <w:rPr>
          <w:rFonts w:ascii="仿宋" w:eastAsia="仿宋" w:hAnsi="仿宋" w:cs="仿宋"/>
        </w:rPr>
        <w:t>11.75</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万元）。与上年相比，减少</w:t>
      </w:r>
      <w:r>
        <w:rPr>
          <w:rFonts w:ascii="仿宋" w:eastAsia="仿宋" w:hAnsi="仿宋" w:cs="仿宋"/>
        </w:rPr>
        <w:t>7.81</w:t>
      </w:r>
      <w:r>
        <w:rPr>
          <w:rFonts w:ascii="仿宋" w:eastAsia="仿宋" w:hAnsi="仿宋" w:cs="仿宋"/>
        </w:rPr>
        <w:t>万元，变动原因：工信局</w:t>
      </w:r>
      <w:r>
        <w:rPr>
          <w:rFonts w:ascii="仿宋" w:eastAsia="仿宋" w:hAnsi="仿宋" w:cs="仿宋"/>
        </w:rPr>
        <w:t>2022</w:t>
      </w:r>
      <w:r>
        <w:rPr>
          <w:rFonts w:ascii="仿宋" w:eastAsia="仿宋" w:hAnsi="仿宋" w:cs="仿宋"/>
        </w:rPr>
        <w:t>年本着厉行节约的原则，严格控制三公经费的支出。其中，因公出国（境）费支出</w:t>
      </w:r>
      <w:r>
        <w:rPr>
          <w:rFonts w:ascii="仿宋" w:eastAsia="仿宋" w:hAnsi="仿宋" w:cs="仿宋"/>
        </w:rPr>
        <w:t>0</w:t>
      </w:r>
      <w:r>
        <w:rPr>
          <w:rFonts w:ascii="仿宋" w:eastAsia="仿宋" w:hAnsi="仿宋" w:cs="仿宋"/>
        </w:rPr>
        <w:t>万元，占</w:t>
      </w:r>
      <w:r>
        <w:rPr>
          <w:rFonts w:ascii="仿宋" w:eastAsia="仿宋" w:hAnsi="仿宋" w:cs="仿宋"/>
        </w:rPr>
        <w:lastRenderedPageBreak/>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9.46</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80.51%</w:t>
      </w:r>
      <w:r>
        <w:rPr>
          <w:rFonts w:ascii="仿宋" w:eastAsia="仿宋" w:hAnsi="仿宋" w:cs="仿宋"/>
        </w:rPr>
        <w:t>；公务接待费支出</w:t>
      </w:r>
      <w:r>
        <w:rPr>
          <w:rFonts w:ascii="仿宋" w:eastAsia="仿宋" w:hAnsi="仿宋" w:cs="仿宋"/>
        </w:rPr>
        <w:t>2.29</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19.49%</w:t>
      </w:r>
      <w:r>
        <w:rPr>
          <w:rFonts w:ascii="仿宋" w:eastAsia="仿宋" w:hAnsi="仿宋" w:cs="仿宋"/>
        </w:rPr>
        <w:t>。</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经费支出具体情况说明。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，决算数与预算数相同。全年使用财政拨款涉及的出国（境）团组</w:t>
      </w:r>
      <w:r>
        <w:rPr>
          <w:rFonts w:ascii="仿宋" w:eastAsia="仿宋" w:hAnsi="仿宋" w:cs="仿宋"/>
        </w:rPr>
        <w:t>0</w:t>
      </w:r>
      <w:r>
        <w:rPr>
          <w:rFonts w:ascii="仿宋" w:eastAsia="仿宋" w:hAnsi="仿宋" w:cs="仿宋"/>
        </w:rPr>
        <w:t>个，累计</w:t>
      </w:r>
      <w:r>
        <w:rPr>
          <w:rFonts w:ascii="仿宋" w:eastAsia="仿宋" w:hAnsi="仿宋" w:cs="仿宋"/>
        </w:rPr>
        <w:t>0</w:t>
      </w:r>
      <w:r>
        <w:rPr>
          <w:rFonts w:ascii="仿宋" w:eastAsia="仿宋" w:hAnsi="仿宋" w:cs="仿宋"/>
        </w:rPr>
        <w:t>人次。</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．公务用车购置及运行维护费支出预算</w:t>
      </w:r>
      <w:r>
        <w:rPr>
          <w:rFonts w:ascii="仿宋" w:eastAsia="仿宋" w:hAnsi="仿宋" w:cs="仿宋"/>
        </w:rPr>
        <w:t>14.27</w:t>
      </w:r>
      <w:r>
        <w:rPr>
          <w:rFonts w:ascii="仿宋" w:eastAsia="仿宋" w:hAnsi="仿宋" w:cs="仿宋"/>
        </w:rPr>
        <w:t>万元（其</w:t>
      </w:r>
      <w:r>
        <w:rPr>
          <w:rFonts w:ascii="仿宋" w:eastAsia="仿宋" w:hAnsi="仿宋" w:cs="仿宋"/>
        </w:rPr>
        <w:t>中：一般公共预算支出</w:t>
      </w:r>
      <w:r>
        <w:rPr>
          <w:rFonts w:ascii="仿宋" w:eastAsia="仿宋" w:hAnsi="仿宋" w:cs="仿宋"/>
        </w:rPr>
        <w:t>14.27</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9.46</w:t>
      </w:r>
      <w:r>
        <w:rPr>
          <w:rFonts w:ascii="仿宋" w:eastAsia="仿宋" w:hAnsi="仿宋" w:cs="仿宋"/>
        </w:rPr>
        <w:t>万元（其中：一般公共预算支出</w:t>
      </w:r>
      <w:r>
        <w:rPr>
          <w:rFonts w:ascii="仿宋" w:eastAsia="仿宋" w:hAnsi="仿宋" w:cs="仿宋"/>
        </w:rPr>
        <w:t>9.46</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66.29%</w:t>
      </w:r>
      <w:r>
        <w:rPr>
          <w:rFonts w:ascii="仿宋" w:eastAsia="仿宋" w:hAnsi="仿宋" w:cs="仿宋"/>
        </w:rPr>
        <w:t>，决算数与预算数的差异原因：</w:t>
      </w:r>
      <w:r>
        <w:rPr>
          <w:rFonts w:ascii="仿宋" w:eastAsia="仿宋" w:hAnsi="仿宋" w:cs="仿宋"/>
        </w:rPr>
        <w:t>①</w:t>
      </w:r>
      <w:r>
        <w:rPr>
          <w:rFonts w:ascii="仿宋" w:eastAsia="仿宋" w:hAnsi="仿宋" w:cs="仿宋"/>
        </w:rPr>
        <w:t>无线电管理监测站</w:t>
      </w:r>
      <w:r>
        <w:rPr>
          <w:rFonts w:ascii="仿宋" w:eastAsia="仿宋" w:hAnsi="仿宋" w:cs="仿宋"/>
        </w:rPr>
        <w:t>2022</w:t>
      </w:r>
      <w:r>
        <w:rPr>
          <w:rFonts w:ascii="仿宋" w:eastAsia="仿宋" w:hAnsi="仿宋" w:cs="仿宋"/>
        </w:rPr>
        <w:t>年底车辆报废一辆，相关支出减少；</w:t>
      </w:r>
      <w:r>
        <w:rPr>
          <w:rFonts w:ascii="仿宋" w:eastAsia="仿宋" w:hAnsi="仿宋" w:cs="仿宋"/>
        </w:rPr>
        <w:t>②</w:t>
      </w:r>
      <w:r>
        <w:rPr>
          <w:rFonts w:ascii="仿宋" w:eastAsia="仿宋" w:hAnsi="仿宋" w:cs="仿宋"/>
        </w:rPr>
        <w:t>车辆维修养护工作到位，车辆发生故障情况较少，维修支出减少。其中：</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）公务用车购置支出决算</w:t>
      </w:r>
      <w:r>
        <w:rPr>
          <w:rFonts w:ascii="仿宋" w:eastAsia="仿宋" w:hAnsi="仿宋" w:cs="仿宋"/>
        </w:rPr>
        <w:t>0</w:t>
      </w:r>
      <w:r>
        <w:rPr>
          <w:rFonts w:ascii="仿宋" w:eastAsia="仿宋" w:hAnsi="仿宋" w:cs="仿宋"/>
        </w:rPr>
        <w:t>万元。本年度使用财政拨款购置公务用车</w:t>
      </w:r>
      <w:r>
        <w:rPr>
          <w:rFonts w:ascii="仿宋" w:eastAsia="仿宋" w:hAnsi="仿宋" w:cs="仿宋"/>
        </w:rPr>
        <w:t>0</w:t>
      </w:r>
      <w:r>
        <w:rPr>
          <w:rFonts w:ascii="仿宋" w:eastAsia="仿宋" w:hAnsi="仿宋" w:cs="仿宋"/>
        </w:rPr>
        <w:t>辆。</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）公务用车运行维护费支出决算</w:t>
      </w:r>
      <w:r>
        <w:rPr>
          <w:rFonts w:ascii="仿宋" w:eastAsia="仿宋" w:hAnsi="仿宋" w:cs="仿宋"/>
        </w:rPr>
        <w:t>9.46</w:t>
      </w:r>
      <w:r>
        <w:rPr>
          <w:rFonts w:ascii="仿宋" w:eastAsia="仿宋" w:hAnsi="仿宋" w:cs="仿宋"/>
        </w:rPr>
        <w:t>万元。公务用</w:t>
      </w:r>
      <w:r>
        <w:rPr>
          <w:rFonts w:ascii="仿宋" w:eastAsia="仿宋" w:hAnsi="仿宋" w:cs="仿宋"/>
        </w:rPr>
        <w:t>车运行维护费主要用于按规定保留的公务用车的燃料费、维修</w:t>
      </w:r>
      <w:r>
        <w:rPr>
          <w:rFonts w:ascii="仿宋" w:eastAsia="仿宋" w:hAnsi="仿宋" w:cs="仿宋"/>
        </w:rPr>
        <w:lastRenderedPageBreak/>
        <w:t>费、过桥过路费、保险费、安全奖励费用等支出。截至</w:t>
      </w:r>
      <w:r>
        <w:rPr>
          <w:rFonts w:ascii="仿宋" w:eastAsia="仿宋" w:hAnsi="仿宋" w:cs="仿宋"/>
        </w:rPr>
        <w:t>2022</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日，使用财政拨款开支的公务用车保有量为</w:t>
      </w:r>
      <w:r>
        <w:rPr>
          <w:rFonts w:ascii="仿宋" w:eastAsia="仿宋" w:hAnsi="仿宋" w:cs="仿宋"/>
        </w:rPr>
        <w:t>10</w:t>
      </w:r>
      <w:r>
        <w:rPr>
          <w:rFonts w:ascii="仿宋" w:eastAsia="仿宋" w:hAnsi="仿宋" w:cs="仿宋"/>
        </w:rPr>
        <w:t>辆。</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．公务接待费支出预算</w:t>
      </w:r>
      <w:r>
        <w:rPr>
          <w:rFonts w:ascii="仿宋" w:eastAsia="仿宋" w:hAnsi="仿宋" w:cs="仿宋"/>
        </w:rPr>
        <w:t>2.43</w:t>
      </w:r>
      <w:r>
        <w:rPr>
          <w:rFonts w:ascii="仿宋" w:eastAsia="仿宋" w:hAnsi="仿宋" w:cs="仿宋"/>
        </w:rPr>
        <w:t>万元（其中：一般公共预算支出</w:t>
      </w:r>
      <w:r>
        <w:rPr>
          <w:rFonts w:ascii="仿宋" w:eastAsia="仿宋" w:hAnsi="仿宋" w:cs="仿宋"/>
        </w:rPr>
        <w:t>2.43</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2.29</w:t>
      </w:r>
      <w:r>
        <w:rPr>
          <w:rFonts w:ascii="仿宋" w:eastAsia="仿宋" w:hAnsi="仿宋" w:cs="仿宋"/>
        </w:rPr>
        <w:t>万元（其中：一般公共预算支出</w:t>
      </w:r>
      <w:r>
        <w:rPr>
          <w:rFonts w:ascii="仿宋" w:eastAsia="仿宋" w:hAnsi="仿宋" w:cs="仿宋"/>
        </w:rPr>
        <w:t>2.29</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94.24%</w:t>
      </w:r>
      <w:r>
        <w:rPr>
          <w:rFonts w:ascii="仿宋" w:eastAsia="仿宋" w:hAnsi="仿宋" w:cs="仿宋"/>
        </w:rPr>
        <w:t>，决算数与预算数的差异原因：工信局</w:t>
      </w:r>
      <w:r>
        <w:rPr>
          <w:rFonts w:ascii="仿宋" w:eastAsia="仿宋" w:hAnsi="仿宋" w:cs="仿宋"/>
        </w:rPr>
        <w:t>2022</w:t>
      </w:r>
      <w:r>
        <w:rPr>
          <w:rFonts w:ascii="仿宋" w:eastAsia="仿宋" w:hAnsi="仿宋" w:cs="仿宋"/>
        </w:rPr>
        <w:t>年本着厉行节约的原则，严格控制公务接待费的支出。其中：国内公务接待支出</w:t>
      </w:r>
      <w:r>
        <w:rPr>
          <w:rFonts w:ascii="仿宋" w:eastAsia="仿宋" w:hAnsi="仿宋" w:cs="仿宋"/>
        </w:rPr>
        <w:t>2.29</w:t>
      </w:r>
      <w:r>
        <w:rPr>
          <w:rFonts w:ascii="仿宋" w:eastAsia="仿宋" w:hAnsi="仿宋" w:cs="仿宋"/>
        </w:rPr>
        <w:t>万元，接待</w:t>
      </w:r>
      <w:r>
        <w:rPr>
          <w:rFonts w:ascii="仿宋" w:eastAsia="仿宋" w:hAnsi="仿宋" w:cs="仿宋"/>
        </w:rPr>
        <w:t>22</w:t>
      </w:r>
      <w:r>
        <w:rPr>
          <w:rFonts w:ascii="仿宋" w:eastAsia="仿宋" w:hAnsi="仿宋" w:cs="仿宋"/>
        </w:rPr>
        <w:t>批次，</w:t>
      </w:r>
      <w:r>
        <w:rPr>
          <w:rFonts w:ascii="仿宋" w:eastAsia="仿宋" w:hAnsi="仿宋" w:cs="仿宋"/>
        </w:rPr>
        <w:t>225</w:t>
      </w:r>
      <w:r>
        <w:rPr>
          <w:rFonts w:ascii="仿宋" w:eastAsia="仿宋" w:hAnsi="仿宋" w:cs="仿宋"/>
        </w:rPr>
        <w:t>人次，开支内容：接待国家工信部、省工信厅、省节能监察中心等领导来常考察调研、兄弟城市来常调研学习</w:t>
      </w:r>
      <w:r>
        <w:rPr>
          <w:rFonts w:ascii="仿宋" w:eastAsia="仿宋" w:hAnsi="仿宋" w:cs="仿宋"/>
        </w:rPr>
        <w:t>的人员、省节能专项监察来常人员、无线电协会等；国（境）外公务接待支出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（三）财政拨款会议费支出决算情况说明。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年度财政拨款会议费支出预算</w:t>
      </w:r>
      <w:r>
        <w:rPr>
          <w:rFonts w:ascii="仿宋" w:eastAsia="仿宋" w:hAnsi="仿宋" w:cs="仿宋"/>
        </w:rPr>
        <w:t>44.49</w:t>
      </w:r>
      <w:r>
        <w:rPr>
          <w:rFonts w:ascii="仿宋" w:eastAsia="仿宋" w:hAnsi="仿宋" w:cs="仿宋"/>
        </w:rPr>
        <w:t>万元（其中：一般公共预算支出</w:t>
      </w:r>
      <w:r>
        <w:rPr>
          <w:rFonts w:ascii="仿宋" w:eastAsia="仿宋" w:hAnsi="仿宋" w:cs="仿宋"/>
        </w:rPr>
        <w:t>44.49</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44.11</w:t>
      </w:r>
      <w:r>
        <w:rPr>
          <w:rFonts w:ascii="仿宋" w:eastAsia="仿宋" w:hAnsi="仿宋" w:cs="仿宋"/>
        </w:rPr>
        <w:t>万元（其中：一般公共预算支出</w:t>
      </w:r>
      <w:r>
        <w:rPr>
          <w:rFonts w:ascii="仿宋" w:eastAsia="仿宋" w:hAnsi="仿宋" w:cs="仿宋"/>
        </w:rPr>
        <w:t>44.11</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99.15%</w:t>
      </w:r>
      <w:r>
        <w:rPr>
          <w:rFonts w:ascii="仿宋" w:eastAsia="仿宋" w:hAnsi="仿宋" w:cs="仿宋"/>
        </w:rPr>
        <w:t>，决算数与预算数的差异原因：工信局严格控制会议次数，减少会议支出。</w:t>
      </w:r>
      <w:r>
        <w:rPr>
          <w:rFonts w:ascii="仿宋" w:eastAsia="仿宋" w:hAnsi="仿宋" w:cs="仿宋"/>
        </w:rPr>
        <w:t>2022</w:t>
      </w:r>
      <w:r>
        <w:rPr>
          <w:rFonts w:ascii="仿宋" w:eastAsia="仿宋" w:hAnsi="仿宋" w:cs="仿宋"/>
        </w:rPr>
        <w:t>年度全年召开</w:t>
      </w:r>
      <w:r>
        <w:rPr>
          <w:rFonts w:ascii="仿宋" w:eastAsia="仿宋" w:hAnsi="仿宋" w:cs="仿宋"/>
        </w:rPr>
        <w:t>会议</w:t>
      </w:r>
      <w:r>
        <w:rPr>
          <w:rFonts w:ascii="仿宋" w:eastAsia="仿宋" w:hAnsi="仿宋" w:cs="仿宋"/>
        </w:rPr>
        <w:t>57</w:t>
      </w:r>
      <w:r>
        <w:rPr>
          <w:rFonts w:ascii="仿宋" w:eastAsia="仿宋" w:hAnsi="仿宋" w:cs="仿宋"/>
        </w:rPr>
        <w:t>个，参加会议</w:t>
      </w:r>
      <w:r>
        <w:rPr>
          <w:rFonts w:ascii="仿宋" w:eastAsia="仿宋" w:hAnsi="仿宋" w:cs="仿宋"/>
        </w:rPr>
        <w:t>1663</w:t>
      </w:r>
      <w:r>
        <w:rPr>
          <w:rFonts w:ascii="仿宋" w:eastAsia="仿宋" w:hAnsi="仿宋" w:cs="仿宋"/>
        </w:rPr>
        <w:t>人次，开支内容：召开各处室的条线会议，业务工作会议，全市</w:t>
      </w:r>
      <w:r>
        <w:rPr>
          <w:rFonts w:ascii="仿宋" w:eastAsia="仿宋" w:hAnsi="仿宋" w:cs="仿宋"/>
        </w:rPr>
        <w:lastRenderedPageBreak/>
        <w:t>工信工作会议，每季度召开的全市工业经济现场推进会，每年的工信工作总结研讨会，全市工信工作总结大会。</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（四）财政拨款培训费支出决算情况说明。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年度财政拨款培训费支出预算</w:t>
      </w:r>
      <w:r>
        <w:rPr>
          <w:rFonts w:ascii="仿宋" w:eastAsia="仿宋" w:hAnsi="仿宋" w:cs="仿宋"/>
        </w:rPr>
        <w:t>105.61</w:t>
      </w:r>
      <w:r>
        <w:rPr>
          <w:rFonts w:ascii="仿宋" w:eastAsia="仿宋" w:hAnsi="仿宋" w:cs="仿宋"/>
        </w:rPr>
        <w:t>万元（其中：一般公共预算支出</w:t>
      </w:r>
      <w:r>
        <w:rPr>
          <w:rFonts w:ascii="仿宋" w:eastAsia="仿宋" w:hAnsi="仿宋" w:cs="仿宋"/>
        </w:rPr>
        <w:t>105.61</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105.48</w:t>
      </w:r>
      <w:r>
        <w:rPr>
          <w:rFonts w:ascii="仿宋" w:eastAsia="仿宋" w:hAnsi="仿宋" w:cs="仿宋"/>
        </w:rPr>
        <w:t>万元（其中：一般公共预算支出</w:t>
      </w:r>
      <w:r>
        <w:rPr>
          <w:rFonts w:ascii="仿宋" w:eastAsia="仿宋" w:hAnsi="仿宋" w:cs="仿宋"/>
        </w:rPr>
        <w:t>105.48</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9</w:t>
      </w:r>
      <w:r>
        <w:rPr>
          <w:rFonts w:ascii="仿宋" w:eastAsia="仿宋" w:hAnsi="仿宋" w:cs="仿宋"/>
        </w:rPr>
        <w:t>9.88%</w:t>
      </w:r>
      <w:r>
        <w:rPr>
          <w:rFonts w:ascii="仿宋" w:eastAsia="仿宋" w:hAnsi="仿宋" w:cs="仿宋"/>
        </w:rPr>
        <w:t>，决算数与预算数的差异原因：</w:t>
      </w:r>
      <w:r>
        <w:rPr>
          <w:rFonts w:ascii="仿宋" w:eastAsia="仿宋" w:hAnsi="仿宋" w:cs="仿宋"/>
        </w:rPr>
        <w:t>2022</w:t>
      </w:r>
      <w:r>
        <w:rPr>
          <w:rFonts w:ascii="仿宋" w:eastAsia="仿宋" w:hAnsi="仿宋" w:cs="仿宋"/>
        </w:rPr>
        <w:t>年疫情原因减少对企业家的培训班次。</w:t>
      </w:r>
      <w:r>
        <w:rPr>
          <w:rFonts w:ascii="仿宋" w:eastAsia="仿宋" w:hAnsi="仿宋" w:cs="仿宋"/>
        </w:rPr>
        <w:t>2022</w:t>
      </w:r>
      <w:r>
        <w:rPr>
          <w:rFonts w:ascii="仿宋" w:eastAsia="仿宋" w:hAnsi="仿宋" w:cs="仿宋"/>
        </w:rPr>
        <w:t>年度全年组织培训</w:t>
      </w:r>
      <w:r>
        <w:rPr>
          <w:rFonts w:ascii="仿宋" w:eastAsia="仿宋" w:hAnsi="仿宋" w:cs="仿宋"/>
        </w:rPr>
        <w:t>27</w:t>
      </w:r>
      <w:r>
        <w:rPr>
          <w:rFonts w:ascii="仿宋" w:eastAsia="仿宋" w:hAnsi="仿宋" w:cs="仿宋"/>
        </w:rPr>
        <w:t>个，组织培训</w:t>
      </w:r>
      <w:r>
        <w:rPr>
          <w:rFonts w:ascii="仿宋" w:eastAsia="仿宋" w:hAnsi="仿宋" w:cs="仿宋"/>
        </w:rPr>
        <w:t>3423</w:t>
      </w:r>
      <w:r>
        <w:rPr>
          <w:rFonts w:ascii="仿宋" w:eastAsia="仿宋" w:hAnsi="仿宋" w:cs="仿宋"/>
        </w:rPr>
        <w:t>人次，开支内容：</w:t>
      </w:r>
      <w:r>
        <w:rPr>
          <w:rFonts w:ascii="仿宋" w:eastAsia="仿宋" w:hAnsi="仿宋" w:cs="仿宋"/>
        </w:rPr>
        <w:t>2022</w:t>
      </w:r>
      <w:r>
        <w:rPr>
          <w:rFonts w:ascii="仿宋" w:eastAsia="仿宋" w:hAnsi="仿宋" w:cs="仿宋"/>
        </w:rPr>
        <w:t>年，在南京大学和西交利物浦大学举办了</w:t>
      </w:r>
      <w:r>
        <w:rPr>
          <w:rFonts w:ascii="仿宋" w:eastAsia="仿宋" w:hAnsi="仿宋" w:cs="仿宋"/>
        </w:rPr>
        <w:t>2</w:t>
      </w:r>
      <w:r>
        <w:rPr>
          <w:rFonts w:ascii="仿宋" w:eastAsia="仿宋" w:hAnsi="仿宋" w:cs="仿宋"/>
        </w:rPr>
        <w:t>期</w:t>
      </w:r>
      <w:r>
        <w:rPr>
          <w:rFonts w:ascii="仿宋" w:eastAsia="仿宋" w:hAnsi="仿宋" w:cs="仿宋"/>
        </w:rPr>
        <w:t>“</w:t>
      </w:r>
      <w:r>
        <w:rPr>
          <w:rFonts w:ascii="仿宋" w:eastAsia="仿宋" w:hAnsi="仿宋" w:cs="仿宋"/>
        </w:rPr>
        <w:t>服务</w:t>
      </w:r>
      <w:r>
        <w:rPr>
          <w:rFonts w:ascii="仿宋" w:eastAsia="仿宋" w:hAnsi="仿宋" w:cs="仿宋"/>
        </w:rPr>
        <w:t>‘532’</w:t>
      </w:r>
      <w:r>
        <w:rPr>
          <w:rFonts w:ascii="仿宋" w:eastAsia="仿宋" w:hAnsi="仿宋" w:cs="仿宋"/>
        </w:rPr>
        <w:t>发展战略、推进智改数转</w:t>
      </w:r>
      <w:r>
        <w:rPr>
          <w:rFonts w:ascii="仿宋" w:eastAsia="仿宋" w:hAnsi="仿宋" w:cs="仿宋"/>
        </w:rPr>
        <w:t>”</w:t>
      </w:r>
      <w:r>
        <w:rPr>
          <w:rFonts w:ascii="仿宋" w:eastAsia="仿宋" w:hAnsi="仿宋" w:cs="仿宋"/>
        </w:rPr>
        <w:t>专题研修班，参训学员共</w:t>
      </w:r>
      <w:r>
        <w:rPr>
          <w:rFonts w:ascii="仿宋" w:eastAsia="仿宋" w:hAnsi="仿宋" w:cs="仿宋"/>
        </w:rPr>
        <w:t>100</w:t>
      </w:r>
      <w:r>
        <w:rPr>
          <w:rFonts w:ascii="仿宋" w:eastAsia="仿宋" w:hAnsi="仿宋" w:cs="仿宋"/>
        </w:rPr>
        <w:t>人；举办</w:t>
      </w:r>
      <w:r>
        <w:rPr>
          <w:rFonts w:ascii="仿宋" w:eastAsia="仿宋" w:hAnsi="仿宋" w:cs="仿宋"/>
        </w:rPr>
        <w:t>1</w:t>
      </w:r>
      <w:r>
        <w:rPr>
          <w:rFonts w:ascii="仿宋" w:eastAsia="仿宋" w:hAnsi="仿宋" w:cs="仿宋"/>
        </w:rPr>
        <w:t>期</w:t>
      </w:r>
      <w:r>
        <w:rPr>
          <w:rFonts w:ascii="仿宋" w:eastAsia="仿宋" w:hAnsi="仿宋" w:cs="仿宋"/>
        </w:rPr>
        <w:t>“</w:t>
      </w:r>
      <w:r>
        <w:rPr>
          <w:rFonts w:ascii="仿宋" w:eastAsia="仿宋" w:hAnsi="仿宋" w:cs="仿宋"/>
        </w:rPr>
        <w:t>企业创新与发展</w:t>
      </w:r>
      <w:r>
        <w:rPr>
          <w:rFonts w:ascii="仿宋" w:eastAsia="仿宋" w:hAnsi="仿宋" w:cs="仿宋"/>
        </w:rPr>
        <w:t>”</w:t>
      </w:r>
      <w:r>
        <w:rPr>
          <w:rFonts w:ascii="仿宋" w:eastAsia="仿宋" w:hAnsi="仿宋" w:cs="仿宋"/>
        </w:rPr>
        <w:t>报告会，培训企业中高层经营管理人员</w:t>
      </w:r>
      <w:r>
        <w:rPr>
          <w:rFonts w:ascii="仿宋" w:eastAsia="仿宋" w:hAnsi="仿宋" w:cs="仿宋"/>
        </w:rPr>
        <w:t>500</w:t>
      </w:r>
      <w:r>
        <w:rPr>
          <w:rFonts w:ascii="仿宋" w:eastAsia="仿宋" w:hAnsi="仿宋" w:cs="仿宋"/>
        </w:rPr>
        <w:t>人次；在金坛区委党校、武进区委党校、常高新集团、常州大数据产业园、中国以色列常州创新园等单位举办</w:t>
      </w:r>
      <w:r>
        <w:rPr>
          <w:rFonts w:ascii="仿宋" w:eastAsia="仿宋" w:hAnsi="仿宋" w:cs="仿宋"/>
        </w:rPr>
        <w:t>20</w:t>
      </w:r>
      <w:r>
        <w:rPr>
          <w:rFonts w:ascii="仿宋" w:eastAsia="仿宋" w:hAnsi="仿宋" w:cs="仿宋"/>
        </w:rPr>
        <w:t>期</w:t>
      </w:r>
      <w:r>
        <w:rPr>
          <w:rFonts w:ascii="仿宋" w:eastAsia="仿宋" w:hAnsi="仿宋" w:cs="仿宋"/>
        </w:rPr>
        <w:t>“</w:t>
      </w:r>
      <w:r>
        <w:rPr>
          <w:rFonts w:ascii="仿宋" w:eastAsia="仿宋" w:hAnsi="仿宋" w:cs="仿宋"/>
        </w:rPr>
        <w:t>工信讲坛</w:t>
      </w:r>
      <w:r>
        <w:rPr>
          <w:rFonts w:ascii="仿宋" w:eastAsia="仿宋" w:hAnsi="仿宋" w:cs="仿宋"/>
        </w:rPr>
        <w:t>”</w:t>
      </w:r>
      <w:r>
        <w:rPr>
          <w:rFonts w:ascii="仿宋" w:eastAsia="仿宋" w:hAnsi="仿宋" w:cs="仿宋"/>
        </w:rPr>
        <w:t>系列培训活动，培训各类企业经营管理和专业技术人员</w:t>
      </w:r>
      <w:r>
        <w:rPr>
          <w:rFonts w:ascii="仿宋" w:eastAsia="仿宋" w:hAnsi="仿宋" w:cs="仿宋"/>
        </w:rPr>
        <w:t>2000</w:t>
      </w:r>
      <w:r>
        <w:rPr>
          <w:rFonts w:ascii="仿宋" w:eastAsia="仿宋" w:hAnsi="仿宋" w:cs="仿宋"/>
        </w:rPr>
        <w:t>余人次。</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w:t>
      </w:r>
      <w:r>
        <w:rPr>
          <w:rFonts w:ascii="仿宋" w:eastAsia="仿宋" w:hAnsi="仿宋" w:cs="仿宋"/>
          <w:b/>
        </w:rPr>
        <w:t>、政府性基金预算财政拨款支出决算情况说明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年度政府性基金预算财政拨款支出决算</w:t>
      </w:r>
      <w:r>
        <w:rPr>
          <w:rFonts w:ascii="仿宋" w:eastAsia="仿宋" w:hAnsi="仿宋" w:cs="仿宋"/>
        </w:rPr>
        <w:t>0</w:t>
      </w:r>
      <w:r>
        <w:rPr>
          <w:rFonts w:ascii="仿宋" w:eastAsia="仿宋" w:hAnsi="仿宋" w:cs="仿宋"/>
        </w:rPr>
        <w:t>万元。与上年决算数相同。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十一、国有资本经营预算财政拨款支出决算情况说明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年度国有资本经营预算财政拨款支出决算</w:t>
      </w:r>
      <w:r>
        <w:rPr>
          <w:rFonts w:ascii="仿宋" w:eastAsia="仿宋" w:hAnsi="仿宋" w:cs="仿宋"/>
        </w:rPr>
        <w:t>0</w:t>
      </w:r>
      <w:r>
        <w:rPr>
          <w:rFonts w:ascii="仿宋" w:eastAsia="仿宋" w:hAnsi="仿宋" w:cs="仿宋"/>
        </w:rPr>
        <w:t>万元。与</w:t>
      </w:r>
      <w:r>
        <w:rPr>
          <w:rFonts w:ascii="仿宋" w:eastAsia="仿宋" w:hAnsi="仿宋" w:cs="仿宋"/>
        </w:rPr>
        <w:lastRenderedPageBreak/>
        <w:t>上年决算数相同。</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十二、财政拨款机关运行经费支出决算情况说明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年度机关运行经费支出决算</w:t>
      </w:r>
      <w:r>
        <w:rPr>
          <w:rFonts w:ascii="仿宋" w:eastAsia="仿宋" w:hAnsi="仿宋" w:cs="仿宋"/>
        </w:rPr>
        <w:t>246.9</w:t>
      </w:r>
      <w:r>
        <w:rPr>
          <w:rFonts w:ascii="仿宋" w:eastAsia="仿宋" w:hAnsi="仿宋" w:cs="仿宋"/>
        </w:rPr>
        <w:t>万元（其中：一般公共预算支出</w:t>
      </w:r>
      <w:r>
        <w:rPr>
          <w:rFonts w:ascii="仿宋" w:eastAsia="仿宋" w:hAnsi="仿宋" w:cs="仿宋"/>
        </w:rPr>
        <w:t>246.9</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万元）。与上年相比，增加</w:t>
      </w:r>
      <w:r>
        <w:rPr>
          <w:rFonts w:ascii="仿宋" w:eastAsia="仿宋" w:hAnsi="仿宋" w:cs="仿宋"/>
        </w:rPr>
        <w:t>0.71</w:t>
      </w:r>
      <w:r>
        <w:rPr>
          <w:rFonts w:ascii="仿宋" w:eastAsia="仿宋" w:hAnsi="仿宋" w:cs="仿宋"/>
        </w:rPr>
        <w:t>万元，增长</w:t>
      </w:r>
      <w:r>
        <w:rPr>
          <w:rFonts w:ascii="仿宋" w:eastAsia="仿宋" w:hAnsi="仿宋" w:cs="仿宋"/>
        </w:rPr>
        <w:t>0.29%</w:t>
      </w:r>
      <w:r>
        <w:rPr>
          <w:rFonts w:ascii="仿宋" w:eastAsia="仿宋" w:hAnsi="仿宋" w:cs="仿宋"/>
        </w:rPr>
        <w:t>，变动原因：</w:t>
      </w:r>
      <w:r>
        <w:rPr>
          <w:rFonts w:ascii="仿宋" w:eastAsia="仿宋" w:hAnsi="仿宋" w:cs="仿宋"/>
        </w:rPr>
        <w:t>2022</w:t>
      </w:r>
      <w:r>
        <w:rPr>
          <w:rFonts w:ascii="仿宋" w:eastAsia="仿宋" w:hAnsi="仿宋" w:cs="仿宋"/>
        </w:rPr>
        <w:t>年工信局购置会议室视频会议设备</w:t>
      </w:r>
      <w:r>
        <w:rPr>
          <w:rFonts w:ascii="仿宋" w:eastAsia="仿宋" w:hAnsi="仿宋" w:cs="仿宋"/>
        </w:rPr>
        <w:t>触控一体机两台。</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年度政府采购支出总额</w:t>
      </w:r>
      <w:r>
        <w:rPr>
          <w:rFonts w:ascii="仿宋" w:eastAsia="仿宋" w:hAnsi="仿宋" w:cs="仿宋"/>
        </w:rPr>
        <w:t>4,606.79</w:t>
      </w:r>
      <w:r>
        <w:rPr>
          <w:rFonts w:ascii="仿宋" w:eastAsia="仿宋" w:hAnsi="仿宋" w:cs="仿宋"/>
        </w:rPr>
        <w:t>万元，其中：政府采购货物支出</w:t>
      </w:r>
      <w:r>
        <w:rPr>
          <w:rFonts w:ascii="仿宋" w:eastAsia="仿宋" w:hAnsi="仿宋" w:cs="仿宋"/>
        </w:rPr>
        <w:t>589.45</w:t>
      </w:r>
      <w:r>
        <w:rPr>
          <w:rFonts w:ascii="仿宋" w:eastAsia="仿宋" w:hAnsi="仿宋" w:cs="仿宋"/>
        </w:rPr>
        <w:t>万元、政府采购工程支出</w:t>
      </w:r>
      <w:r>
        <w:rPr>
          <w:rFonts w:ascii="仿宋" w:eastAsia="仿宋" w:hAnsi="仿宋" w:cs="仿宋"/>
        </w:rPr>
        <w:t>0</w:t>
      </w:r>
      <w:r>
        <w:rPr>
          <w:rFonts w:ascii="仿宋" w:eastAsia="仿宋" w:hAnsi="仿宋" w:cs="仿宋"/>
        </w:rPr>
        <w:t>万元、政府采购服务支出</w:t>
      </w:r>
      <w:r>
        <w:rPr>
          <w:rFonts w:ascii="仿宋" w:eastAsia="仿宋" w:hAnsi="仿宋" w:cs="仿宋"/>
        </w:rPr>
        <w:t>4,017.35</w:t>
      </w:r>
      <w:r>
        <w:rPr>
          <w:rFonts w:ascii="仿宋" w:eastAsia="仿宋" w:hAnsi="仿宋" w:cs="仿宋"/>
        </w:rPr>
        <w:t>万元。政府采购授予中小企业合同金额</w:t>
      </w:r>
      <w:r>
        <w:rPr>
          <w:rFonts w:ascii="仿宋" w:eastAsia="仿宋" w:hAnsi="仿宋" w:cs="仿宋"/>
        </w:rPr>
        <w:t>4,578.14</w:t>
      </w:r>
      <w:r>
        <w:rPr>
          <w:rFonts w:ascii="仿宋" w:eastAsia="仿宋" w:hAnsi="仿宋" w:cs="仿宋"/>
        </w:rPr>
        <w:t>万元，占政府采购支出总额的</w:t>
      </w:r>
      <w:r>
        <w:rPr>
          <w:rFonts w:ascii="仿宋" w:eastAsia="仿宋" w:hAnsi="仿宋" w:cs="仿宋"/>
        </w:rPr>
        <w:t>99.38%</w:t>
      </w:r>
      <w:r>
        <w:rPr>
          <w:rFonts w:ascii="仿宋" w:eastAsia="仿宋" w:hAnsi="仿宋" w:cs="仿宋"/>
        </w:rPr>
        <w:t>，其中：授予小微企业合同金额</w:t>
      </w:r>
      <w:r>
        <w:rPr>
          <w:rFonts w:ascii="仿宋" w:eastAsia="仿宋" w:hAnsi="仿宋" w:cs="仿宋"/>
        </w:rPr>
        <w:t>4,065.59</w:t>
      </w:r>
      <w:r>
        <w:rPr>
          <w:rFonts w:ascii="仿宋" w:eastAsia="仿宋" w:hAnsi="仿宋" w:cs="仿宋"/>
        </w:rPr>
        <w:t>万元，占授予中小企业合同金额的</w:t>
      </w:r>
      <w:r>
        <w:rPr>
          <w:rFonts w:ascii="仿宋" w:eastAsia="仿宋" w:hAnsi="仿宋" w:cs="仿宋"/>
        </w:rPr>
        <w:t>88.8%</w:t>
      </w:r>
      <w:r>
        <w:rPr>
          <w:rFonts w:ascii="仿宋" w:eastAsia="仿宋" w:hAnsi="仿宋" w:cs="仿宋"/>
        </w:rPr>
        <w:t>。</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w:t>
      </w:r>
      <w:r>
        <w:rPr>
          <w:rFonts w:ascii="仿宋" w:eastAsia="仿宋" w:hAnsi="仿宋" w:cs="仿宋"/>
        </w:rPr>
        <w:t>2022</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日，本部门共有车辆</w:t>
      </w:r>
      <w:r>
        <w:rPr>
          <w:rFonts w:ascii="仿宋" w:eastAsia="仿宋" w:hAnsi="仿宋" w:cs="仿宋"/>
        </w:rPr>
        <w:t>10</w:t>
      </w:r>
      <w:r>
        <w:rPr>
          <w:rFonts w:ascii="仿宋" w:eastAsia="仿宋" w:hAnsi="仿宋" w:cs="仿宋"/>
        </w:rPr>
        <w:t>辆，其中：副部</w:t>
      </w:r>
      <w:r>
        <w:rPr>
          <w:rFonts w:ascii="仿宋" w:eastAsia="仿宋" w:hAnsi="仿宋" w:cs="仿宋"/>
        </w:rPr>
        <w:t>(</w:t>
      </w:r>
      <w:r>
        <w:rPr>
          <w:rFonts w:ascii="仿宋" w:eastAsia="仿宋" w:hAnsi="仿宋" w:cs="仿宋"/>
        </w:rPr>
        <w:t>省</w:t>
      </w:r>
      <w:r>
        <w:rPr>
          <w:rFonts w:ascii="仿宋" w:eastAsia="仿宋" w:hAnsi="仿宋" w:cs="仿宋"/>
        </w:rPr>
        <w:t>)</w:t>
      </w:r>
      <w:r>
        <w:rPr>
          <w:rFonts w:ascii="仿宋" w:eastAsia="仿宋" w:hAnsi="仿宋" w:cs="仿宋"/>
        </w:rPr>
        <w:t>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w:t>
      </w:r>
      <w:r>
        <w:rPr>
          <w:rFonts w:ascii="仿宋" w:eastAsia="仿宋" w:hAnsi="仿宋" w:cs="仿宋"/>
        </w:rPr>
        <w:t>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3</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7</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9</w:t>
      </w:r>
      <w:r>
        <w:rPr>
          <w:rFonts w:ascii="仿宋" w:eastAsia="仿宋" w:hAnsi="仿宋" w:cs="仿宋"/>
        </w:rPr>
        <w:t>台（套）。</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2022</w:t>
      </w:r>
      <w:r>
        <w:rPr>
          <w:rFonts w:ascii="仿宋" w:eastAsia="仿宋" w:hAnsi="仿宋" w:cs="仿宋"/>
        </w:rPr>
        <w:t>年度，本部门共</w:t>
      </w:r>
      <w:r>
        <w:rPr>
          <w:rFonts w:ascii="仿宋" w:eastAsia="仿宋" w:hAnsi="仿宋" w:cs="仿宋"/>
        </w:rPr>
        <w:t>0</w:t>
      </w:r>
      <w:r>
        <w:rPr>
          <w:rFonts w:ascii="仿宋" w:eastAsia="仿宋" w:hAnsi="仿宋" w:cs="仿宋"/>
        </w:rPr>
        <w:t>个项目开展了财政重点绩效评价，涉及财政性资金合计</w:t>
      </w:r>
      <w:r>
        <w:rPr>
          <w:rFonts w:ascii="仿宋" w:eastAsia="仿宋" w:hAnsi="仿宋" w:cs="仿宋"/>
        </w:rPr>
        <w:t>0</w:t>
      </w:r>
      <w:r>
        <w:rPr>
          <w:rFonts w:ascii="仿宋" w:eastAsia="仿宋" w:hAnsi="仿宋" w:cs="仿宋"/>
        </w:rPr>
        <w:t>万元；本部门未开展部门整体支出财政重点绩效评价，涉及财政性资金</w:t>
      </w:r>
      <w:r>
        <w:rPr>
          <w:rFonts w:ascii="仿宋" w:eastAsia="仿宋" w:hAnsi="仿宋" w:cs="仿宋"/>
        </w:rPr>
        <w:t>0</w:t>
      </w:r>
      <w:r>
        <w:rPr>
          <w:rFonts w:ascii="仿宋" w:eastAsia="仿宋" w:hAnsi="仿宋" w:cs="仿宋"/>
        </w:rPr>
        <w:t>万元。</w:t>
      </w:r>
    </w:p>
    <w:p w:rsidR="00AF0ECA" w:rsidRDefault="00996CB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本部门共对上年度已实施完成的</w:t>
      </w:r>
      <w:r>
        <w:rPr>
          <w:rFonts w:ascii="仿宋" w:eastAsia="仿宋" w:hAnsi="仿宋" w:cs="仿宋"/>
        </w:rPr>
        <w:t>17</w:t>
      </w:r>
      <w:r>
        <w:rPr>
          <w:rFonts w:ascii="仿宋" w:eastAsia="仿宋" w:hAnsi="仿宋" w:cs="仿宋"/>
        </w:rPr>
        <w:t>个项目开展了绩效自评价，涉及财政性资金合计</w:t>
      </w:r>
      <w:r>
        <w:rPr>
          <w:rFonts w:ascii="仿宋" w:eastAsia="仿宋" w:hAnsi="仿宋" w:cs="仿宋"/>
        </w:rPr>
        <w:t>28,880.3</w:t>
      </w:r>
      <w:r>
        <w:rPr>
          <w:rFonts w:ascii="仿宋" w:eastAsia="仿宋" w:hAnsi="仿宋" w:cs="仿宋"/>
        </w:rPr>
        <w:t>万元；本部门共开展</w:t>
      </w:r>
      <w:r>
        <w:rPr>
          <w:rFonts w:ascii="仿宋" w:eastAsia="仿宋" w:hAnsi="仿宋" w:cs="仿宋"/>
        </w:rPr>
        <w:t>1</w:t>
      </w:r>
      <w:r>
        <w:rPr>
          <w:rFonts w:ascii="仿宋" w:eastAsia="仿宋" w:hAnsi="仿宋" w:cs="仿宋"/>
        </w:rPr>
        <w:t>项部门整体支出绩效自评价</w:t>
      </w:r>
      <w:r>
        <w:rPr>
          <w:rFonts w:ascii="仿宋" w:eastAsia="仿宋" w:hAnsi="仿宋" w:cs="仿宋"/>
        </w:rPr>
        <w:t>，涉及财政性资金合计</w:t>
      </w:r>
      <w:r>
        <w:rPr>
          <w:rFonts w:ascii="仿宋" w:eastAsia="仿宋" w:hAnsi="仿宋" w:cs="仿宋"/>
        </w:rPr>
        <w:t>34,554.86</w:t>
      </w:r>
      <w:r>
        <w:rPr>
          <w:rFonts w:ascii="仿宋" w:eastAsia="仿宋" w:hAnsi="仿宋" w:cs="仿宋"/>
        </w:rPr>
        <w:t>万元。</w:t>
      </w:r>
    </w:p>
    <w:p w:rsidR="00AF0ECA" w:rsidRDefault="00996CBB">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w:t>
      </w:r>
      <w:r>
        <w:rPr>
          <w:rFonts w:ascii="宋体" w:eastAsia="宋体" w:hAnsi="宋体" w:cs="宋体" w:hint="eastAsia"/>
          <w:b/>
          <w:bCs/>
        </w:rPr>
        <w:t xml:space="preserve"> </w:t>
      </w:r>
      <w:r>
        <w:rPr>
          <w:rFonts w:ascii="宋体" w:eastAsia="宋体" w:hAnsi="宋体" w:cs="宋体" w:hint="eastAsia"/>
          <w:b/>
          <w:bCs/>
        </w:rPr>
        <w:t>名词</w:t>
      </w:r>
      <w:r>
        <w:rPr>
          <w:rFonts w:ascii="宋体" w:eastAsia="宋体" w:hAnsi="宋体" w:cs="宋体" w:hint="eastAsia"/>
          <w:b/>
          <w:bCs/>
          <w:color w:val="000000"/>
          <w:lang w:eastAsia="ar-SA"/>
        </w:rPr>
        <w:t>解释</w:t>
      </w:r>
    </w:p>
    <w:p w:rsidR="00AF0ECA" w:rsidRDefault="00AF0ECA">
      <w:pPr>
        <w:pStyle w:val="a4"/>
        <w:tabs>
          <w:tab w:val="left" w:pos="3864"/>
          <w:tab w:val="left" w:pos="6248"/>
          <w:tab w:val="left" w:pos="7386"/>
        </w:tabs>
        <w:ind w:leftChars="200" w:left="440" w:firstLineChars="206" w:firstLine="659"/>
        <w:jc w:val="both"/>
        <w:rPr>
          <w:rFonts w:ascii="仿宋" w:eastAsia="仿宋" w:hAnsi="仿宋" w:cs="仿宋"/>
        </w:rPr>
      </w:pP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指事业单位附属独立核算单位按照有关规定上缴的收入。</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七、其他收入</w:t>
      </w:r>
      <w:r>
        <w:rPr>
          <w:rFonts w:ascii="仿宋" w:eastAsia="仿宋" w:hAnsi="仿宋" w:cs="仿宋"/>
          <w:b/>
        </w:rPr>
        <w:t>：</w:t>
      </w:r>
      <w:r>
        <w:rPr>
          <w:rFonts w:ascii="仿宋" w:eastAsia="仿宋" w:hAnsi="仿宋" w:cs="仿宋" w:hint="eastAsia"/>
        </w:rPr>
        <w:t>指单位取得的除上述“财政拨款收入”、</w:t>
      </w:r>
      <w:r>
        <w:rPr>
          <w:rFonts w:ascii="仿宋" w:eastAsia="仿宋" w:hAnsi="仿宋" w:cs="仿宋" w:hint="eastAsia"/>
        </w:rPr>
        <w:t xml:space="preserve"> </w:t>
      </w:r>
      <w:r>
        <w:rPr>
          <w:rFonts w:ascii="仿宋" w:eastAsia="仿宋" w:hAnsi="仿宋" w:cs="仿宋" w:hint="eastAsia"/>
        </w:rPr>
        <w:t>“上级补助收入”、“事业收入”、“经营收入”、“附属单位上缴收入”等以外的各项收入。</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指事业单位按照预算管理要求使用非财政拨款结余（原事业基金）弥补当年收支差额的数额。</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w:t>
      </w:r>
      <w:r>
        <w:rPr>
          <w:rFonts w:ascii="仿宋" w:eastAsia="仿宋" w:hAnsi="仿宋" w:cs="仿宋" w:hint="eastAsia"/>
        </w:rPr>
        <w:t>规定缴纳的所得税以及从非财政拨款结余中提取各类结余的情况。</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指单位结转下年的基本支出结转、项目支出结转和结余、经营结余。</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指事业单位在专业业务活动及其辅助活动之外开展非独立核算经营活动发生的支出。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w:t>
      </w:r>
      <w:r>
        <w:rPr>
          <w:rFonts w:ascii="仿宋" w:eastAsia="仿宋" w:hAnsi="仿宋" w:cs="仿宋" w:hint="eastAsia"/>
        </w:rPr>
        <w:t>事业单位用财政拨款收入之外的收入对附属单位补助发生的支出。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指部门用一般公共预算财政拨款安</w:t>
      </w:r>
      <w:r>
        <w:rPr>
          <w:rFonts w:ascii="仿宋" w:eastAsia="仿宋" w:hAnsi="仿宋" w:cs="仿宋" w:hint="eastAsia"/>
        </w:rPr>
        <w:lastRenderedPageBreak/>
        <w:t>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w:t>
      </w:r>
      <w:r>
        <w:rPr>
          <w:rFonts w:ascii="仿宋" w:eastAsia="仿宋" w:hAnsi="仿宋" w:cs="仿宋" w:hint="eastAsia"/>
          <w:b/>
          <w:bCs/>
        </w:rPr>
        <w:t>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政府办公厅（室）及相关机构事务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二十、科学技术支出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科学技术管理事务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其他科学技术管理事务支出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反映除上述项目以外其他用于科学技术管理事务方面的支出。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二十一、科学技术支出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其他科学技术支出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其他科学技术支出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反映其他科学技术支出中除以上各项外用于</w:t>
      </w:r>
      <w:r>
        <w:rPr>
          <w:rFonts w:ascii="仿宋" w:eastAsia="仿宋" w:hAnsi="仿宋" w:cs="仿宋" w:hint="eastAsia"/>
        </w:rPr>
        <w:lastRenderedPageBreak/>
        <w:t>科技方面的支出。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反映事业单位开支的离退休经费。</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其他社会保障和就业支出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其他社会保障和就业支出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反映除上述项目以外其他用于社会保障和就业方面的支出。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二十六、节能环保支出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循环经济</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循环经济</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反映用于循环经济（含资源综合利用）方面的支出。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二十七、节能环保支出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其他节能环保支出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其他节能环保支出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反映除上述项目以外其他用于节能环保方面的支出。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二十八、资源勘探工业信息等支出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制造业</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其他制造业支出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反映除上述项目以外其他用于制造业方面的支出。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二十九、资源勘探工业信息等支出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工业和信息产业监管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三十、资源勘探工业信息等支出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工业和信息产业监管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一般行政管理事务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反映行政单位（包括实行公务员管理的事业单位）未单独设置项级科目的其他项目支出。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三十一、资源勘探工业信息等支出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工业和信息产业监管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无线电及信息通信监管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反映无线电及信息通信行业监管方面的支出。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w:t>
      </w:r>
      <w:r>
        <w:rPr>
          <w:rFonts w:ascii="仿宋" w:eastAsia="仿宋" w:hAnsi="仿宋" w:cs="仿宋" w:hint="eastAsia"/>
          <w:b/>
          <w:bCs/>
        </w:rPr>
        <w:t>二、资源勘探工业信息等支出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工业和信息产业监管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产业发展</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反映工业和信息化产业发展的支出。</w:t>
      </w:r>
      <w:r>
        <w:rPr>
          <w:rFonts w:ascii="仿宋" w:eastAsia="仿宋" w:hAnsi="仿宋" w:cs="仿宋" w:hint="eastAsia"/>
        </w:rPr>
        <w:t xml:space="preserve"> </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三十三、资源勘探工业信息等支出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工业和信息产业监管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其他工业和信息产业监管支出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反映除上述项目以外其他用于工业和信息产业监管方面的支出。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三十四、资源勘探工业信息等支出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支持中小企业发展和管理支出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其他支持中小企业发展和管理支出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反映除上述项目以外其他用于支持中小企业发展和管理方面的支出。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三十五、援助其他地区支出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反映援助其他地区资金中除上述项目以外的</w:t>
      </w:r>
      <w:r>
        <w:rPr>
          <w:rFonts w:ascii="仿宋" w:eastAsia="仿宋" w:hAnsi="仿宋" w:cs="仿宋" w:hint="eastAsia"/>
        </w:rPr>
        <w:t>其他支出。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三十六、住房保障支出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三十七、住房保障支出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w:t>
      </w:r>
      <w:r>
        <w:rPr>
          <w:rFonts w:ascii="仿宋" w:eastAsia="仿宋" w:hAnsi="仿宋" w:cs="仿宋" w:hint="eastAsia"/>
        </w:rPr>
        <w:lastRenderedPageBreak/>
        <w:t>离退休人员）发放的租金补贴。</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三十八、住房保障支出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三十九</w:t>
      </w:r>
      <w:r>
        <w:rPr>
          <w:rFonts w:ascii="仿宋" w:eastAsia="仿宋" w:hAnsi="仿宋" w:cs="仿宋" w:hint="eastAsia"/>
          <w:b/>
          <w:bCs/>
        </w:rPr>
        <w:t>、粮油物资储备支出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重要商品储备</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食盐储备</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反映食盐专项储备补贴，包括利息、费用和差价等支出。</w:t>
      </w:r>
    </w:p>
    <w:p w:rsidR="00AF0ECA" w:rsidRDefault="00996CB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四十、其他支出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反映除上述项目以外其他不能划分到具体功能科目中的支出项目。</w:t>
      </w:r>
    </w:p>
    <w:sectPr w:rsidR="00AF0ECA" w:rsidSect="00AF0ECA">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6CBB" w:rsidRDefault="00996CBB" w:rsidP="00AF0ECA">
      <w:pPr>
        <w:ind w:firstLine="420"/>
      </w:pPr>
      <w:r>
        <w:separator/>
      </w:r>
    </w:p>
  </w:endnote>
  <w:endnote w:type="continuationSeparator" w:id="1">
    <w:p w:rsidR="00996CBB" w:rsidRDefault="00996CBB" w:rsidP="00AF0ECA">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D27" w:rsidRDefault="002E7D2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D27" w:rsidRDefault="002E7D27">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D27" w:rsidRDefault="002E7D27">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rPr>
        <w:rFonts w:ascii="黑体" w:eastAsia="黑体" w:hAnsi="黑体" w:cs="黑体"/>
      </w:rPr>
    </w:pPr>
    <w:r w:rsidRPr="00AF0ECA">
      <w:rPr>
        <w:rFonts w:ascii="黑体" w:eastAsia="黑体" w:hAnsi="黑体" w:cs="黑体"/>
      </w:rPr>
      <w:pict>
        <v:shapetype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158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DDc8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DDc8oBAACcAwAADgAAAAAAAAABACAAAAAeAQAAZHJzL2Uyb0Rv&#10;Yy54bWxQSwUGAAAAAAYABgBZAQAAWgUAAAAA&#10;" filled="f" stroked="f">
          <v:textbox style="mso-fit-shape-to-text:t" inset="0,0,0,0">
            <w:txbxContent>
              <w:p w:rsidR="00AF0ECA" w:rsidRDefault="00AF0ECA">
                <w:pPr>
                  <w:pStyle w:val="a5"/>
                  <w:rPr>
                    <w:rFonts w:ascii="黑体" w:eastAsia="黑体" w:hAnsi="黑体" w:cs="黑体"/>
                  </w:rPr>
                </w:pPr>
                <w:r>
                  <w:rPr>
                    <w:rFonts w:ascii="黑体" w:eastAsia="黑体" w:hAnsi="黑体" w:cs="黑体" w:hint="eastAsia"/>
                  </w:rPr>
                  <w:fldChar w:fldCharType="begin"/>
                </w:r>
                <w:r w:rsidR="00996CBB">
                  <w:rPr>
                    <w:rFonts w:ascii="黑体" w:eastAsia="黑体" w:hAnsi="黑体" w:cs="黑体" w:hint="eastAsia"/>
                  </w:rPr>
                  <w:instrText xml:space="preserve"> PAGE  \* MERGEFORMAT </w:instrText>
                </w:r>
                <w:r>
                  <w:rPr>
                    <w:rFonts w:ascii="黑体" w:eastAsia="黑体" w:hAnsi="黑体" w:cs="黑体" w:hint="eastAsia"/>
                  </w:rPr>
                  <w:fldChar w:fldCharType="separate"/>
                </w:r>
                <w:r w:rsidR="002E7D27">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rPr>
        <w:rFonts w:ascii="黑体" w:eastAsia="黑体" w:hAnsi="黑体" w:cs="黑体"/>
      </w:rPr>
    </w:pPr>
    <w:r w:rsidRPr="00AF0ECA">
      <w:rPr>
        <w:rFonts w:ascii="黑体" w:eastAsia="黑体" w:hAnsi="黑体" w:cs="黑体"/>
      </w:rPr>
      <w:pict>
        <v:shapetype id="_x0000_t202" coordsize="21600,21600" o:spt="202" path="m,l,21600r21600,l21600,xe">
          <v:stroke joinstyle="miter"/>
          <v:path gradientshapeok="t" o:connecttype="rect"/>
        </v:shapetype>
        <v:shape id="文本框 1041" o:spid="_x0000_s3084" type="#_x0000_t202" style="position:absolute;left:0;text-align:left;margin-left:0;margin-top:0;width:2in;height:2in;z-index:25165260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wtAMs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GsLQDLAQAAnAMAAA4AAAAAAAAAAQAgAAAAHgEAAGRycy9lMm9E&#10;b2MueG1sUEsFBgAAAAAGAAYAWQEAAFsFAAAAAA==&#10;" filled="f" stroked="f">
          <v:textbox style="mso-fit-shape-to-text:t" inset="0,0,0,0">
            <w:txbxContent>
              <w:p w:rsidR="00AF0ECA" w:rsidRDefault="00AF0ECA">
                <w:pPr>
                  <w:pStyle w:val="a5"/>
                  <w:rPr>
                    <w:rFonts w:ascii="黑体" w:eastAsia="黑体" w:hAnsi="黑体" w:cs="黑体"/>
                  </w:rPr>
                </w:pPr>
                <w:r>
                  <w:rPr>
                    <w:rFonts w:ascii="黑体" w:eastAsia="黑体" w:hAnsi="黑体" w:cs="黑体" w:hint="eastAsia"/>
                  </w:rPr>
                  <w:fldChar w:fldCharType="begin"/>
                </w:r>
                <w:r w:rsidR="00996CBB">
                  <w:rPr>
                    <w:rFonts w:ascii="黑体" w:eastAsia="黑体" w:hAnsi="黑体" w:cs="黑体" w:hint="eastAsia"/>
                  </w:rPr>
                  <w:instrText xml:space="preserve"> PAGE  \* MERGEF</w:instrText>
                </w:r>
                <w:r w:rsidR="00996CBB">
                  <w:rPr>
                    <w:rFonts w:ascii="黑体" w:eastAsia="黑体" w:hAnsi="黑体" w:cs="黑体" w:hint="eastAsia"/>
                  </w:rPr>
                  <w:instrText xml:space="preserve">ORMAT </w:instrText>
                </w:r>
                <w:r>
                  <w:rPr>
                    <w:rFonts w:ascii="黑体" w:eastAsia="黑体" w:hAnsi="黑体" w:cs="黑体" w:hint="eastAsia"/>
                  </w:rPr>
                  <w:fldChar w:fldCharType="separate"/>
                </w:r>
                <w:r w:rsidR="002E7D27">
                  <w:rPr>
                    <w:rFonts w:ascii="黑体" w:eastAsia="黑体" w:hAnsi="黑体" w:cs="黑体"/>
                    <w:noProof/>
                  </w:rPr>
                  <w:t>- 4 -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39" o:spid="_x0000_s3083" type="#_x0000_t202" style="position:absolute;left:0;text-align:left;margin-left:0;margin-top:0;width:2in;height:2in;z-index:25165363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Fb6coBAACcAwAADgAAAGRycy9lMm9Eb2MueG1srVNNrtMwEN4jcQfL&#10;e+q0C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Fb6coBAACcAwAADgAAAAAAAAABACAAAAAeAQAAZHJzL2Uyb0Rv&#10;Yy54bWxQSwUGAAAAAAYABgBZAQAAWgU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- 16 -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40" o:spid="_x0000_s3082" type="#_x0000_t202" style="position:absolute;left:0;text-align:left;margin-left:0;margin-top:0;width:2in;height:2in;z-index:251654656;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36fm8o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36fm8oBAACcAwAADgAAAAAAAAABACAAAAAeAQAAZHJzL2Uyb0Rv&#10;Yy54bWxQSwUGAAAAAAYABgBZAQAAWgU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- 18 -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27" o:spid="_x0000_s3081" type="#_x0000_t202" style="position:absolute;left:0;text-align:left;margin-left:0;margin-top:0;width:2in;height:2in;z-index:25165568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- 21 -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28" o:spid="_x0000_s3080" type="#_x0000_t202" style="position:absolute;left:0;text-align:left;margin-left:0;margin-top:0;width:2in;height:2in;z-index:25165670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- 23 -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29" o:spid="_x0000_s3079" type="#_x0000_t202" style="position:absolute;left:0;text-align:left;margin-left:0;margin-top:0;width:2in;height:2in;z-index:25165772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f7gKsoBAACcAwAADgAAAGRycy9lMm9Eb2MueG1srVPNjtMwEL4j8Q6W&#10;79RpD6gb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f7gKsoBAACcAwAADgAAAAAAAAABACAAAAAeAQAAZHJzL2Uyb0Rv&#10;Yy54bWxQSwUGAAAAAAYABgBZAQAAWgU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- 26 -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30" o:spid="_x0000_s3078" type="#_x0000_t202" style="position:absolute;left:0;text-align:left;margin-left:0;margin-top:0;width:2in;height:2in;z-index:25165875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U+CAckBAACd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ASVx3OLEL9+/XX78uvz8SpbV&#10;yyJRH6DGzIeAuWl44wdMz9JlP6AzMx9UtPmLnAjGEe18FVgOiYj8aL1arysMCYzNF8Rht+chQnor&#10;vSXZaGjECRZh+ek9pDF1TsnVnL/XxpQpGveXAzGzh916zFYa9sPU+N63Z+TT4/Ab6nDXKTHvHGqL&#10;/aXZiLOxn41jiPrQlUXK9SC8PiZsovSWK4ywU2GcWmE3bVheiz/vJev2V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hT4IByQEAAJ0DAAAOAAAAAAAAAAEAIAAAAB4BAABkcnMvZTJvRG9j&#10;LnhtbFBLBQYAAAAABgAGAFkBAABZBQ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- 29 -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31" o:spid="_x0000_s3077" type="#_x0000_t202" style="position:absolute;left:0;text-align:left;margin-left:0;margin-top:0;width:2in;height:2in;z-index:251659776;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tCGbfLAQAAnQMAAA4AAAAAAAAAAQAgAAAAHgEAAGRycy9lMm9E&#10;b2MueG1sUEsFBgAAAAAGAAYAWQEAAFsFA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- 31 -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32" o:spid="_x0000_s3076" type="#_x0000_t202" style="position:absolute;left:0;text-align:left;margin-left:0;margin-top:0;width:2in;height:2in;z-index:25166080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LFt8sBAACdAwAADgAAAGRycy9lMm9Eb2MueG1srVNLbtswEN0XyB0I&#10;7mPKKlA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BjehpMRygxM/f/92/vHr/PMr&#10;WRZvyyRR76HCzCePuXG4cwOmz35AZ2I+tMGkL3IiGEeBTxeB5RCJSI9W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RSxbfLAQAAnQMAAA4AAAAAAAAAAQAgAAAAHgEAAGRycy9lMm9E&#10;b2MueG1sUEsFBgAAAAAGAAYAWQEAAFsFA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- 34 -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33" o:spid="_x0000_s3075" type="#_x0000_t202" style="position:absolute;left:0;text-align:left;margin-left:0;margin-top:0;width:2in;height:2in;z-index:25166182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9eAcsBAACdAwAADgAAAGRycy9lMm9Eb2MueG1srVNLjtswDN0XmDsI&#10;2k/kJEA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Jq3IQlJZYbnPj596/zn3/nvz/J&#10;vFgu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5fXgHLAQAAnQMAAA4AAAAAAAAAAQAgAAAAHgEAAGRycy9lMm9E&#10;b2MueG1sUEsFBgAAAAAGAAYAWQEAAFsFA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- 35 -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34" o:spid="_x0000_s3074" type="#_x0000_t202" style="position:absolute;left:0;text-align:left;margin-left:0;margin-top:0;width:2in;height:2in;z-index:25166284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J9tssBAACdAwAADgAAAGRycy9lMm9Eb2MueG1srVPNjtMwEL4j8Q6W&#10;79RpWa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pyfbbLAQAAnQMAAA4AAAAAAAAAAQAgAAAAHgEAAGRycy9lMm9E&#10;b2MueG1sUEsFBgAAAAAGAAYAWQEAAFsFA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- 37 -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5"/>
      <w:jc w:val="center"/>
    </w:pPr>
    <w:r w:rsidRPr="00AF0ECA">
      <w:pict>
        <v:shapetype id="_x0000_t202" coordsize="21600,21600" o:spt="202" path="m,l,21600r21600,l21600,xe">
          <v:stroke joinstyle="miter"/>
          <v:path gradientshapeok="t" o:connecttype="rect"/>
        </v:shapetype>
        <v:shape id="文本框 1038" o:spid="_x0000_s3073" type="#_x0000_t202" style="position:absolute;left:0;text-align:left;margin-left:0;margin-top:0;width:2in;height:2in;z-index:25166387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NBmKszAEAAJ0DAAAOAAAAAAAAAAEAIAAAAB4BAABkcnMvZTJv&#10;RG9jLnhtbFBLBQYAAAAABgAGAFkBAABcBQAAAAA=&#10;" filled="f" stroked="f">
          <v:textbox style="mso-fit-shape-to-text:t" inset="0,0,0,0">
            <w:txbxContent>
              <w:p w:rsidR="00AF0ECA" w:rsidRDefault="00AF0ECA">
                <w:pPr>
                  <w:pStyle w:val="a5"/>
                </w:pPr>
                <w:r>
                  <w:rPr>
                    <w:rFonts w:hint="eastAsia"/>
                  </w:rPr>
                  <w:fldChar w:fldCharType="begin"/>
                </w:r>
                <w:r w:rsidR="00996CBB">
                  <w:rPr>
                    <w:rFonts w:hint="eastAsia"/>
                  </w:rPr>
                  <w:instrText xml:space="preserve"> PAGE  \* MERGEFORMAT </w:instrText>
                </w:r>
                <w:r>
                  <w:rPr>
                    <w:rFonts w:hint="eastAsia"/>
                  </w:rPr>
                  <w:fldChar w:fldCharType="separate"/>
                </w:r>
                <w:r w:rsidR="002E7D27">
                  <w:rPr>
                    <w:noProof/>
                  </w:rPr>
                  <w:t>- 60 -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6CBB" w:rsidRDefault="00996CBB">
      <w:r>
        <w:separator/>
      </w:r>
    </w:p>
  </w:footnote>
  <w:footnote w:type="continuationSeparator" w:id="1">
    <w:p w:rsidR="00996CBB" w:rsidRDefault="00996C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D27" w:rsidRDefault="002E7D27">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996CBB">
    <w:pPr>
      <w:pStyle w:val="a6"/>
      <w:pBdr>
        <w:bottom w:val="single" w:sz="4" w:space="1" w:color="000000"/>
      </w:pBdr>
      <w:jc w:val="both"/>
      <w:rPr>
        <w:lang w:val="en-US"/>
      </w:rPr>
    </w:pPr>
    <w:r>
      <w:rPr>
        <w:rFonts w:hint="eastAsia"/>
        <w:lang w:val="en-US"/>
      </w:rPr>
      <w:t>常州市工业和信息化局</w:t>
    </w:r>
    <w:r>
      <w:t>2022</w:t>
    </w:r>
    <w:r>
      <w:t>年度部门决算公开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0ECA" w:rsidRDefault="00AF0ECA">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0"/>
  <w:autoHyphenation/>
  <w:noPunctuationKerning/>
  <w:characterSpacingControl w:val="doNotCompress"/>
  <w:hdrShapeDefaults>
    <o:shapedefaults v:ext="edit" spidmax="6146"/>
    <o:shapelayout v:ext="edit">
      <o:idmap v:ext="edit" data="1,3"/>
    </o:shapelayout>
  </w:hdrShapeDefaults>
  <w:footnotePr>
    <w:footnote w:id="0"/>
    <w:footnote w:id="1"/>
  </w:footnotePr>
  <w:endnotePr>
    <w:endnote w:id="0"/>
    <w:endnote w:id="1"/>
  </w:endnotePr>
  <w:compat>
    <w:doNotExpandShiftReturn/>
    <w:useFELayout/>
  </w:compat>
  <w:docVars>
    <w:docVar w:name="commondata" w:val="eyJoZGlkIjoiMGUwNWYwNGFmYzNiMTMwMzI4MzFhMzI2ZWRjOTFjMmMifQ=="/>
  </w:docVars>
  <w:rsids>
    <w:rsidRoot w:val="00AF0ECA"/>
    <w:rsid w:val="DBEED555"/>
    <w:rsid w:val="00064984"/>
    <w:rsid w:val="00071789"/>
    <w:rsid w:val="000C024B"/>
    <w:rsid w:val="000F12AB"/>
    <w:rsid w:val="001C31F9"/>
    <w:rsid w:val="002E63B1"/>
    <w:rsid w:val="002E7D27"/>
    <w:rsid w:val="00407CA7"/>
    <w:rsid w:val="00413AD8"/>
    <w:rsid w:val="004C0647"/>
    <w:rsid w:val="00671ED7"/>
    <w:rsid w:val="00672164"/>
    <w:rsid w:val="006732F1"/>
    <w:rsid w:val="007C0F2D"/>
    <w:rsid w:val="008322BB"/>
    <w:rsid w:val="00867423"/>
    <w:rsid w:val="008B5B05"/>
    <w:rsid w:val="009965EA"/>
    <w:rsid w:val="00996CBB"/>
    <w:rsid w:val="00A6752E"/>
    <w:rsid w:val="00AF0ECA"/>
    <w:rsid w:val="00B92181"/>
    <w:rsid w:val="00BD7F33"/>
    <w:rsid w:val="00C15920"/>
    <w:rsid w:val="00C82582"/>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252C7"/>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112F8"/>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345F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386236"/>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9B3721"/>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35B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00E6E"/>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5E5CA6"/>
    <w:rsid w:val="6E7C11B5"/>
    <w:rsid w:val="6E7C32EF"/>
    <w:rsid w:val="6E7F556F"/>
    <w:rsid w:val="6E997C25"/>
    <w:rsid w:val="6E9F07E1"/>
    <w:rsid w:val="6EA14A30"/>
    <w:rsid w:val="6EA42846"/>
    <w:rsid w:val="6EB6105A"/>
    <w:rsid w:val="6EBA00D3"/>
    <w:rsid w:val="6EBD1212"/>
    <w:rsid w:val="6EC629FF"/>
    <w:rsid w:val="6EC7282F"/>
    <w:rsid w:val="6EC922AC"/>
    <w:rsid w:val="6ED21161"/>
    <w:rsid w:val="6F04413C"/>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AF0ECA"/>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AF0ECA"/>
    <w:pPr>
      <w:ind w:left="-40"/>
      <w:outlineLvl w:val="0"/>
    </w:pPr>
    <w:rPr>
      <w:sz w:val="52"/>
      <w:szCs w:val="52"/>
    </w:rPr>
  </w:style>
  <w:style w:type="paragraph" w:styleId="2">
    <w:name w:val="heading 2"/>
    <w:basedOn w:val="a"/>
    <w:next w:val="a"/>
    <w:uiPriority w:val="1"/>
    <w:qFormat/>
    <w:rsid w:val="00AF0ECA"/>
    <w:pPr>
      <w:ind w:right="18"/>
      <w:jc w:val="center"/>
      <w:outlineLvl w:val="1"/>
    </w:pPr>
    <w:rPr>
      <w:sz w:val="44"/>
      <w:szCs w:val="44"/>
    </w:rPr>
  </w:style>
  <w:style w:type="paragraph" w:styleId="3">
    <w:name w:val="heading 3"/>
    <w:basedOn w:val="a"/>
    <w:next w:val="a"/>
    <w:uiPriority w:val="1"/>
    <w:qFormat/>
    <w:rsid w:val="00AF0ECA"/>
    <w:pPr>
      <w:ind w:left="1"/>
      <w:jc w:val="center"/>
      <w:outlineLvl w:val="2"/>
    </w:pPr>
    <w:rPr>
      <w:sz w:val="40"/>
      <w:szCs w:val="40"/>
    </w:rPr>
  </w:style>
  <w:style w:type="paragraph" w:styleId="4">
    <w:name w:val="heading 4"/>
    <w:basedOn w:val="a"/>
    <w:next w:val="a"/>
    <w:uiPriority w:val="1"/>
    <w:qFormat/>
    <w:rsid w:val="00AF0ECA"/>
    <w:pPr>
      <w:jc w:val="center"/>
      <w:outlineLvl w:val="3"/>
    </w:pPr>
    <w:rPr>
      <w:sz w:val="36"/>
      <w:szCs w:val="36"/>
    </w:rPr>
  </w:style>
  <w:style w:type="paragraph" w:styleId="5">
    <w:name w:val="heading 5"/>
    <w:basedOn w:val="a"/>
    <w:next w:val="a"/>
    <w:uiPriority w:val="1"/>
    <w:qFormat/>
    <w:rsid w:val="00AF0ECA"/>
    <w:pPr>
      <w:ind w:left="112"/>
      <w:outlineLvl w:val="4"/>
    </w:pPr>
    <w:rPr>
      <w:sz w:val="33"/>
      <w:szCs w:val="33"/>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AF0ECA"/>
    <w:pPr>
      <w:suppressLineNumbers/>
      <w:spacing w:before="120" w:after="120"/>
    </w:pPr>
    <w:rPr>
      <w:i/>
      <w:iCs/>
      <w:sz w:val="24"/>
      <w:szCs w:val="24"/>
    </w:rPr>
  </w:style>
  <w:style w:type="paragraph" w:styleId="a4">
    <w:name w:val="Body Text"/>
    <w:basedOn w:val="a"/>
    <w:uiPriority w:val="1"/>
    <w:qFormat/>
    <w:rsid w:val="00AF0ECA"/>
    <w:rPr>
      <w:sz w:val="32"/>
      <w:szCs w:val="32"/>
    </w:rPr>
  </w:style>
  <w:style w:type="paragraph" w:styleId="a5">
    <w:name w:val="footer"/>
    <w:basedOn w:val="a"/>
    <w:qFormat/>
    <w:rsid w:val="00AF0ECA"/>
    <w:pPr>
      <w:tabs>
        <w:tab w:val="center" w:pos="4153"/>
        <w:tab w:val="right" w:pos="8306"/>
      </w:tabs>
      <w:snapToGrid w:val="0"/>
    </w:pPr>
    <w:rPr>
      <w:sz w:val="18"/>
      <w:szCs w:val="18"/>
    </w:rPr>
  </w:style>
  <w:style w:type="paragraph" w:styleId="a6">
    <w:name w:val="header"/>
    <w:basedOn w:val="a"/>
    <w:qFormat/>
    <w:rsid w:val="00AF0ECA"/>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AF0ECA"/>
  </w:style>
  <w:style w:type="table" w:styleId="a8">
    <w:name w:val="Table Grid"/>
    <w:basedOn w:val="a1"/>
    <w:qFormat/>
    <w:rsid w:val="00AF0EC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AF0ECA"/>
  </w:style>
  <w:style w:type="character" w:customStyle="1" w:styleId="aa">
    <w:name w:val="页眉 字符"/>
    <w:basedOn w:val="a0"/>
    <w:qFormat/>
    <w:rsid w:val="00AF0ECA"/>
    <w:rPr>
      <w:rFonts w:ascii="Arial Unicode MS" w:eastAsia="Arial Unicode MS" w:hAnsi="Arial Unicode MS" w:cs="Arial Unicode MS"/>
      <w:sz w:val="18"/>
      <w:szCs w:val="18"/>
      <w:lang w:val="zh-CN" w:bidi="zh-CN"/>
    </w:rPr>
  </w:style>
  <w:style w:type="character" w:customStyle="1" w:styleId="ab">
    <w:name w:val="页脚 字符"/>
    <w:basedOn w:val="a0"/>
    <w:qFormat/>
    <w:rsid w:val="00AF0ECA"/>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AF0ECA"/>
    <w:pPr>
      <w:keepNext/>
      <w:spacing w:before="240" w:after="120"/>
    </w:pPr>
    <w:rPr>
      <w:rFonts w:ascii="Liberation Sans" w:hAnsi="Liberation Sans"/>
      <w:sz w:val="28"/>
      <w:szCs w:val="28"/>
    </w:rPr>
  </w:style>
  <w:style w:type="paragraph" w:customStyle="1" w:styleId="ad">
    <w:name w:val="索引"/>
    <w:basedOn w:val="a"/>
    <w:qFormat/>
    <w:rsid w:val="00AF0ECA"/>
    <w:pPr>
      <w:suppressLineNumbers/>
    </w:pPr>
  </w:style>
  <w:style w:type="paragraph" w:customStyle="1" w:styleId="ae">
    <w:name w:val="页眉与页脚"/>
    <w:basedOn w:val="a"/>
    <w:qFormat/>
    <w:rsid w:val="00AF0ECA"/>
  </w:style>
  <w:style w:type="paragraph" w:customStyle="1" w:styleId="10">
    <w:name w:val="列出段落1"/>
    <w:basedOn w:val="a"/>
    <w:uiPriority w:val="1"/>
    <w:qFormat/>
    <w:rsid w:val="00AF0ECA"/>
    <w:pPr>
      <w:ind w:left="2039" w:hanging="782"/>
    </w:pPr>
  </w:style>
  <w:style w:type="paragraph" w:customStyle="1" w:styleId="TableParagraph">
    <w:name w:val="Table Paragraph"/>
    <w:basedOn w:val="a"/>
    <w:uiPriority w:val="1"/>
    <w:qFormat/>
    <w:rsid w:val="00AF0ECA"/>
    <w:rPr>
      <w:rFonts w:ascii="宋体" w:eastAsia="宋体" w:hAnsi="宋体" w:cs="宋体"/>
    </w:rPr>
  </w:style>
  <w:style w:type="paragraph" w:customStyle="1" w:styleId="af">
    <w:name w:val="表格内容"/>
    <w:basedOn w:val="a"/>
    <w:qFormat/>
    <w:rsid w:val="00AF0ECA"/>
    <w:pPr>
      <w:suppressLineNumbers/>
    </w:pPr>
  </w:style>
  <w:style w:type="paragraph" w:customStyle="1" w:styleId="af0">
    <w:name w:val="表格标题"/>
    <w:basedOn w:val="af"/>
    <w:qFormat/>
    <w:rsid w:val="00AF0ECA"/>
    <w:pPr>
      <w:jc w:val="center"/>
    </w:pPr>
    <w:rPr>
      <w:b/>
      <w:bCs/>
    </w:rPr>
  </w:style>
  <w:style w:type="paragraph" w:customStyle="1" w:styleId="af1">
    <w:name w:val="预格式化的文本"/>
    <w:basedOn w:val="a"/>
    <w:qFormat/>
    <w:rsid w:val="00AF0ECA"/>
    <w:rPr>
      <w:rFonts w:ascii="Liberation Mono" w:eastAsia="新宋体" w:hAnsi="Liberation Mono" w:cs="Liberation Mono"/>
      <w:sz w:val="20"/>
      <w:szCs w:val="20"/>
    </w:rPr>
  </w:style>
  <w:style w:type="table" w:customStyle="1" w:styleId="TableNormal">
    <w:name w:val="Table Normal"/>
    <w:uiPriority w:val="2"/>
    <w:unhideWhenUsed/>
    <w:qFormat/>
    <w:rsid w:val="00AF0ECA"/>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5083</Words>
  <Characters>28976</Characters>
  <Application>Microsoft Office Word</Application>
  <DocSecurity>0</DocSecurity>
  <Lines>241</Lines>
  <Paragraphs>67</Paragraphs>
  <ScaleCrop>false</ScaleCrop>
  <Company/>
  <LinksUpToDate>false</LinksUpToDate>
  <CharactersWithSpaces>33992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a</cp:lastModifiedBy>
  <cp:revision>176</cp:revision>
  <dcterms:created xsi:type="dcterms:W3CDTF">2021-04-16T03:22:00Z</dcterms:created>
  <dcterms:modified xsi:type="dcterms:W3CDTF">2023-07-27T08:35:00Z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F1BE89CD28084DEA97AA32AAB40B9EA3_13</vt:lpwstr>
  </property>
  <property fmtid="{D5CDD505-2E9C-101B-9397-08002B2CF9AE}" pid="5" name="KSOProductBuildVer">
    <vt:lpwstr>2052-11.1.0.14309</vt:lpwstr>
  </property>
  <property fmtid="{D5CDD505-2E9C-101B-9397-08002B2CF9AE}" pid="6" name="LastSaved">
    <vt:filetime>2021-04-15T00:00:00Z</vt:filetime>
  </property>
</Properties>
</file>