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sz w:val="44"/>
          <w:szCs w:val="44"/>
        </w:rPr>
        <w:t>关于常州市公共汽车客运专项规划（2023—2035年）的</w:t>
      </w:r>
      <w:r>
        <w:rPr>
          <w:rFonts w:hint="eastAsia" w:ascii="方正小标宋_GBK" w:hAnsi="方正小标宋_GBK" w:eastAsia="方正小标宋_GBK" w:cs="仿宋_GB2312"/>
          <w:sz w:val="44"/>
          <w:szCs w:val="44"/>
        </w:rPr>
        <w:t>起草说明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现将《常州市公共汽车客运专项规划（2023—2035年）》</w:t>
      </w:r>
      <w:r>
        <w:rPr>
          <w:rFonts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有关</w:t>
      </w:r>
      <w:r>
        <w:rPr>
          <w:rFonts w:ascii="Times New Roman" w:hAnsi="Times New Roman" w:eastAsia="方正仿宋简体" w:cs="Times New Roman"/>
          <w:sz w:val="32"/>
          <w:szCs w:val="32"/>
        </w:rPr>
        <w:t>情况说明如下：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一</w:t>
      </w:r>
      <w:r>
        <w:rPr>
          <w:rFonts w:ascii="Times New Roman" w:hAnsi="Times New Roman" w:eastAsia="方正黑体简体" w:cs="Times New Roman"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制定</w:t>
      </w:r>
      <w:r>
        <w:rPr>
          <w:rFonts w:ascii="Times New Roman" w:hAnsi="Times New Roman" w:eastAsia="方正黑体简体" w:cs="Times New Roman"/>
          <w:sz w:val="32"/>
          <w:szCs w:val="32"/>
        </w:rPr>
        <w:t>文件的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必要性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（一）公交优先发展是城市交通发展的主旋律，公共汽车客运专项规划是推进公交优先发展政策落实的重要抓手。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2019年9月中共中央、国务院印发的《交通强国建设纲要》提出“加强城市交通拥堵综合治理，优先发展城市公共交通，鼓励引导绿色公交出行，合理引导个体机动化出行”，进一步明确了优先发展公共交通的战略。我市2</w:t>
      </w:r>
      <w:r>
        <w:rPr>
          <w:rFonts w:ascii="Times New Roman" w:hAnsi="Times New Roman" w:eastAsia="方正仿宋简体" w:cs="Times New Roman"/>
          <w:sz w:val="32"/>
          <w:szCs w:val="32"/>
        </w:rPr>
        <w:t>022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年顺利</w:t>
      </w:r>
      <w:r>
        <w:rPr>
          <w:rFonts w:ascii="Times New Roman" w:hAnsi="Times New Roman" w:eastAsia="方正仿宋简体" w:cs="Times New Roman"/>
          <w:sz w:val="32"/>
          <w:szCs w:val="32"/>
        </w:rPr>
        <w:t>完成国家公交都市和国家绿色出行城市创建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，具有较好的公交发展基础，但也面临城市发展重心转移、交通出行格局变化、地块服务需求新增、公交设施用地落实等因素和问题，迫切需要启动公共汽车客运专项规划的编制。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（二）“十四五”是新一轮“强富美高”新常州建设的关键期，亟需研究城市发展新方向的公交应对措施。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“十四五”时期是我市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开启全面建设社会主义现代化国家新征程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的起步期，是推动高质量发展、建设“强富美高”新常州的关键阶段，我市提出了打造新能源之都，冲刺“万亿之城”，打造</w:t>
      </w:r>
      <w:r>
        <w:rPr>
          <w:rFonts w:ascii="Times New Roman" w:hAnsi="Times New Roman" w:eastAsia="方正仿宋简体" w:cs="Times New Roman"/>
          <w:sz w:val="32"/>
          <w:szCs w:val="32"/>
        </w:rPr>
        <w:t>“儿童友好城市”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等一系列城市发展新目标，并要重点开展“两湖创新区”的建设。公共汽车客运作为一项基础民生工程，迫切的需要开展专项研究，应及时响应新的城市发展形势和居民出行需求。同时国土空间规划正在编制过程中，各类重点领域专项规划均在同步筹划，此时开展公共汽车客运专项规划的编制，与国土空间规划相互反馈，对公共交通系统的长远发展具有重要意义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（三）新时代出行生态的转变要求公共汽车客运开展服务升级研究。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随着经济水平的提升，私人机动化发展迅猛，居民出行意愿、出行方式和出行品质要求等均发生明显改变，地面公交客流持续下降已成为全行业发展面临的共性问题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。需要开展专项规划研究，打破传统观念，将多种公交出行方式进行整体统筹考虑，通过组合效应提升竞争力。同时转变公共汽车客运发展思路，研究如何集约化利用资源以实现效益最大化，支撑公共汽车客运健康、可持续发展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二、起草依据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sz w:val="32"/>
          <w:szCs w:val="32"/>
        </w:rPr>
        <w:t>019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3月正式实施的《常州市公共汽车客运条例》中第二章第八条提出，“市、辖市交通运输行政主管部门应当会同规划、城乡建设、公安和城市管理等部门组织编制公共汽车客运专项规划，报同级人民政府批准后组织实施。”响应本项要求，开展本次《常州市公共汽车客运专项规划（2023—2035年）》（以下简称《规划》）研究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sz w:val="32"/>
          <w:szCs w:val="32"/>
        </w:rPr>
        <w:t>、起草过程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我局从20</w:t>
      </w:r>
      <w:r>
        <w:rPr>
          <w:rFonts w:ascii="Times New Roman" w:hAnsi="Times New Roman" w:eastAsia="方正仿宋简体" w:cs="Times New Roman"/>
          <w:sz w:val="32"/>
          <w:szCs w:val="32"/>
        </w:rPr>
        <w:t>22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开始着手《规划》的起草工作。在《规划》的起草过程中，先后与市直相关部门、各区相关部门以及市公交运营企业进行座谈，开展资料收集，数据分析等工作，并与市、区国土空间总体规划、市“十四五”综合交通规划、市轨道交通规划等进行动态衔接更新；重点研究公交线网优化、公交场站设施规模及布局、公交出行多网融合等方面内容，并对两湖创新区的公共汽车客运服务开展专题研究，不断完善规划方案。在各相关部门的大力配合下，最终形成了本《规划》。</w:t>
      </w:r>
    </w:p>
    <w:p>
      <w:pPr>
        <w:spacing w:line="560" w:lineRule="exact"/>
        <w:ind w:firstLine="640" w:firstLineChars="200"/>
        <w:outlineLvl w:val="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四</w:t>
      </w:r>
      <w:r>
        <w:rPr>
          <w:rFonts w:ascii="Times New Roman" w:hAnsi="Times New Roman" w:eastAsia="方正黑体简体" w:cs="Times New Roman"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sz w:val="32"/>
          <w:szCs w:val="32"/>
        </w:rPr>
        <w:t>主要内容</w:t>
      </w:r>
    </w:p>
    <w:p>
      <w:pPr>
        <w:pStyle w:val="3"/>
        <w:spacing w:before="0" w:after="0" w:line="560" w:lineRule="exact"/>
        <w:ind w:firstLine="640" w:firstLineChars="200"/>
        <w:rPr>
          <w:rFonts w:ascii="Times New Roman" w:hAnsi="Times New Roman" w:eastAsia="方正楷体简体"/>
        </w:rPr>
      </w:pPr>
      <w:r>
        <w:rPr>
          <w:rFonts w:hint="eastAsia" w:ascii="Times New Roman" w:hAnsi="Times New Roman" w:eastAsia="方正楷体简体"/>
        </w:rPr>
        <w:t>（一）规划范围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重点规划范围为常州城市中心区范围。一般规划范围为常州市区范围</w:t>
      </w:r>
      <w:r>
        <w:rPr>
          <w:rStyle w:val="10"/>
          <w:rFonts w:ascii="Times New Roman" w:hAnsi="Times New Roman" w:eastAsia="方正仿宋简体" w:cs="Times New Roman"/>
          <w:sz w:val="32"/>
          <w:szCs w:val="32"/>
        </w:rPr>
        <w:footnoteReference w:id="0"/>
      </w:r>
    </w:p>
    <w:p>
      <w:pPr>
        <w:pStyle w:val="3"/>
        <w:spacing w:before="0" w:after="0" w:line="560" w:lineRule="exact"/>
        <w:ind w:firstLine="640" w:firstLineChars="200"/>
        <w:rPr>
          <w:rFonts w:ascii="Times New Roman" w:hAnsi="Times New Roman" w:eastAsia="方正楷体简体"/>
        </w:rPr>
      </w:pPr>
      <w:r>
        <w:rPr>
          <w:rFonts w:hint="eastAsia" w:ascii="Times New Roman" w:hAnsi="Times New Roman" w:eastAsia="方正楷体简体"/>
        </w:rPr>
        <w:t>（二）规划期限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规划基年为2</w:t>
      </w:r>
      <w:r>
        <w:rPr>
          <w:rFonts w:ascii="Times New Roman" w:hAnsi="Times New Roman" w:eastAsia="方正仿宋简体" w:cs="Times New Roman"/>
          <w:sz w:val="32"/>
          <w:szCs w:val="32"/>
        </w:rPr>
        <w:t>022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年，近期规划期限至202</w:t>
      </w:r>
      <w:r>
        <w:rPr>
          <w:rFonts w:ascii="Times New Roman" w:hAnsi="Times New Roman" w:eastAsia="方正仿宋简体" w:cs="Times New Roman"/>
          <w:sz w:val="32"/>
          <w:szCs w:val="32"/>
        </w:rPr>
        <w:t>7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年，远期规划期限至2035年</w:t>
      </w:r>
      <w:r>
        <w:rPr>
          <w:rFonts w:ascii="Times New Roman" w:hAnsi="Times New Roman" w:eastAsia="方正仿宋简体" w:cs="Times New Roman"/>
          <w:sz w:val="32"/>
          <w:szCs w:val="32"/>
        </w:rPr>
        <w:t>，与《常州市国土空间总体规划（2020-2035）》保持一致。</w:t>
      </w:r>
    </w:p>
    <w:p>
      <w:pPr>
        <w:pStyle w:val="3"/>
        <w:spacing w:before="0" w:after="0" w:line="560" w:lineRule="exact"/>
        <w:ind w:firstLine="640" w:firstLineChars="200"/>
        <w:rPr>
          <w:rFonts w:ascii="Times New Roman" w:hAnsi="Times New Roman" w:eastAsia="方正楷体简体"/>
        </w:rPr>
      </w:pPr>
      <w:r>
        <w:rPr>
          <w:rFonts w:hint="eastAsia" w:ascii="Times New Roman" w:hAnsi="Times New Roman" w:eastAsia="方正楷体简体"/>
        </w:rPr>
        <w:t>（三）规划内容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一是线网运营服务提升规划。根据公共交通发展需求分析和客流预测结果，基于城市与交通发展特征与趋势，</w:t>
      </w:r>
      <w:r>
        <w:rPr>
          <w:rFonts w:ascii="Times New Roman" w:hAnsi="Times New Roman" w:eastAsia="方正仿宋简体" w:cs="Times New Roman"/>
          <w:sz w:val="32"/>
          <w:szCs w:val="32"/>
        </w:rPr>
        <w:t>秉承“线网瘦身、提质增效”理念，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提出形成</w:t>
      </w:r>
      <w:r>
        <w:rPr>
          <w:rFonts w:ascii="Times New Roman" w:hAnsi="Times New Roman" w:eastAsia="方正仿宋简体" w:cs="Times New Roman"/>
          <w:sz w:val="32"/>
          <w:szCs w:val="32"/>
        </w:rPr>
        <w:t>“高频—普通—辅助—特殊”四级全域公交网络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，研究线网优化方案和特色公交服务方案，提出科学的运力配置方案，保障整体线网运营高效。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二是基础设施配套完善规划。结合公共交通发展需求预测、枢纽布局和线路运力配置等情况，确定公共交通场站的功能、选址、设计能力、用地规模和建设要求等内容。加强公交专用道网络规划，增强公交优先空间保障能力。同步探索智能调度平台、公交电子站牌等智能公交服务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三是公交多网融合发展规划。以推进轨道、地面公交、公共自行车等公交出行方式融合发展，通过组合效应提升公交竞争力为发展思路，对各方式间的线网错位协同发展、换乘接驳设施的布局等开展研究。并探索通过换乘优惠、信息查询发布一体化等方式鼓励民众开展出行换乘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四是两湖核心发展服务规划。</w:t>
      </w:r>
      <w:r>
        <w:rPr>
          <w:rFonts w:ascii="Times New Roman" w:hAnsi="Times New Roman" w:eastAsia="方正仿宋简体" w:cs="Times New Roman"/>
          <w:sz w:val="32"/>
          <w:szCs w:val="32"/>
        </w:rPr>
        <w:t>结合两湖创新区公交客流特征与需求分析，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开展公共汽车客运服务的专题研究，并以科技赋能为导向，研究新型公交服务。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sectPr>
      <w:footerReference r:id="rId4" w:type="default"/>
      <w:pgSz w:w="11906" w:h="16838"/>
      <w:pgMar w:top="1701" w:right="1531" w:bottom="1701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24F2F9-05AD-4DD6-A2D1-AF53D3B8B5E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EF2B0BD-DFEE-4897-8E86-20023CDD14B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AEFB756-3F01-4182-B02A-C2DF5570BDA0}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4" w:fontKey="{A9333CD3-DD77-47FF-92F5-6499997F77DA}"/>
  </w:font>
  <w:font w:name="方正黑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5" w:fontKey="{43ECC410-3CEB-4388-A592-72CD7A4E1793}"/>
  </w:font>
  <w:font w:name="方正楷体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6" w:fontKey="{EA3D6489-3AB5-4634-AFA5-8B7E52751D68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215514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6"/>
      </w:pPr>
      <w:r>
        <w:rPr>
          <w:rStyle w:val="10"/>
        </w:rPr>
        <w:footnoteRef/>
      </w:r>
      <w:r>
        <w:t xml:space="preserve"> </w:t>
      </w:r>
      <w:r>
        <w:rPr>
          <w:rFonts w:hint="eastAsia"/>
        </w:rPr>
        <w:t>常金之间重点研究接驳服务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A5NWQ2OTU1OGVjMGY1ODg1NzM3NDc2ZDYxMjhkZTIifQ=="/>
  </w:docVars>
  <w:rsids>
    <w:rsidRoot w:val="004F5B25"/>
    <w:rsid w:val="000405EF"/>
    <w:rsid w:val="00056C70"/>
    <w:rsid w:val="000F4C80"/>
    <w:rsid w:val="00116990"/>
    <w:rsid w:val="0016632E"/>
    <w:rsid w:val="00172DDD"/>
    <w:rsid w:val="001805F0"/>
    <w:rsid w:val="001E409A"/>
    <w:rsid w:val="001F3335"/>
    <w:rsid w:val="0022487D"/>
    <w:rsid w:val="00287939"/>
    <w:rsid w:val="002E594F"/>
    <w:rsid w:val="00400935"/>
    <w:rsid w:val="00406886"/>
    <w:rsid w:val="00445A45"/>
    <w:rsid w:val="004934B9"/>
    <w:rsid w:val="004F5B25"/>
    <w:rsid w:val="00617CAA"/>
    <w:rsid w:val="0067177B"/>
    <w:rsid w:val="006E00C2"/>
    <w:rsid w:val="00723DA5"/>
    <w:rsid w:val="0078031D"/>
    <w:rsid w:val="00866B86"/>
    <w:rsid w:val="008B2D3D"/>
    <w:rsid w:val="00923E6A"/>
    <w:rsid w:val="00952087"/>
    <w:rsid w:val="00A326BF"/>
    <w:rsid w:val="00B151BD"/>
    <w:rsid w:val="00B31E1D"/>
    <w:rsid w:val="00BE3B64"/>
    <w:rsid w:val="00C577BB"/>
    <w:rsid w:val="00C93851"/>
    <w:rsid w:val="00D5295B"/>
    <w:rsid w:val="00DB6CBF"/>
    <w:rsid w:val="00DC279B"/>
    <w:rsid w:val="00DE0732"/>
    <w:rsid w:val="00E53C05"/>
    <w:rsid w:val="00E9015A"/>
    <w:rsid w:val="00F87516"/>
    <w:rsid w:val="00FF3075"/>
    <w:rsid w:val="3E471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7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Title"/>
    <w:basedOn w:val="1"/>
    <w:next w:val="1"/>
    <w:link w:val="11"/>
    <w:qFormat/>
    <w:uiPriority w:val="10"/>
    <w:pPr>
      <w:jc w:val="center"/>
      <w:outlineLvl w:val="0"/>
    </w:pPr>
    <w:rPr>
      <w:rFonts w:eastAsia="方正小标宋简体" w:asciiTheme="majorHAnsi" w:hAnsiTheme="majorHAnsi" w:cstheme="majorBidi"/>
      <w:bCs/>
      <w:sz w:val="44"/>
    </w:rPr>
  </w:style>
  <w:style w:type="character" w:styleId="10">
    <w:name w:val="footnote reference"/>
    <w:basedOn w:val="9"/>
    <w:unhideWhenUsed/>
    <w:qFormat/>
    <w:uiPriority w:val="99"/>
    <w:rPr>
      <w:vertAlign w:val="superscript"/>
    </w:rPr>
  </w:style>
  <w:style w:type="character" w:customStyle="1" w:styleId="11">
    <w:name w:val="标题 Char"/>
    <w:basedOn w:val="9"/>
    <w:link w:val="7"/>
    <w:uiPriority w:val="10"/>
    <w:rPr>
      <w:rFonts w:eastAsia="方正小标宋简体" w:asciiTheme="majorHAnsi" w:hAnsiTheme="majorHAnsi" w:cstheme="majorBidi"/>
      <w:bCs/>
      <w:sz w:val="44"/>
      <w:szCs w:val="32"/>
    </w:rPr>
  </w:style>
  <w:style w:type="character" w:customStyle="1" w:styleId="12">
    <w:name w:val="标题 1 Char"/>
    <w:basedOn w:val="9"/>
    <w:link w:val="2"/>
    <w:uiPriority w:val="9"/>
    <w:rPr>
      <w:rFonts w:eastAsia="黑体"/>
      <w:bCs/>
      <w:kern w:val="44"/>
      <w:sz w:val="32"/>
      <w:szCs w:val="44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页眉 Char"/>
    <w:basedOn w:val="9"/>
    <w:link w:val="5"/>
    <w:uiPriority w:val="99"/>
    <w:rPr>
      <w:sz w:val="18"/>
      <w:szCs w:val="18"/>
    </w:rPr>
  </w:style>
  <w:style w:type="character" w:customStyle="1" w:styleId="15">
    <w:name w:val="标题 2 字符"/>
    <w:basedOn w:val="9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脚注文本 Char"/>
    <w:basedOn w:val="9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1741</Words>
  <Characters>1788</Characters>
  <Lines>12</Lines>
  <Paragraphs>3</Paragraphs>
  <TotalTime>130</TotalTime>
  <ScaleCrop>false</ScaleCrop>
  <LinksUpToDate>false</LinksUpToDate>
  <CharactersWithSpaces>1788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2023-06-02T07:52:00Z</dcterms:created>
  <dc:creator>user</dc:creator>
  <cp:lastModifiedBy>未遂</cp:lastModifiedBy>
  <cp:lastPrinted>2023-06-02T10:20:00Z</cp:lastPrinted>
  <dcterms:modified xsi:type="dcterms:W3CDTF">2023-08-01T06:31:20Z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BE79CEB729624D16A3EDDA8C08B35669_12</vt:lpwstr>
  </property>
</Properties>
</file>