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hd w:val="clear" w:color="auto" w:fill="FFFFFF"/>
        <w:spacing w:before="0" w:beforeAutospacing="0" w:after="0" w:afterAutospacing="0" w:line="560" w:lineRule="exact"/>
        <w:rPr>
          <w:rFonts w:ascii="黑体" w:hAnsi="黑体" w:eastAsia="黑体"/>
          <w:color w:val="333333"/>
          <w:sz w:val="32"/>
          <w:szCs w:val="32"/>
        </w:rPr>
      </w:pPr>
      <w:r>
        <w:rPr>
          <w:rFonts w:hint="eastAsia" w:ascii="黑体" w:hAnsi="黑体" w:eastAsia="黑体"/>
          <w:color w:val="333333"/>
          <w:sz w:val="32"/>
          <w:szCs w:val="32"/>
        </w:rPr>
        <w:t>附件</w:t>
      </w:r>
      <w:r>
        <w:rPr>
          <w:rFonts w:ascii="Times New Roman" w:hAnsi="Times New Roman" w:eastAsia="黑体" w:cs="Times New Roman"/>
          <w:color w:val="333333"/>
          <w:sz w:val="32"/>
          <w:szCs w:val="32"/>
        </w:rPr>
        <w:t>1</w:t>
      </w:r>
    </w:p>
    <w:p>
      <w:pPr>
        <w:adjustRightInd w:val="0"/>
        <w:snapToGrid w:val="0"/>
        <w:spacing w:line="560" w:lineRule="exact"/>
        <w:rPr>
          <w:rFonts w:ascii="Times New Roman" w:hAnsi="Times New Roman" w:eastAsia="方正小标宋简体" w:cs="Times New Roman"/>
          <w:sz w:val="44"/>
          <w:szCs w:val="44"/>
        </w:rPr>
      </w:pPr>
    </w:p>
    <w:p>
      <w:pPr>
        <w:adjustRightInd w:val="0"/>
        <w:snapToGrid w:val="0"/>
        <w:spacing w:line="560" w:lineRule="exact"/>
        <w:jc w:val="center"/>
        <w:rPr>
          <w:rFonts w:ascii="Times New Roman" w:hAnsi="Times New Roman" w:eastAsia="方正小标宋简体" w:cs="Times New Roman"/>
          <w:sz w:val="44"/>
          <w:szCs w:val="44"/>
        </w:rPr>
      </w:pPr>
      <w:bookmarkStart w:id="0" w:name="_GoBack"/>
      <w:r>
        <w:rPr>
          <w:rFonts w:ascii="Times New Roman" w:hAnsi="Times New Roman" w:eastAsia="方正小标宋简体" w:cs="Times New Roman"/>
          <w:sz w:val="44"/>
          <w:szCs w:val="44"/>
        </w:rPr>
        <w:t>常州市独角兽企业</w:t>
      </w:r>
      <w:r>
        <w:rPr>
          <w:rFonts w:hint="eastAsia" w:ascii="Times New Roman" w:hAnsi="Times New Roman" w:eastAsia="方正小标宋简体" w:cs="Times New Roman"/>
          <w:sz w:val="44"/>
          <w:szCs w:val="44"/>
        </w:rPr>
        <w:t>成长支持</w:t>
      </w:r>
      <w:r>
        <w:rPr>
          <w:rFonts w:ascii="Times New Roman" w:hAnsi="Times New Roman" w:eastAsia="方正小标宋简体" w:cs="Times New Roman"/>
          <w:sz w:val="44"/>
          <w:szCs w:val="44"/>
        </w:rPr>
        <w:t>计划</w:t>
      </w:r>
      <w:bookmarkEnd w:id="0"/>
    </w:p>
    <w:p>
      <w:pPr>
        <w:adjustRightInd w:val="0"/>
        <w:snapToGrid w:val="0"/>
        <w:spacing w:line="56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（2023-2025年）</w:t>
      </w:r>
    </w:p>
    <w:p>
      <w:pPr>
        <w:pStyle w:val="2"/>
        <w:adjustRightInd w:val="0"/>
        <w:snapToGrid w:val="0"/>
        <w:spacing w:after="0" w:line="560" w:lineRule="exact"/>
        <w:jc w:val="center"/>
        <w:rPr>
          <w:rFonts w:ascii="楷体_GB2312" w:hAnsi="楷体_GB2312" w:eastAsia="楷体_GB2312" w:cs="楷体_GB2312"/>
          <w:sz w:val="32"/>
          <w:szCs w:val="32"/>
        </w:rPr>
      </w:pPr>
      <w:r>
        <w:rPr>
          <w:rFonts w:ascii="楷体_GB2312" w:hAnsi="楷体_GB2312" w:eastAsia="楷体_GB2312" w:cs="楷体_GB2312"/>
          <w:sz w:val="32"/>
          <w:szCs w:val="32"/>
        </w:rPr>
        <w:t>（</w:t>
      </w:r>
      <w:r>
        <w:rPr>
          <w:rFonts w:hint="eastAsia" w:ascii="楷体_GB2312" w:hAnsi="楷体_GB2312" w:eastAsia="楷体_GB2312" w:cs="楷体_GB2312"/>
          <w:sz w:val="32"/>
          <w:szCs w:val="32"/>
        </w:rPr>
        <w:t>征求意见稿</w:t>
      </w:r>
      <w:r>
        <w:rPr>
          <w:rFonts w:ascii="楷体_GB2312" w:hAnsi="楷体_GB2312" w:eastAsia="楷体_GB2312" w:cs="楷体_GB2312"/>
          <w:sz w:val="32"/>
          <w:szCs w:val="32"/>
        </w:rPr>
        <w:t>）</w:t>
      </w:r>
    </w:p>
    <w:p>
      <w:pPr>
        <w:adjustRightInd w:val="0"/>
        <w:snapToGrid w:val="0"/>
        <w:spacing w:line="560" w:lineRule="exact"/>
        <w:ind w:firstLine="640" w:firstLineChars="200"/>
        <w:jc w:val="left"/>
        <w:rPr>
          <w:rFonts w:eastAsia="方正仿宋_GBK"/>
          <w:sz w:val="32"/>
          <w:szCs w:val="32"/>
        </w:rPr>
      </w:pPr>
    </w:p>
    <w:p>
      <w:pPr>
        <w:adjustRightInd w:val="0"/>
        <w:snapToGrid w:val="0"/>
        <w:spacing w:line="560" w:lineRule="exact"/>
        <w:ind w:firstLine="640" w:firstLineChars="200"/>
        <w:jc w:val="left"/>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为深入实施创新驱动发展战略，全面落实习近平总书记对江苏提出的“四个走在前”“四个新”重大任务，强化企业科技创新主体地位，持续壮大高成长硬科技企业集群，努力在科技自立自强上走在前，在科技创新上率先取得新突破，为打造具有全球影响力的产业科技创新中心作出贡献，现针对独角兽企业快速成长过程中的痛点、难点、堵点，围绕厚植创新主体、鼓励研发创新、强化金融支撑、优化双创生态，制定常州市独角兽企业成长支持计划。</w:t>
      </w:r>
    </w:p>
    <w:p>
      <w:pPr>
        <w:adjustRightInd w:val="0"/>
        <w:snapToGrid w:val="0"/>
        <w:spacing w:line="560"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一、</w:t>
      </w:r>
      <w:r>
        <w:rPr>
          <w:rFonts w:hint="eastAsia" w:ascii="Times New Roman" w:hAnsi="Times New Roman" w:eastAsia="黑体" w:cs="Times New Roman"/>
          <w:sz w:val="32"/>
          <w:szCs w:val="32"/>
        </w:rPr>
        <w:t>梯度培育，厚植创新主体</w:t>
      </w:r>
    </w:p>
    <w:p>
      <w:pPr>
        <w:pStyle w:val="2"/>
        <w:adjustRightInd w:val="0"/>
        <w:snapToGrid w:val="0"/>
        <w:spacing w:after="0" w:line="560" w:lineRule="exact"/>
        <w:ind w:firstLine="643"/>
        <w:rPr>
          <w:rFonts w:ascii="Times New Roman" w:hAnsi="Times New Roman" w:eastAsia="仿宋_GB2312" w:cs="Times New Roman"/>
          <w:sz w:val="32"/>
          <w:szCs w:val="32"/>
        </w:rPr>
      </w:pPr>
      <w:r>
        <w:rPr>
          <w:rFonts w:ascii="Times New Roman" w:hAnsi="Times New Roman" w:eastAsia="楷体_GB2312" w:cs="Times New Roman"/>
          <w:b/>
          <w:bCs/>
          <w:kern w:val="0"/>
          <w:sz w:val="32"/>
          <w:szCs w:val="32"/>
        </w:rPr>
        <w:t>1.构建科学有效的梯度培育体系</w:t>
      </w:r>
      <w:r>
        <w:rPr>
          <w:rFonts w:ascii="Times New Roman" w:hAnsi="Times New Roman" w:eastAsia="仿宋_GB2312" w:cs="Times New Roman"/>
          <w:kern w:val="0"/>
          <w:sz w:val="31"/>
          <w:szCs w:val="31"/>
        </w:rPr>
        <w:t>。</w:t>
      </w:r>
      <w:r>
        <w:rPr>
          <w:rFonts w:ascii="Times New Roman" w:hAnsi="Times New Roman" w:eastAsia="仿宋_GB2312" w:cs="Times New Roman"/>
          <w:sz w:val="32"/>
          <w:szCs w:val="32"/>
        </w:rPr>
        <w:t>优化独</w:t>
      </w:r>
      <w:r>
        <w:rPr>
          <w:rFonts w:ascii="Times New Roman" w:hAnsi="Times New Roman" w:eastAsia="仿宋_GB2312" w:cs="Times New Roman"/>
          <w:color w:val="000000" w:themeColor="text1"/>
          <w:sz w:val="32"/>
          <w:szCs w:val="32"/>
        </w:rPr>
        <w:t>角兽</w:t>
      </w:r>
      <w:r>
        <w:rPr>
          <w:rFonts w:ascii="Times New Roman" w:hAnsi="Times New Roman" w:eastAsia="仿宋_GB2312" w:cs="Times New Roman"/>
          <w:sz w:val="32"/>
          <w:szCs w:val="32"/>
        </w:rPr>
        <w:t>企业发现机制，聚焦高端装备、新能源、新材料等重点领域，构建覆盖种子独角兽、潜在独角兽、独角兽等高成长企业的梯度培育体系。推动大企业平台化发展，支持行业龙头企业通过内部裂变、投资孵化、拓展新业务等方式加速催生独角兽企业。对首次认定为独角兽企业的，奖励最高200万元；首次认定为潜在独角兽企业的，奖励最高50万元。</w:t>
      </w:r>
      <w:r>
        <w:rPr>
          <w:rFonts w:hint="eastAsia" w:ascii="仿宋_GB2312" w:hAnsi="Times New Roman" w:eastAsia="仿宋_GB2312" w:cs="Times New Roman"/>
          <w:bCs/>
          <w:sz w:val="32"/>
          <w:szCs w:val="32"/>
        </w:rPr>
        <w:t>对符合支持高成长性企业发展政策条件的（潜在）独角兽企业，按照政策规定给予单个企业最高</w:t>
      </w:r>
      <w:r>
        <w:rPr>
          <w:rFonts w:hint="eastAsia" w:ascii="Times New Roman" w:hAnsi="Times New Roman" w:eastAsia="仿宋_GB2312" w:cs="Times New Roman"/>
          <w:sz w:val="32"/>
          <w:szCs w:val="32"/>
        </w:rPr>
        <w:t>1000</w:t>
      </w:r>
      <w:r>
        <w:rPr>
          <w:rFonts w:hint="eastAsia" w:ascii="仿宋_GB2312" w:hAnsi="Times New Roman" w:eastAsia="仿宋_GB2312" w:cs="Times New Roman"/>
          <w:bCs/>
          <w:sz w:val="32"/>
          <w:szCs w:val="32"/>
        </w:rPr>
        <w:t>万元奖励。</w:t>
      </w:r>
      <w:r>
        <w:rPr>
          <w:rFonts w:ascii="Times New Roman" w:hAnsi="Times New Roman" w:eastAsia="仿宋_GB2312" w:cs="Times New Roman"/>
          <w:sz w:val="32"/>
          <w:szCs w:val="32"/>
        </w:rPr>
        <w:t>（责任单位：市科技局、市财政局，各辖市区、常州经开区）</w:t>
      </w:r>
    </w:p>
    <w:p>
      <w:pPr>
        <w:adjustRightInd w:val="0"/>
        <w:snapToGrid w:val="0"/>
        <w:spacing w:line="560" w:lineRule="exact"/>
        <w:ind w:firstLine="643" w:firstLineChars="200"/>
        <w:jc w:val="left"/>
        <w:rPr>
          <w:rFonts w:ascii="Times New Roman" w:hAnsi="Times New Roman" w:eastAsia="楷体_GB2312" w:cs="Times New Roman"/>
          <w:b/>
          <w:bCs/>
          <w:color w:val="000000"/>
          <w:kern w:val="0"/>
          <w:sz w:val="32"/>
          <w:szCs w:val="32"/>
        </w:rPr>
      </w:pPr>
      <w:r>
        <w:rPr>
          <w:rFonts w:hint="eastAsia" w:ascii="Times New Roman" w:hAnsi="Times New Roman" w:eastAsia="楷体_GB2312" w:cs="Times New Roman"/>
          <w:b/>
          <w:bCs/>
          <w:kern w:val="0"/>
          <w:sz w:val="32"/>
          <w:szCs w:val="32"/>
        </w:rPr>
        <w:t>2.引育高层次的创新创业人</w:t>
      </w:r>
      <w:r>
        <w:rPr>
          <w:rFonts w:ascii="Times New Roman" w:hAnsi="Times New Roman" w:eastAsia="楷体_GB2312" w:cs="Times New Roman"/>
          <w:b/>
          <w:bCs/>
          <w:kern w:val="0"/>
          <w:sz w:val="32"/>
          <w:szCs w:val="32"/>
        </w:rPr>
        <w:t>才</w:t>
      </w:r>
      <w:r>
        <w:rPr>
          <w:rFonts w:hint="eastAsia" w:ascii="Times New Roman" w:hAnsi="Times New Roman" w:eastAsia="楷体_GB2312" w:cs="Times New Roman"/>
          <w:b/>
          <w:bCs/>
          <w:color w:val="000000"/>
          <w:kern w:val="0"/>
          <w:sz w:val="32"/>
          <w:szCs w:val="32"/>
        </w:rPr>
        <w:t>。</w:t>
      </w:r>
      <w:r>
        <w:rPr>
          <w:rFonts w:hint="eastAsia" w:ascii="Times New Roman" w:hAnsi="Times New Roman" w:eastAsia="仿宋_GB2312" w:cs="Times New Roman"/>
          <w:sz w:val="32"/>
          <w:szCs w:val="32"/>
        </w:rPr>
        <w:t>支持</w:t>
      </w:r>
      <w:r>
        <w:rPr>
          <w:rFonts w:ascii="Times New Roman" w:hAnsi="Times New Roman" w:eastAsia="仿宋_GB2312" w:cs="Times New Roman"/>
          <w:sz w:val="32"/>
          <w:szCs w:val="32"/>
        </w:rPr>
        <w:t>独角兽、潜在独角兽、种子独角兽</w:t>
      </w:r>
      <w:r>
        <w:rPr>
          <w:rFonts w:hint="eastAsia" w:ascii="Times New Roman" w:hAnsi="Times New Roman" w:eastAsia="仿宋_GB2312" w:cs="Times New Roman"/>
          <w:sz w:val="32"/>
          <w:szCs w:val="32"/>
        </w:rPr>
        <w:t>企业引进高层次人才。支持</w:t>
      </w:r>
      <w:r>
        <w:rPr>
          <w:rFonts w:ascii="Times New Roman" w:hAnsi="Times New Roman" w:eastAsia="仿宋_GB2312" w:cs="Times New Roman"/>
          <w:sz w:val="32"/>
          <w:szCs w:val="32"/>
        </w:rPr>
        <w:t>企业</w:t>
      </w:r>
      <w:r>
        <w:rPr>
          <w:rFonts w:hint="eastAsia" w:ascii="Times New Roman" w:hAnsi="Times New Roman" w:eastAsia="仿宋_GB2312" w:cs="Times New Roman"/>
          <w:sz w:val="32"/>
          <w:szCs w:val="32"/>
        </w:rPr>
        <w:t>申报各类人才引进计划，对引进拥有关键核心技术、全职的国（境）内外顶尖人才，采取“一事一议”。支持企业引进省外博士以上学历高层次人才，符合条件的，每人给予不低于30万元的领军型创新人才引进培育项目支持。对企业新引进的年薪30万元以上的人才，按照人才个人在我市申报单位应税工资薪金分档给予奖励；对年薪200万元以上且列入战略科学家名录的人才，按照政策规定给予最高50万元/年的奖励。支持企业申报博士后科研工作站、省创新基地，对工作站引进的博士后给予每月5000元生活补贴，生活补贴连续发放2年。针对海外引进的高层次人才、在关键核心技术攻关和急难险重任务中做出突出贡献的人才，其取得的业绩成果如已达到相应专业技术资格条件的破格条件要求的，可打破学历、资历、职称层级等限制，鼓励其跨系列跨层级晋升职称。（责任单位：市委人才办、市科技局、市人社局）</w:t>
      </w:r>
    </w:p>
    <w:p>
      <w:pPr>
        <w:pStyle w:val="10"/>
        <w:adjustRightInd w:val="0"/>
        <w:snapToGrid w:val="0"/>
        <w:spacing w:before="0" w:beforeAutospacing="0" w:after="0" w:afterAutospacing="0" w:line="560" w:lineRule="exact"/>
        <w:ind w:firstLine="640" w:firstLineChars="200"/>
        <w:rPr>
          <w:rFonts w:ascii="Times New Roman" w:hAnsi="Times New Roman" w:eastAsia="黑体"/>
          <w:kern w:val="2"/>
          <w:sz w:val="32"/>
          <w:szCs w:val="32"/>
        </w:rPr>
      </w:pPr>
      <w:r>
        <w:rPr>
          <w:rFonts w:ascii="Times New Roman" w:hAnsi="Times New Roman" w:eastAsia="黑体"/>
          <w:kern w:val="2"/>
          <w:sz w:val="32"/>
          <w:szCs w:val="32"/>
        </w:rPr>
        <w:t>二、聚力攻坚，</w:t>
      </w:r>
      <w:r>
        <w:rPr>
          <w:rFonts w:hint="eastAsia" w:ascii="Times New Roman" w:hAnsi="Times New Roman" w:eastAsia="黑体"/>
          <w:kern w:val="2"/>
          <w:sz w:val="32"/>
          <w:szCs w:val="32"/>
        </w:rPr>
        <w:t>鼓励研发创新</w:t>
      </w:r>
    </w:p>
    <w:p>
      <w:pPr>
        <w:widowControl/>
        <w:adjustRightInd w:val="0"/>
        <w:snapToGrid w:val="0"/>
        <w:spacing w:line="560" w:lineRule="exact"/>
        <w:ind w:firstLine="643" w:firstLineChars="200"/>
        <w:jc w:val="left"/>
        <w:rPr>
          <w:rFonts w:ascii="Times New Roman" w:hAnsi="Times New Roman" w:eastAsia="仿宋_GB2312" w:cs="Times New Roman"/>
          <w:sz w:val="32"/>
          <w:szCs w:val="32"/>
        </w:rPr>
      </w:pPr>
      <w:r>
        <w:rPr>
          <w:rFonts w:hint="eastAsia" w:ascii="Times New Roman" w:hAnsi="Times New Roman" w:eastAsia="楷体_GB2312" w:cs="Times New Roman"/>
          <w:b/>
          <w:bCs/>
          <w:kern w:val="0"/>
          <w:sz w:val="32"/>
          <w:szCs w:val="32"/>
        </w:rPr>
        <w:t>3</w:t>
      </w:r>
      <w:r>
        <w:rPr>
          <w:rFonts w:ascii="Times New Roman" w:hAnsi="Times New Roman" w:eastAsia="楷体_GB2312" w:cs="Times New Roman"/>
          <w:b/>
          <w:bCs/>
          <w:kern w:val="0"/>
          <w:sz w:val="32"/>
          <w:szCs w:val="32"/>
        </w:rPr>
        <w:t>.</w:t>
      </w:r>
      <w:r>
        <w:rPr>
          <w:rFonts w:hint="eastAsia" w:ascii="Times New Roman" w:hAnsi="Times New Roman" w:eastAsia="楷体_GB2312" w:cs="Times New Roman"/>
          <w:b/>
          <w:bCs/>
          <w:kern w:val="0"/>
          <w:sz w:val="32"/>
          <w:szCs w:val="32"/>
        </w:rPr>
        <w:t>支持高效协同的关键技术攻关</w:t>
      </w:r>
      <w:r>
        <w:rPr>
          <w:rFonts w:ascii="Times New Roman" w:hAnsi="Times New Roman" w:eastAsia="楷体_GB2312" w:cs="Times New Roman"/>
          <w:b/>
          <w:bCs/>
          <w:kern w:val="0"/>
          <w:sz w:val="32"/>
          <w:szCs w:val="32"/>
        </w:rPr>
        <w:t>。</w:t>
      </w:r>
      <w:r>
        <w:rPr>
          <w:rFonts w:hint="eastAsia" w:ascii="Times New Roman" w:hAnsi="Times New Roman" w:eastAsia="仿宋_GB2312" w:cs="Times New Roman"/>
          <w:sz w:val="32"/>
          <w:szCs w:val="32"/>
        </w:rPr>
        <w:t>在市科技计划项目中设立独角兽企业专题，重点支持</w:t>
      </w:r>
      <w:r>
        <w:rPr>
          <w:rFonts w:ascii="Times New Roman" w:hAnsi="Times New Roman" w:eastAsia="仿宋_GB2312" w:cs="Times New Roman"/>
          <w:sz w:val="32"/>
          <w:szCs w:val="32"/>
        </w:rPr>
        <w:t>独角兽、潜在独角兽、种子独角兽</w:t>
      </w:r>
      <w:r>
        <w:rPr>
          <w:rFonts w:hint="eastAsia" w:ascii="Times New Roman" w:hAnsi="Times New Roman" w:eastAsia="仿宋_GB2312" w:cs="Times New Roman"/>
          <w:sz w:val="32"/>
          <w:szCs w:val="32"/>
        </w:rPr>
        <w:t>企业的基础研究、应用基础研究、关键核心技术攻关和科技成果转化。设置“揭榜挂帅”科技攻关项目独角兽企业专项，支持（潜在）独角兽企业围绕“卡脖子”技术和关键核心技术开展联合攻关，</w:t>
      </w:r>
      <w:r>
        <w:rPr>
          <w:rFonts w:ascii="Times New Roman" w:hAnsi="Times New Roman" w:eastAsia="仿宋_GB2312" w:cs="Times New Roman"/>
          <w:sz w:val="32"/>
          <w:szCs w:val="32"/>
        </w:rPr>
        <w:t>每个中榜项目按不超过项目实际付款额的30%给予发榜企业支持，最高</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00万元。</w:t>
      </w:r>
      <w:r>
        <w:rPr>
          <w:rFonts w:hint="eastAsia" w:ascii="仿宋_GB2312" w:eastAsia="仿宋_GB2312" w:cs="Times New Roman"/>
          <w:sz w:val="32"/>
          <w:szCs w:val="32"/>
          <w:shd w:val="clear" w:color="auto" w:fill="FFFFFF"/>
        </w:rPr>
        <w:t>支持</w:t>
      </w:r>
      <w:r>
        <w:rPr>
          <w:rFonts w:hint="eastAsia" w:ascii="仿宋_GB2312" w:eastAsia="仿宋_GB2312" w:cs="Times New Roman"/>
          <w:sz w:val="32"/>
          <w:szCs w:val="32"/>
        </w:rPr>
        <w:t>符合条件的（潜在）独角兽企业牵头组建创新联合体，联合高校院所、产业链上下游企业</w:t>
      </w:r>
      <w:r>
        <w:rPr>
          <w:rFonts w:hint="eastAsia" w:ascii="仿宋_GB2312" w:hAnsi="Times New Roman" w:eastAsia="仿宋_GB2312" w:cs="Times New Roman"/>
          <w:sz w:val="32"/>
          <w:szCs w:val="32"/>
        </w:rPr>
        <w:t>开展</w:t>
      </w:r>
      <w:r>
        <w:rPr>
          <w:rFonts w:hint="eastAsia" w:ascii="仿宋_GB2312" w:eastAsia="仿宋_GB2312" w:cs="Times New Roman"/>
          <w:sz w:val="32"/>
          <w:szCs w:val="32"/>
        </w:rPr>
        <w:t>协同创新。</w:t>
      </w:r>
      <w:r>
        <w:rPr>
          <w:rFonts w:hint="eastAsia" w:ascii="Times New Roman" w:hAnsi="Times New Roman" w:eastAsia="仿宋_GB2312" w:cs="Times New Roman"/>
          <w:sz w:val="32"/>
          <w:szCs w:val="32"/>
        </w:rPr>
        <w:t>对于</w:t>
      </w:r>
      <w:r>
        <w:rPr>
          <w:rFonts w:ascii="Times New Roman" w:hAnsi="Times New Roman" w:eastAsia="仿宋_GB2312" w:cs="Times New Roman"/>
          <w:sz w:val="32"/>
          <w:szCs w:val="32"/>
        </w:rPr>
        <w:t>获得国家和省科学技术奖的</w:t>
      </w:r>
      <w:r>
        <w:rPr>
          <w:rFonts w:hint="eastAsia" w:ascii="Times New Roman" w:hAnsi="Times New Roman" w:eastAsia="仿宋_GB2312" w:cs="Times New Roman"/>
          <w:sz w:val="32"/>
          <w:szCs w:val="32"/>
        </w:rPr>
        <w:t>（潜在）独角兽</w:t>
      </w:r>
      <w:r>
        <w:rPr>
          <w:rFonts w:ascii="Times New Roman" w:hAnsi="Times New Roman" w:eastAsia="仿宋_GB2312" w:cs="Times New Roman"/>
          <w:sz w:val="32"/>
          <w:szCs w:val="32"/>
        </w:rPr>
        <w:t>企业，以第一承担单位获奖的，给予国家或省奖金总额100%配套奖励</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以非第一承担单位获奖的，国家级按照奖金总额的50%，省级按照奖金总额的30%予以奖励。</w:t>
      </w:r>
      <w:r>
        <w:rPr>
          <w:rFonts w:hint="eastAsia" w:ascii="Times New Roman" w:hAnsi="Times New Roman" w:eastAsia="仿宋_GB2312" w:cs="Times New Roman"/>
          <w:sz w:val="32"/>
          <w:szCs w:val="32"/>
        </w:rPr>
        <w:t>（责任单位：市科技局）</w:t>
      </w:r>
    </w:p>
    <w:p>
      <w:pPr>
        <w:widowControl/>
        <w:adjustRightInd w:val="0"/>
        <w:snapToGrid w:val="0"/>
        <w:spacing w:line="560" w:lineRule="exact"/>
        <w:ind w:firstLine="643" w:firstLineChars="200"/>
        <w:jc w:val="left"/>
        <w:rPr>
          <w:rFonts w:ascii="Times New Roman" w:hAnsi="Times New Roman" w:eastAsia="仿宋_GB2312" w:cs="Times New Roman"/>
          <w:sz w:val="32"/>
          <w:szCs w:val="32"/>
        </w:rPr>
      </w:pPr>
      <w:r>
        <w:rPr>
          <w:rFonts w:hint="eastAsia" w:ascii="Times New Roman" w:hAnsi="Times New Roman" w:eastAsia="楷体_GB2312" w:cs="Times New Roman"/>
          <w:b/>
          <w:bCs/>
          <w:kern w:val="0"/>
          <w:sz w:val="32"/>
          <w:szCs w:val="32"/>
        </w:rPr>
        <w:t>4.</w:t>
      </w:r>
      <w:r>
        <w:rPr>
          <w:rFonts w:ascii="Times New Roman" w:hAnsi="Times New Roman" w:eastAsia="楷体_GB2312" w:cs="Times New Roman"/>
          <w:b/>
          <w:bCs/>
          <w:kern w:val="0"/>
          <w:sz w:val="32"/>
          <w:szCs w:val="32"/>
        </w:rPr>
        <w:t>支持</w:t>
      </w:r>
      <w:r>
        <w:rPr>
          <w:rFonts w:hint="eastAsia" w:ascii="Times New Roman" w:hAnsi="Times New Roman" w:eastAsia="楷体_GB2312" w:cs="Times New Roman"/>
          <w:b/>
          <w:bCs/>
          <w:kern w:val="0"/>
          <w:sz w:val="32"/>
          <w:szCs w:val="32"/>
        </w:rPr>
        <w:t>高水平的</w:t>
      </w:r>
      <w:r>
        <w:rPr>
          <w:rFonts w:ascii="Times New Roman" w:hAnsi="Times New Roman" w:eastAsia="楷体_GB2312" w:cs="Times New Roman"/>
          <w:b/>
          <w:bCs/>
          <w:kern w:val="0"/>
          <w:sz w:val="32"/>
          <w:szCs w:val="32"/>
        </w:rPr>
        <w:t>研发平台建设。</w:t>
      </w:r>
      <w:r>
        <w:rPr>
          <w:rFonts w:hint="eastAsia" w:ascii="Times New Roman" w:hAnsi="Times New Roman" w:eastAsia="仿宋_GB2312" w:cs="Times New Roman"/>
          <w:sz w:val="32"/>
          <w:szCs w:val="32"/>
        </w:rPr>
        <w:t>积极</w:t>
      </w:r>
      <w:r>
        <w:rPr>
          <w:rFonts w:ascii="Times New Roman" w:hAnsi="Times New Roman" w:eastAsia="仿宋_GB2312" w:cs="Times New Roman"/>
          <w:sz w:val="32"/>
          <w:szCs w:val="32"/>
        </w:rPr>
        <w:t>支持</w:t>
      </w:r>
      <w:r>
        <w:rPr>
          <w:rFonts w:hint="eastAsia" w:ascii="Times New Roman" w:hAnsi="Times New Roman" w:eastAsia="仿宋_GB2312" w:cs="Times New Roman"/>
          <w:sz w:val="32"/>
          <w:szCs w:val="32"/>
        </w:rPr>
        <w:t>（潜在）独角兽</w:t>
      </w:r>
      <w:r>
        <w:rPr>
          <w:rFonts w:ascii="Times New Roman" w:hAnsi="Times New Roman" w:eastAsia="仿宋_GB2312" w:cs="Times New Roman"/>
          <w:sz w:val="32"/>
          <w:szCs w:val="32"/>
        </w:rPr>
        <w:t>企业建设高</w:t>
      </w:r>
      <w:r>
        <w:rPr>
          <w:rFonts w:hint="eastAsia" w:ascii="Times New Roman" w:hAnsi="Times New Roman" w:eastAsia="仿宋_GB2312" w:cs="Times New Roman"/>
          <w:sz w:val="32"/>
          <w:szCs w:val="32"/>
        </w:rPr>
        <w:t>水平研发平台</w:t>
      </w:r>
      <w:r>
        <w:rPr>
          <w:rFonts w:ascii="Times New Roman" w:hAnsi="Times New Roman" w:eastAsia="仿宋_GB2312" w:cs="Times New Roman"/>
          <w:sz w:val="32"/>
          <w:szCs w:val="32"/>
        </w:rPr>
        <w:t>。对获得国家或省立项并有资金支持的重大科技创新平台，市、区两级按国家或省实到资金的 1:1 配套支持，给予国家级不超过1亿元、省级不超过5000万元支持。</w:t>
      </w:r>
      <w:r>
        <w:rPr>
          <w:rFonts w:hint="eastAsia" w:ascii="Times New Roman" w:hAnsi="Times New Roman" w:eastAsia="仿宋_GB2312" w:cs="Times New Roman"/>
          <w:sz w:val="32"/>
          <w:szCs w:val="32"/>
        </w:rPr>
        <w:t>对（潜在）独角兽</w:t>
      </w:r>
      <w:r>
        <w:rPr>
          <w:rFonts w:ascii="Times New Roman" w:hAnsi="Times New Roman" w:eastAsia="仿宋_GB2312" w:cs="Times New Roman"/>
          <w:sz w:val="32"/>
          <w:szCs w:val="32"/>
        </w:rPr>
        <w:t>企业</w:t>
      </w:r>
      <w:r>
        <w:rPr>
          <w:rFonts w:hint="eastAsia" w:ascii="Times New Roman" w:hAnsi="Times New Roman" w:eastAsia="仿宋_GB2312" w:cs="Times New Roman"/>
          <w:sz w:val="32"/>
          <w:szCs w:val="32"/>
        </w:rPr>
        <w:t>建设的</w:t>
      </w:r>
      <w:r>
        <w:rPr>
          <w:rFonts w:ascii="Times New Roman" w:hAnsi="Times New Roman" w:eastAsia="仿宋_GB2312" w:cs="Times New Roman"/>
          <w:sz w:val="32"/>
          <w:szCs w:val="32"/>
        </w:rPr>
        <w:t>院士工作站奖励最高100万元。对于</w:t>
      </w:r>
      <w:r>
        <w:rPr>
          <w:rFonts w:hint="eastAsia" w:ascii="Times New Roman" w:hAnsi="Times New Roman" w:eastAsia="仿宋_GB2312" w:cs="Times New Roman"/>
          <w:sz w:val="32"/>
          <w:szCs w:val="32"/>
        </w:rPr>
        <w:t>符合条件的</w:t>
      </w:r>
      <w:r>
        <w:rPr>
          <w:rFonts w:ascii="Times New Roman" w:hAnsi="Times New Roman" w:eastAsia="仿宋_GB2312" w:cs="Times New Roman"/>
          <w:sz w:val="32"/>
          <w:szCs w:val="32"/>
        </w:rPr>
        <w:t>独角兽、潜在独角兽、种子独角兽</w:t>
      </w:r>
      <w:r>
        <w:rPr>
          <w:rFonts w:hint="eastAsia" w:ascii="Times New Roman" w:hAnsi="Times New Roman" w:eastAsia="仿宋_GB2312" w:cs="Times New Roman"/>
          <w:sz w:val="32"/>
          <w:szCs w:val="32"/>
        </w:rPr>
        <w:t>企业，企业研发费用年度增长100万元（含）以上的，根据研发费用增长额，分档给予最高100万元奖励。支持（潜在）独角兽企业与重大创新平台之间的互动耦合，通过联合攻关、数据共享、共建创新中心等形式，构建以科技攻关为支撑的研发生态系统。（责任单位：市科技局、市工信局）</w:t>
      </w:r>
    </w:p>
    <w:p>
      <w:pPr>
        <w:adjustRightInd w:val="0"/>
        <w:snapToGrid w:val="0"/>
        <w:spacing w:line="560" w:lineRule="exact"/>
        <w:ind w:firstLine="640" w:firstLineChars="20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三</w:t>
      </w:r>
      <w:r>
        <w:rPr>
          <w:rFonts w:ascii="Times New Roman" w:hAnsi="Times New Roman" w:eastAsia="黑体" w:cs="Times New Roman"/>
          <w:sz w:val="32"/>
          <w:szCs w:val="32"/>
        </w:rPr>
        <w:t>、</w:t>
      </w:r>
      <w:r>
        <w:rPr>
          <w:rFonts w:hint="eastAsia" w:ascii="Times New Roman" w:hAnsi="Times New Roman" w:eastAsia="黑体" w:cs="Times New Roman"/>
          <w:sz w:val="32"/>
          <w:szCs w:val="32"/>
        </w:rPr>
        <w:t>多措并举，</w:t>
      </w:r>
      <w:r>
        <w:rPr>
          <w:rFonts w:ascii="Times New Roman" w:hAnsi="Times New Roman" w:eastAsia="黑体" w:cs="Times New Roman"/>
          <w:sz w:val="32"/>
          <w:szCs w:val="32"/>
        </w:rPr>
        <w:t>强化金融</w:t>
      </w:r>
      <w:r>
        <w:rPr>
          <w:rFonts w:hint="eastAsia" w:ascii="Times New Roman" w:hAnsi="Times New Roman" w:eastAsia="黑体" w:cs="Times New Roman"/>
          <w:sz w:val="32"/>
          <w:szCs w:val="32"/>
        </w:rPr>
        <w:t>支撑</w:t>
      </w:r>
    </w:p>
    <w:p>
      <w:pPr>
        <w:widowControl/>
        <w:adjustRightInd w:val="0"/>
        <w:snapToGrid w:val="0"/>
        <w:spacing w:line="56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Times New Roman"/>
          <w:b/>
          <w:bCs/>
          <w:kern w:val="0"/>
          <w:sz w:val="32"/>
          <w:szCs w:val="32"/>
        </w:rPr>
        <w:t>5</w:t>
      </w:r>
      <w:r>
        <w:rPr>
          <w:rFonts w:ascii="Times New Roman" w:hAnsi="Times New Roman" w:eastAsia="楷体_GB2312" w:cs="Times New Roman"/>
          <w:b/>
          <w:bCs/>
          <w:kern w:val="0"/>
          <w:sz w:val="32"/>
          <w:szCs w:val="32"/>
        </w:rPr>
        <w:t>.</w:t>
      </w:r>
      <w:r>
        <w:rPr>
          <w:rFonts w:hint="eastAsia" w:ascii="Times New Roman" w:hAnsi="Times New Roman" w:eastAsia="楷体_GB2312" w:cs="Times New Roman"/>
          <w:b/>
          <w:bCs/>
          <w:kern w:val="0"/>
          <w:sz w:val="32"/>
          <w:szCs w:val="32"/>
        </w:rPr>
        <w:t>构筑多元化的投融资服务体系</w:t>
      </w:r>
      <w:r>
        <w:rPr>
          <w:rFonts w:ascii="Times New Roman" w:hAnsi="Times New Roman" w:eastAsia="楷体_GB2312" w:cs="Times New Roman"/>
          <w:b/>
          <w:bCs/>
          <w:kern w:val="0"/>
          <w:sz w:val="32"/>
          <w:szCs w:val="32"/>
        </w:rPr>
        <w:t>。</w:t>
      </w:r>
      <w:r>
        <w:rPr>
          <w:rFonts w:ascii="Times New Roman" w:hAnsi="Times New Roman" w:eastAsia="仿宋_GB2312" w:cs="Times New Roman"/>
          <w:sz w:val="32"/>
          <w:szCs w:val="32"/>
        </w:rPr>
        <w:t>引进国</w:t>
      </w:r>
      <w:r>
        <w:rPr>
          <w:rFonts w:hint="eastAsia" w:ascii="Times New Roman" w:hAnsi="Times New Roman" w:eastAsia="仿宋_GB2312" w:cs="Times New Roman"/>
          <w:sz w:val="32"/>
          <w:szCs w:val="32"/>
        </w:rPr>
        <w:t>（境）</w:t>
      </w:r>
      <w:r>
        <w:rPr>
          <w:rFonts w:ascii="Times New Roman" w:hAnsi="Times New Roman" w:eastAsia="仿宋_GB2312" w:cs="Times New Roman"/>
          <w:sz w:val="32"/>
          <w:szCs w:val="32"/>
        </w:rPr>
        <w:t>内外知名风险投资基金，为</w:t>
      </w:r>
      <w:r>
        <w:rPr>
          <w:rFonts w:hint="eastAsia" w:ascii="Times New Roman" w:hAnsi="Times New Roman" w:eastAsia="仿宋_GB2312" w:cs="Times New Roman"/>
          <w:sz w:val="32"/>
          <w:szCs w:val="32"/>
        </w:rPr>
        <w:t>（潜在）独角兽</w:t>
      </w:r>
      <w:r>
        <w:rPr>
          <w:rFonts w:ascii="Times New Roman" w:hAnsi="Times New Roman" w:eastAsia="仿宋_GB2312" w:cs="Times New Roman"/>
          <w:sz w:val="32"/>
          <w:szCs w:val="32"/>
        </w:rPr>
        <w:t>企业量身定制、精准引进多元化创投资本。鼓励知名投资机构与各级</w:t>
      </w:r>
      <w:r>
        <w:rPr>
          <w:rFonts w:hint="eastAsia" w:ascii="Times New Roman" w:hAnsi="Times New Roman" w:eastAsia="仿宋_GB2312" w:cs="Times New Roman"/>
          <w:sz w:val="32"/>
          <w:szCs w:val="32"/>
        </w:rPr>
        <w:t>政府基金、</w:t>
      </w:r>
      <w:r>
        <w:rPr>
          <w:rFonts w:ascii="Times New Roman" w:hAnsi="Times New Roman" w:eastAsia="仿宋_GB2312" w:cs="Times New Roman"/>
          <w:sz w:val="32"/>
          <w:szCs w:val="32"/>
        </w:rPr>
        <w:t>国资基金合作，</w:t>
      </w:r>
      <w:r>
        <w:rPr>
          <w:rFonts w:hint="eastAsia" w:ascii="Times New Roman" w:hAnsi="Times New Roman" w:eastAsia="仿宋_GB2312" w:cs="Times New Roman"/>
          <w:sz w:val="32"/>
          <w:szCs w:val="32"/>
        </w:rPr>
        <w:t>设立龙城天使科创基金等直投基金，优先关注种子独角兽企业，</w:t>
      </w:r>
      <w:r>
        <w:rPr>
          <w:rFonts w:ascii="Times New Roman" w:hAnsi="Times New Roman" w:eastAsia="仿宋_GB2312" w:cs="Times New Roman"/>
          <w:sz w:val="32"/>
          <w:szCs w:val="32"/>
        </w:rPr>
        <w:t>以股权投资的方式吸引</w:t>
      </w:r>
      <w:r>
        <w:rPr>
          <w:rFonts w:hint="eastAsia" w:ascii="Times New Roman" w:hAnsi="Times New Roman" w:eastAsia="仿宋_GB2312" w:cs="Times New Roman"/>
          <w:sz w:val="32"/>
          <w:szCs w:val="32"/>
        </w:rPr>
        <w:t>国（</w:t>
      </w:r>
      <w:r>
        <w:rPr>
          <w:rFonts w:ascii="Times New Roman" w:hAnsi="Times New Roman" w:eastAsia="仿宋_GB2312" w:cs="Times New Roman"/>
          <w:sz w:val="32"/>
          <w:szCs w:val="32"/>
        </w:rPr>
        <w:t>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内外</w:t>
      </w:r>
      <w:r>
        <w:rPr>
          <w:rFonts w:hint="eastAsia" w:ascii="Times New Roman" w:hAnsi="Times New Roman" w:eastAsia="仿宋_GB2312" w:cs="Times New Roman"/>
          <w:sz w:val="32"/>
          <w:szCs w:val="32"/>
        </w:rPr>
        <w:t>（潜在）独角兽</w:t>
      </w:r>
      <w:r>
        <w:rPr>
          <w:rFonts w:ascii="Times New Roman" w:hAnsi="Times New Roman" w:eastAsia="仿宋_GB2312" w:cs="Times New Roman"/>
          <w:sz w:val="32"/>
          <w:szCs w:val="32"/>
        </w:rPr>
        <w:t>企业等创新型企业。</w:t>
      </w:r>
      <w:r>
        <w:rPr>
          <w:rFonts w:hint="eastAsia" w:ascii="Times New Roman" w:hAnsi="Times New Roman" w:eastAsia="仿宋_GB2312" w:cs="Times New Roman"/>
          <w:sz w:val="32"/>
          <w:szCs w:val="32"/>
        </w:rPr>
        <w:t>鼓励银行机构通过单列信贷规模、实施内部转移定价优惠、提高贷款绩效考核权重、落实不良容忍度和尽职免责规定等方式，进一步完善（潜在）独角兽</w:t>
      </w:r>
      <w:r>
        <w:rPr>
          <w:rFonts w:ascii="Times New Roman" w:hAnsi="Times New Roman" w:eastAsia="仿宋_GB2312" w:cs="Times New Roman"/>
          <w:sz w:val="32"/>
          <w:szCs w:val="32"/>
        </w:rPr>
        <w:t>企业</w:t>
      </w:r>
      <w:r>
        <w:rPr>
          <w:rFonts w:hint="eastAsia" w:ascii="Times New Roman" w:hAnsi="Times New Roman" w:eastAsia="仿宋_GB2312" w:cs="Times New Roman"/>
          <w:sz w:val="32"/>
          <w:szCs w:val="32"/>
        </w:rPr>
        <w:t>的金融服务和信贷管理机制。在“常信分”企业信用评分模型中设置单独加分项，</w:t>
      </w:r>
      <w:r>
        <w:rPr>
          <w:rFonts w:ascii="Times New Roman" w:hAnsi="Times New Roman" w:eastAsia="仿宋_GB2312" w:cs="Times New Roman"/>
          <w:sz w:val="32"/>
          <w:szCs w:val="32"/>
        </w:rPr>
        <w:t>引导银行机构加大对</w:t>
      </w:r>
      <w:r>
        <w:rPr>
          <w:rFonts w:hint="eastAsia" w:ascii="Times New Roman" w:hAnsi="Times New Roman" w:eastAsia="仿宋_GB2312" w:cs="Times New Roman"/>
          <w:sz w:val="32"/>
          <w:szCs w:val="32"/>
        </w:rPr>
        <w:t>（潜在）独角兽</w:t>
      </w:r>
      <w:r>
        <w:rPr>
          <w:rFonts w:ascii="Times New Roman" w:hAnsi="Times New Roman" w:eastAsia="仿宋_GB2312" w:cs="Times New Roman"/>
          <w:sz w:val="32"/>
          <w:szCs w:val="32"/>
        </w:rPr>
        <w:t>企业的首贷、信用贷、知识产权质押贷款和中长期贷款的支持力度。（责任单位：</w:t>
      </w:r>
      <w:r>
        <w:rPr>
          <w:rFonts w:hint="eastAsia" w:ascii="Times New Roman" w:hAnsi="Times New Roman" w:eastAsia="仿宋_GB2312" w:cs="Times New Roman"/>
          <w:sz w:val="32"/>
          <w:szCs w:val="32"/>
        </w:rPr>
        <w:t>市</w:t>
      </w:r>
      <w:r>
        <w:rPr>
          <w:rFonts w:ascii="Times New Roman" w:hAnsi="Times New Roman" w:eastAsia="仿宋_GB2312" w:cs="Times New Roman"/>
          <w:sz w:val="32"/>
          <w:szCs w:val="32"/>
        </w:rPr>
        <w:t>地方金融监管局</w:t>
      </w:r>
      <w:r>
        <w:rPr>
          <w:rFonts w:hint="eastAsia" w:ascii="Times New Roman" w:hAnsi="Times New Roman" w:eastAsia="仿宋_GB2312" w:cs="Times New Roman"/>
          <w:sz w:val="32"/>
          <w:szCs w:val="32"/>
        </w:rPr>
        <w:t>、市科技局、市财政局、市投资集团</w:t>
      </w:r>
      <w:r>
        <w:rPr>
          <w:rFonts w:ascii="Times New Roman" w:hAnsi="Times New Roman" w:eastAsia="仿宋_GB2312" w:cs="Times New Roman"/>
          <w:sz w:val="32"/>
          <w:szCs w:val="32"/>
        </w:rPr>
        <w:t>）</w:t>
      </w:r>
    </w:p>
    <w:p>
      <w:pPr>
        <w:adjustRightInd w:val="0"/>
        <w:snapToGrid w:val="0"/>
        <w:spacing w:line="560" w:lineRule="exact"/>
        <w:ind w:firstLine="643" w:firstLineChars="200"/>
        <w:jc w:val="left"/>
        <w:rPr>
          <w:rFonts w:ascii="Times New Roman" w:hAnsi="Times New Roman" w:eastAsia="仿宋_GB2312" w:cs="Times New Roman"/>
          <w:sz w:val="32"/>
          <w:szCs w:val="32"/>
        </w:rPr>
      </w:pPr>
      <w:r>
        <w:rPr>
          <w:rFonts w:hint="eastAsia" w:ascii="Times New Roman" w:hAnsi="Times New Roman" w:eastAsia="楷体_GB2312" w:cs="Times New Roman"/>
          <w:b/>
          <w:bCs/>
          <w:kern w:val="0"/>
          <w:sz w:val="32"/>
          <w:szCs w:val="32"/>
        </w:rPr>
        <w:t>6</w:t>
      </w:r>
      <w:r>
        <w:rPr>
          <w:rFonts w:ascii="Times New Roman" w:hAnsi="Times New Roman" w:eastAsia="楷体_GB2312" w:cs="Times New Roman"/>
          <w:b/>
          <w:bCs/>
          <w:kern w:val="0"/>
          <w:sz w:val="32"/>
          <w:szCs w:val="32"/>
        </w:rPr>
        <w:t>.支持多层次</w:t>
      </w:r>
      <w:r>
        <w:rPr>
          <w:rFonts w:hint="eastAsia" w:ascii="Times New Roman" w:hAnsi="Times New Roman" w:eastAsia="楷体_GB2312" w:cs="Times New Roman"/>
          <w:b/>
          <w:bCs/>
          <w:kern w:val="0"/>
          <w:sz w:val="32"/>
          <w:szCs w:val="32"/>
        </w:rPr>
        <w:t>的资本市场</w:t>
      </w:r>
      <w:r>
        <w:rPr>
          <w:rFonts w:ascii="Times New Roman" w:hAnsi="Times New Roman" w:eastAsia="楷体_GB2312" w:cs="Times New Roman"/>
          <w:b/>
          <w:bCs/>
          <w:kern w:val="0"/>
          <w:sz w:val="32"/>
          <w:szCs w:val="32"/>
        </w:rPr>
        <w:t>股改上市</w:t>
      </w:r>
      <w:r>
        <w:rPr>
          <w:rFonts w:ascii="Times New Roman" w:hAnsi="Times New Roman" w:eastAsia="楷体_GB2312" w:cs="Times New Roman"/>
          <w:b/>
          <w:bCs/>
          <w:color w:val="000000"/>
          <w:kern w:val="0"/>
          <w:sz w:val="32"/>
          <w:szCs w:val="32"/>
        </w:rPr>
        <w:t>。</w:t>
      </w:r>
      <w:r>
        <w:rPr>
          <w:rFonts w:ascii="Times New Roman" w:hAnsi="Times New Roman" w:eastAsia="仿宋_GB2312" w:cs="Times New Roman"/>
          <w:sz w:val="32"/>
          <w:szCs w:val="32"/>
        </w:rPr>
        <w:t>为每家</w:t>
      </w:r>
      <w:r>
        <w:rPr>
          <w:rFonts w:hint="eastAsia" w:ascii="Times New Roman" w:hAnsi="Times New Roman" w:eastAsia="仿宋_GB2312" w:cs="Times New Roman"/>
          <w:sz w:val="32"/>
          <w:szCs w:val="32"/>
        </w:rPr>
        <w:t>（潜在）</w:t>
      </w:r>
      <w:r>
        <w:rPr>
          <w:rFonts w:ascii="Times New Roman" w:hAnsi="Times New Roman" w:eastAsia="仿宋_GB2312" w:cs="Times New Roman"/>
          <w:sz w:val="32"/>
          <w:szCs w:val="32"/>
        </w:rPr>
        <w:t>独角兽企业组建上市服务推进专班，加速推进</w:t>
      </w:r>
      <w:r>
        <w:rPr>
          <w:rFonts w:hint="eastAsia" w:ascii="Times New Roman" w:hAnsi="Times New Roman" w:eastAsia="仿宋_GB2312" w:cs="Times New Roman"/>
          <w:sz w:val="32"/>
          <w:szCs w:val="32"/>
        </w:rPr>
        <w:t>（潜在）</w:t>
      </w:r>
      <w:r>
        <w:rPr>
          <w:rFonts w:ascii="Times New Roman" w:hAnsi="Times New Roman" w:eastAsia="仿宋_GB2312" w:cs="Times New Roman"/>
          <w:sz w:val="32"/>
          <w:szCs w:val="32"/>
        </w:rPr>
        <w:t>独角兽</w:t>
      </w:r>
      <w:r>
        <w:rPr>
          <w:rFonts w:hint="eastAsia" w:ascii="Times New Roman" w:hAnsi="Times New Roman" w:eastAsia="仿宋_GB2312" w:cs="Times New Roman"/>
          <w:sz w:val="32"/>
          <w:szCs w:val="32"/>
        </w:rPr>
        <w:t>企业</w:t>
      </w:r>
      <w:r>
        <w:rPr>
          <w:rFonts w:ascii="Times New Roman" w:hAnsi="Times New Roman" w:eastAsia="仿宋_GB2312" w:cs="Times New Roman"/>
          <w:sz w:val="32"/>
          <w:szCs w:val="32"/>
        </w:rPr>
        <w:t>股改上市工作。</w:t>
      </w:r>
      <w:r>
        <w:rPr>
          <w:rFonts w:hint="eastAsia" w:ascii="Times New Roman" w:hAnsi="Times New Roman" w:eastAsia="仿宋_GB2312" w:cs="Times New Roman"/>
          <w:sz w:val="32"/>
          <w:szCs w:val="32"/>
        </w:rPr>
        <w:t>进入市级“龙腾行动计划”科创板重点后备企业名单的（潜在）独角兽企业，在入库、股改环节分别给予20万元、30万元奖励；按照（潜在）独角兽企业上市进度，在辅导、申报、上市三大关键节点分别给予50万元、50万元、100万元奖励。（责任单位：市</w:t>
      </w:r>
      <w:r>
        <w:rPr>
          <w:rFonts w:ascii="Times New Roman" w:hAnsi="Times New Roman" w:eastAsia="仿宋_GB2312" w:cs="Times New Roman"/>
          <w:sz w:val="32"/>
          <w:szCs w:val="32"/>
        </w:rPr>
        <w:t>地方</w:t>
      </w:r>
      <w:r>
        <w:rPr>
          <w:rFonts w:hint="eastAsia" w:ascii="Times New Roman" w:hAnsi="Times New Roman" w:eastAsia="仿宋_GB2312" w:cs="Times New Roman"/>
          <w:sz w:val="32"/>
          <w:szCs w:val="32"/>
        </w:rPr>
        <w:t>金融监管局）</w:t>
      </w:r>
    </w:p>
    <w:p>
      <w:pPr>
        <w:adjustRightInd w:val="0"/>
        <w:snapToGrid w:val="0"/>
        <w:spacing w:line="560" w:lineRule="exact"/>
        <w:ind w:firstLine="640" w:firstLineChars="20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四、汇聚要素，</w:t>
      </w:r>
      <w:r>
        <w:rPr>
          <w:rFonts w:ascii="Times New Roman" w:hAnsi="Times New Roman" w:eastAsia="黑体" w:cs="Times New Roman"/>
          <w:sz w:val="32"/>
          <w:szCs w:val="32"/>
        </w:rPr>
        <w:t>优化双创生态</w:t>
      </w:r>
    </w:p>
    <w:p>
      <w:pPr>
        <w:adjustRightInd w:val="0"/>
        <w:snapToGrid w:val="0"/>
        <w:spacing w:line="560" w:lineRule="exact"/>
        <w:ind w:firstLine="643" w:firstLineChars="200"/>
        <w:jc w:val="left"/>
        <w:rPr>
          <w:rFonts w:ascii="Times New Roman" w:hAnsi="Times New Roman" w:eastAsia="楷体_GB2312" w:cs="Times New Roman"/>
          <w:b/>
          <w:bCs/>
          <w:kern w:val="0"/>
          <w:sz w:val="32"/>
          <w:szCs w:val="32"/>
        </w:rPr>
      </w:pPr>
      <w:r>
        <w:rPr>
          <w:rFonts w:hint="eastAsia" w:ascii="Times New Roman" w:hAnsi="Times New Roman" w:eastAsia="楷体_GB2312" w:cs="Times New Roman"/>
          <w:b/>
          <w:bCs/>
          <w:kern w:val="0"/>
          <w:sz w:val="32"/>
          <w:szCs w:val="32"/>
        </w:rPr>
        <w:t>7.支持全方位的创新应用场景。</w:t>
      </w:r>
      <w:r>
        <w:rPr>
          <w:rFonts w:hint="eastAsia" w:ascii="Times New Roman" w:hAnsi="Times New Roman" w:eastAsia="仿宋_GB2312" w:cs="Times New Roman"/>
          <w:sz w:val="32"/>
          <w:szCs w:val="32"/>
        </w:rPr>
        <w:t>建立国企、央企和行业龙头企业与（潜在）独角兽</w:t>
      </w:r>
      <w:r>
        <w:rPr>
          <w:rFonts w:ascii="Times New Roman" w:hAnsi="Times New Roman" w:eastAsia="仿宋_GB2312" w:cs="Times New Roman"/>
          <w:sz w:val="32"/>
          <w:szCs w:val="32"/>
        </w:rPr>
        <w:t>企业</w:t>
      </w:r>
      <w:r>
        <w:rPr>
          <w:rFonts w:hint="eastAsia" w:ascii="Times New Roman" w:hAnsi="Times New Roman" w:eastAsia="仿宋_GB2312" w:cs="Times New Roman"/>
          <w:sz w:val="32"/>
          <w:szCs w:val="32"/>
        </w:rPr>
        <w:t>技术和市场需求对接机制，搭建平台促进大中小企业融通发展。支持（潜在）独角兽</w:t>
      </w:r>
      <w:r>
        <w:rPr>
          <w:rFonts w:ascii="Times New Roman" w:hAnsi="Times New Roman" w:eastAsia="仿宋_GB2312" w:cs="Times New Roman"/>
          <w:sz w:val="32"/>
          <w:szCs w:val="32"/>
        </w:rPr>
        <w:t>企业首创产品的应用推广</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对</w:t>
      </w:r>
      <w:r>
        <w:rPr>
          <w:rFonts w:hint="eastAsia" w:ascii="Times New Roman" w:hAnsi="Times New Roman" w:eastAsia="仿宋_GB2312" w:cs="Times New Roman"/>
          <w:sz w:val="32"/>
          <w:szCs w:val="32"/>
        </w:rPr>
        <w:t>（潜在）独角兽</w:t>
      </w:r>
      <w:r>
        <w:rPr>
          <w:rFonts w:ascii="Times New Roman" w:hAnsi="Times New Roman" w:eastAsia="仿宋_GB2312" w:cs="Times New Roman"/>
          <w:sz w:val="32"/>
          <w:szCs w:val="32"/>
        </w:rPr>
        <w:t>企业新认定的省级、苏锡常首台（套）重大装备，</w:t>
      </w:r>
      <w:r>
        <w:rPr>
          <w:rFonts w:hint="eastAsia" w:ascii="Times New Roman" w:hAnsi="Times New Roman" w:eastAsia="仿宋_GB2312" w:cs="Times New Roman"/>
          <w:sz w:val="32"/>
          <w:szCs w:val="32"/>
        </w:rPr>
        <w:t>优先给予最高50万元、20万元奖励；对（潜在）独角兽</w:t>
      </w:r>
      <w:r>
        <w:rPr>
          <w:rFonts w:ascii="Times New Roman" w:hAnsi="Times New Roman" w:eastAsia="仿宋_GB2312" w:cs="Times New Roman"/>
          <w:sz w:val="32"/>
          <w:szCs w:val="32"/>
        </w:rPr>
        <w:t>企业</w:t>
      </w:r>
      <w:r>
        <w:rPr>
          <w:rFonts w:hint="eastAsia" w:ascii="Times New Roman" w:hAnsi="Times New Roman" w:eastAsia="仿宋_GB2312" w:cs="Times New Roman"/>
          <w:sz w:val="32"/>
          <w:szCs w:val="32"/>
        </w:rPr>
        <w:t>的省级、苏锡常首台（套</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产品，实施政府首购，自认定之日起2年内视同已具备相应业绩，对具有不可替代专利、专有技术的，采购人可采用单一来源方式采购。对生物医药产业的（潜在）独角兽</w:t>
      </w:r>
      <w:r>
        <w:rPr>
          <w:rFonts w:ascii="Times New Roman" w:hAnsi="Times New Roman" w:eastAsia="仿宋_GB2312" w:cs="Times New Roman"/>
          <w:sz w:val="32"/>
          <w:szCs w:val="32"/>
        </w:rPr>
        <w:t>企业</w:t>
      </w:r>
      <w:r>
        <w:rPr>
          <w:rFonts w:hint="eastAsia" w:ascii="Times New Roman" w:hAnsi="Times New Roman" w:eastAsia="仿宋_GB2312" w:cs="Times New Roman"/>
          <w:sz w:val="32"/>
          <w:szCs w:val="32"/>
        </w:rPr>
        <w:t>，积极对接国家局、省医保局，为企业提供全程辅导服务，助力创新医药、医疗器械产品快速挂网。打造若干标志性应用场景，为（潜在）独角兽企业新技术新产品的创新应用提供实践场所和空间，加速企业实现技术迭代、产品升级、市场开拓。（责任单位：市工信局、市卫健委、市国资委、市医保局，各辖市区、常州经开区、科教城）</w:t>
      </w:r>
    </w:p>
    <w:p>
      <w:pPr>
        <w:adjustRightInd w:val="0"/>
        <w:snapToGrid w:val="0"/>
        <w:spacing w:line="560" w:lineRule="exact"/>
        <w:ind w:firstLine="643" w:firstLineChars="200"/>
        <w:jc w:val="left"/>
        <w:rPr>
          <w:rFonts w:ascii="Times New Roman" w:hAnsi="Times New Roman" w:eastAsia="仿宋_GB2312" w:cs="Times New Roman"/>
          <w:kern w:val="0"/>
          <w:sz w:val="32"/>
          <w:szCs w:val="32"/>
        </w:rPr>
      </w:pPr>
      <w:r>
        <w:rPr>
          <w:rFonts w:hint="eastAsia" w:ascii="Times New Roman" w:hAnsi="Times New Roman" w:eastAsia="楷体_GB2312" w:cs="Times New Roman"/>
          <w:b/>
          <w:bCs/>
          <w:color w:val="000000"/>
          <w:kern w:val="0"/>
          <w:sz w:val="32"/>
          <w:szCs w:val="32"/>
        </w:rPr>
        <w:t>8.提供高质量的</w:t>
      </w:r>
      <w:r>
        <w:rPr>
          <w:rFonts w:ascii="Times New Roman" w:hAnsi="Times New Roman" w:eastAsia="楷体_GB2312" w:cs="Times New Roman"/>
          <w:b/>
          <w:bCs/>
          <w:color w:val="000000"/>
          <w:kern w:val="0"/>
          <w:sz w:val="32"/>
          <w:szCs w:val="32"/>
        </w:rPr>
        <w:t>知识产权</w:t>
      </w:r>
      <w:r>
        <w:rPr>
          <w:rFonts w:hint="eastAsia" w:ascii="Times New Roman" w:hAnsi="Times New Roman" w:eastAsia="楷体_GB2312" w:cs="Times New Roman"/>
          <w:b/>
          <w:bCs/>
          <w:color w:val="000000"/>
          <w:kern w:val="0"/>
          <w:sz w:val="32"/>
          <w:szCs w:val="32"/>
        </w:rPr>
        <w:t>服务</w:t>
      </w:r>
      <w:r>
        <w:rPr>
          <w:rFonts w:ascii="Times New Roman" w:hAnsi="Times New Roman" w:eastAsia="楷体_GB2312" w:cs="Times New Roman"/>
          <w:b/>
          <w:bCs/>
          <w:color w:val="000000"/>
          <w:kern w:val="0"/>
          <w:sz w:val="32"/>
          <w:szCs w:val="32"/>
        </w:rPr>
        <w:t>。</w:t>
      </w:r>
      <w:r>
        <w:rPr>
          <w:rFonts w:ascii="Times New Roman" w:hAnsi="Times New Roman" w:eastAsia="仿宋_GB2312" w:cs="Times New Roman"/>
          <w:sz w:val="32"/>
          <w:szCs w:val="32"/>
        </w:rPr>
        <w:t>在全市</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潜在</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独角兽企业中遴选一批重点企业，引导企业实施知识产权战略、完善企业知识产权管理体系。支持企业加强专利信息利用，围绕重点研发项目开展专利导航。在市知识产权保护中心快速预审技术领域内为企业提供专利申请预审。为企业提供知识产权维权援助、知识产权人才培养服务，帮助企业建立知识产权人才团队，提高知识产权防范风险能力。（责任单位：</w:t>
      </w:r>
      <w:r>
        <w:rPr>
          <w:rFonts w:hint="eastAsia" w:ascii="Times New Roman" w:hAnsi="Times New Roman" w:eastAsia="仿宋_GB2312" w:cs="Times New Roman"/>
          <w:sz w:val="32"/>
          <w:szCs w:val="32"/>
        </w:rPr>
        <w:t>市</w:t>
      </w:r>
      <w:r>
        <w:rPr>
          <w:rFonts w:ascii="Times New Roman" w:hAnsi="Times New Roman" w:eastAsia="仿宋_GB2312" w:cs="Times New Roman"/>
          <w:sz w:val="32"/>
          <w:szCs w:val="32"/>
        </w:rPr>
        <w:t>市场监管局</w:t>
      </w:r>
      <w:r>
        <w:rPr>
          <w:rFonts w:hint="eastAsia" w:ascii="Times New Roman" w:hAnsi="Times New Roman" w:eastAsia="仿宋_GB2312" w:cs="Times New Roman"/>
          <w:sz w:val="32"/>
          <w:szCs w:val="32"/>
        </w:rPr>
        <w:t>、科教城</w:t>
      </w:r>
      <w:r>
        <w:rPr>
          <w:rFonts w:ascii="Times New Roman" w:hAnsi="Times New Roman" w:eastAsia="仿宋_GB2312" w:cs="Times New Roman"/>
          <w:sz w:val="32"/>
          <w:szCs w:val="32"/>
        </w:rPr>
        <w:t>）</w:t>
      </w:r>
    </w:p>
    <w:p>
      <w:pPr>
        <w:widowControl/>
        <w:adjustRightInd w:val="0"/>
        <w:snapToGrid w:val="0"/>
        <w:spacing w:line="560" w:lineRule="exact"/>
        <w:ind w:firstLine="643" w:firstLineChars="200"/>
        <w:jc w:val="left"/>
        <w:rPr>
          <w:rFonts w:ascii="Times New Roman" w:hAnsi="Times New Roman" w:eastAsia="仿宋_GB2312" w:cs="Times New Roman"/>
          <w:kern w:val="0"/>
          <w:sz w:val="32"/>
          <w:szCs w:val="32"/>
        </w:rPr>
      </w:pPr>
      <w:r>
        <w:rPr>
          <w:rFonts w:hint="eastAsia" w:ascii="Times New Roman" w:hAnsi="Times New Roman" w:eastAsia="楷体_GB2312" w:cs="Times New Roman"/>
          <w:b/>
          <w:bCs/>
          <w:color w:val="000000"/>
          <w:kern w:val="0"/>
          <w:sz w:val="32"/>
          <w:szCs w:val="32"/>
        </w:rPr>
        <w:t>9.建立快速畅通的服务绿色通道</w:t>
      </w:r>
      <w:r>
        <w:rPr>
          <w:rFonts w:ascii="Times New Roman" w:hAnsi="Times New Roman" w:eastAsia="楷体_GB2312" w:cs="Times New Roman"/>
          <w:b/>
          <w:bCs/>
          <w:color w:val="000000"/>
          <w:kern w:val="0"/>
          <w:sz w:val="32"/>
          <w:szCs w:val="32"/>
        </w:rPr>
        <w:t>。</w:t>
      </w:r>
      <w:r>
        <w:rPr>
          <w:rFonts w:hint="eastAsia" w:ascii="Times New Roman" w:hAnsi="Times New Roman" w:eastAsia="仿宋_GB2312" w:cs="Times New Roman"/>
          <w:sz w:val="32"/>
          <w:szCs w:val="32"/>
        </w:rPr>
        <w:t>为（潜在）独角兽</w:t>
      </w:r>
      <w:r>
        <w:rPr>
          <w:rFonts w:ascii="Times New Roman" w:hAnsi="Times New Roman" w:eastAsia="仿宋_GB2312" w:cs="Times New Roman"/>
          <w:sz w:val="32"/>
          <w:szCs w:val="32"/>
        </w:rPr>
        <w:t>企业</w:t>
      </w:r>
      <w:r>
        <w:rPr>
          <w:rFonts w:hint="eastAsia" w:ascii="仿宋_GB2312" w:eastAsia="仿宋_GB2312"/>
          <w:sz w:val="32"/>
          <w:szCs w:val="32"/>
        </w:rPr>
        <w:t>开通绿色通道，提供计量、标准、认证认可、检验检测、质量管理等一揽子综合服务和解决方案，</w:t>
      </w:r>
      <w:r>
        <w:rPr>
          <w:rFonts w:hint="eastAsia" w:ascii="Times New Roman" w:hAnsi="Times New Roman" w:eastAsia="仿宋_GB2312" w:cs="Times New Roman"/>
          <w:sz w:val="32"/>
          <w:szCs w:val="32"/>
        </w:rPr>
        <w:t>支持优势领域企业参与国际标准制修订工作。</w:t>
      </w:r>
      <w:r>
        <w:rPr>
          <w:rFonts w:hint="eastAsia" w:ascii="仿宋_GB2312" w:eastAsia="仿宋_GB2312"/>
          <w:sz w:val="32"/>
          <w:szCs w:val="32"/>
        </w:rPr>
        <w:t>通过“常州质量码”等渠道主动收集并快速响应（潜在）独角兽企业的检验检测需求，引导我市检验检测机构并协调省内国家级质检中心为企业提供精准服务。成立专业团队，指导有需求的</w:t>
      </w:r>
      <w:r>
        <w:rPr>
          <w:rFonts w:hint="eastAsia" w:ascii="Times New Roman" w:hAnsi="Times New Roman" w:eastAsia="仿宋_GB2312" w:cs="Times New Roman"/>
          <w:sz w:val="32"/>
          <w:szCs w:val="32"/>
        </w:rPr>
        <w:t>（潜在）独角兽</w:t>
      </w:r>
      <w:r>
        <w:rPr>
          <w:rFonts w:ascii="Times New Roman" w:hAnsi="Times New Roman" w:eastAsia="仿宋_GB2312" w:cs="Times New Roman"/>
          <w:sz w:val="32"/>
          <w:szCs w:val="32"/>
        </w:rPr>
        <w:t>企业</w:t>
      </w:r>
      <w:r>
        <w:rPr>
          <w:rFonts w:hint="eastAsia" w:ascii="仿宋_GB2312" w:eastAsia="仿宋_GB2312"/>
          <w:sz w:val="32"/>
          <w:szCs w:val="32"/>
        </w:rPr>
        <w:t>尽快取得CNAS实验室认可资质</w:t>
      </w:r>
      <w:r>
        <w:rPr>
          <w:rFonts w:hint="eastAsia" w:ascii="Times New Roman" w:hAnsi="Times New Roman" w:eastAsia="仿宋_GB2312" w:cs="Times New Roman"/>
          <w:sz w:val="32"/>
          <w:szCs w:val="32"/>
        </w:rPr>
        <w:t>。鼓励各板块组建</w:t>
      </w:r>
      <w:r>
        <w:rPr>
          <w:rFonts w:hint="eastAsia" w:ascii="仿宋_GB2312" w:eastAsia="仿宋_GB2312"/>
          <w:sz w:val="32"/>
          <w:szCs w:val="32"/>
        </w:rPr>
        <w:t>“代办员”队伍，提高</w:t>
      </w:r>
      <w:r>
        <w:rPr>
          <w:rFonts w:hint="eastAsia" w:ascii="Times New Roman" w:hAnsi="Times New Roman" w:eastAsia="仿宋_GB2312" w:cs="Times New Roman"/>
          <w:sz w:val="32"/>
          <w:szCs w:val="32"/>
        </w:rPr>
        <w:t>（潜在）</w:t>
      </w:r>
      <w:r>
        <w:rPr>
          <w:rFonts w:hint="eastAsia" w:ascii="仿宋_GB2312" w:eastAsia="仿宋_GB2312"/>
          <w:sz w:val="32"/>
          <w:szCs w:val="32"/>
        </w:rPr>
        <w:t>独角兽企业行政事项审批效率。</w:t>
      </w:r>
      <w:r>
        <w:rPr>
          <w:rFonts w:hint="eastAsia" w:ascii="Times New Roman" w:hAnsi="Times New Roman" w:eastAsia="仿宋_GB2312" w:cs="Times New Roman"/>
          <w:sz w:val="32"/>
          <w:szCs w:val="32"/>
        </w:rPr>
        <w:t>针对（潜在）独角兽企业的省市重点建设项目，加快审批进度，力争实现“拿地即开工”。</w:t>
      </w:r>
      <w:r>
        <w:rPr>
          <w:rFonts w:ascii="Times New Roman" w:hAnsi="Times New Roman" w:eastAsia="仿宋_GB2312" w:cs="Times New Roman"/>
          <w:sz w:val="32"/>
          <w:szCs w:val="32"/>
        </w:rPr>
        <w:t>（责任单位：</w:t>
      </w:r>
      <w:r>
        <w:rPr>
          <w:rFonts w:hint="eastAsia" w:ascii="Times New Roman" w:hAnsi="Times New Roman" w:eastAsia="仿宋_GB2312" w:cs="Times New Roman"/>
          <w:sz w:val="32"/>
          <w:szCs w:val="32"/>
        </w:rPr>
        <w:t>市</w:t>
      </w:r>
      <w:r>
        <w:rPr>
          <w:rFonts w:ascii="Times New Roman" w:hAnsi="Times New Roman" w:eastAsia="仿宋_GB2312" w:cs="Times New Roman"/>
          <w:sz w:val="32"/>
          <w:szCs w:val="32"/>
        </w:rPr>
        <w:t>市场监管局</w:t>
      </w:r>
      <w:r>
        <w:rPr>
          <w:rFonts w:hint="eastAsia" w:ascii="Times New Roman" w:hAnsi="Times New Roman" w:eastAsia="仿宋_GB2312" w:cs="Times New Roman"/>
          <w:sz w:val="32"/>
          <w:szCs w:val="32"/>
        </w:rPr>
        <w:t>、市政务办、市发改委、市资源规划局、市住建局，各辖市区、常州经开区、科教城</w:t>
      </w:r>
      <w:r>
        <w:rPr>
          <w:rFonts w:ascii="Times New Roman" w:hAnsi="Times New Roman" w:eastAsia="仿宋_GB2312" w:cs="Times New Roman"/>
          <w:sz w:val="32"/>
          <w:szCs w:val="32"/>
        </w:rPr>
        <w:t>）</w:t>
      </w:r>
    </w:p>
    <w:p>
      <w:pPr>
        <w:pStyle w:val="22"/>
        <w:adjustRightInd w:val="0"/>
        <w:snapToGrid w:val="0"/>
        <w:spacing w:before="0" w:after="0" w:line="560" w:lineRule="exact"/>
        <w:ind w:firstLine="643" w:firstLineChars="200"/>
        <w:jc w:val="left"/>
        <w:rPr>
          <w:rFonts w:ascii="Times New Roman" w:hAnsi="Times New Roman"/>
          <w:b w:val="0"/>
          <w:bCs w:val="0"/>
          <w:kern w:val="2"/>
          <w:szCs w:val="32"/>
        </w:rPr>
      </w:pPr>
      <w:r>
        <w:rPr>
          <w:rFonts w:hint="eastAsia" w:ascii="Times New Roman" w:hAnsi="Times New Roman" w:eastAsia="楷体_GB2312"/>
          <w:color w:val="000000"/>
          <w:szCs w:val="32"/>
        </w:rPr>
        <w:t>10</w:t>
      </w:r>
      <w:r>
        <w:rPr>
          <w:rFonts w:ascii="Times New Roman" w:hAnsi="Times New Roman" w:eastAsia="楷体_GB2312"/>
          <w:color w:val="000000"/>
          <w:szCs w:val="32"/>
        </w:rPr>
        <w:t>.</w:t>
      </w:r>
      <w:r>
        <w:rPr>
          <w:rFonts w:hint="eastAsia" w:ascii="Times New Roman" w:hAnsi="Times New Roman" w:eastAsia="楷体_GB2312"/>
          <w:color w:val="000000"/>
          <w:szCs w:val="32"/>
        </w:rPr>
        <w:t>涵养高浓度的科技</w:t>
      </w:r>
      <w:r>
        <w:rPr>
          <w:rFonts w:ascii="Times New Roman" w:hAnsi="Times New Roman" w:eastAsia="楷体_GB2312"/>
          <w:color w:val="000000"/>
          <w:szCs w:val="32"/>
        </w:rPr>
        <w:t>创新</w:t>
      </w:r>
      <w:r>
        <w:rPr>
          <w:rFonts w:hint="eastAsia" w:ascii="Times New Roman" w:hAnsi="Times New Roman" w:eastAsia="楷体_GB2312"/>
          <w:color w:val="000000"/>
          <w:szCs w:val="32"/>
        </w:rPr>
        <w:t>生态</w:t>
      </w:r>
      <w:r>
        <w:rPr>
          <w:rFonts w:ascii="Times New Roman" w:hAnsi="Times New Roman" w:eastAsia="楷体_GB2312"/>
          <w:color w:val="000000"/>
          <w:szCs w:val="32"/>
        </w:rPr>
        <w:t>。</w:t>
      </w:r>
      <w:r>
        <w:rPr>
          <w:rFonts w:ascii="Times New Roman" w:hAnsi="Times New Roman"/>
          <w:b w:val="0"/>
          <w:bCs w:val="0"/>
          <w:kern w:val="2"/>
          <w:szCs w:val="32"/>
        </w:rPr>
        <w:t>深化“科技新长征”，大力度开展国际国内产学研对接活动，搭建产学研合作平台。</w:t>
      </w:r>
      <w:r>
        <w:rPr>
          <w:rFonts w:hint="eastAsia" w:ascii="Times New Roman" w:hAnsi="Times New Roman"/>
          <w:b w:val="0"/>
          <w:bCs w:val="0"/>
          <w:kern w:val="2"/>
          <w:szCs w:val="32"/>
        </w:rPr>
        <w:t>深化科创“优</w:t>
      </w:r>
      <w:r>
        <w:rPr>
          <w:rFonts w:hint="eastAsia" w:ascii="Times New Roman" w:hAnsi="Times New Roman"/>
          <w:b w:val="0"/>
          <w:bCs w:val="0"/>
          <w:kern w:val="2"/>
          <w:szCs w:val="32"/>
          <w:vertAlign w:val="superscript"/>
        </w:rPr>
        <w:t>+</w:t>
      </w:r>
      <w:r>
        <w:rPr>
          <w:rFonts w:hint="eastAsia" w:ascii="Times New Roman" w:hAnsi="Times New Roman"/>
          <w:b w:val="0"/>
          <w:bCs w:val="0"/>
          <w:kern w:val="2"/>
          <w:szCs w:val="32"/>
        </w:rPr>
        <w:t>”服务，办好“一赛一课三营”（创新创业大赛，“创新常州”公开课，科创训练营、“科招先锋”训练营、独角兽加速营）</w:t>
      </w:r>
      <w:r>
        <w:rPr>
          <w:rFonts w:ascii="Times New Roman" w:hAnsi="Times New Roman"/>
          <w:b w:val="0"/>
          <w:bCs w:val="0"/>
          <w:kern w:val="2"/>
          <w:szCs w:val="32"/>
        </w:rPr>
        <w:t>，</w:t>
      </w:r>
      <w:r>
        <w:rPr>
          <w:rFonts w:hint="eastAsia" w:ascii="Times New Roman" w:hAnsi="Times New Roman"/>
          <w:b w:val="0"/>
          <w:bCs w:val="0"/>
          <w:kern w:val="2"/>
          <w:szCs w:val="32"/>
        </w:rPr>
        <w:t>举办高能级独角兽企业大会，优先推荐符合条件的种子独角兽企业参加省级以上创新创业大赛，营造浓厚的创新创业氛围</w:t>
      </w:r>
      <w:r>
        <w:rPr>
          <w:rFonts w:ascii="Times New Roman" w:hAnsi="Times New Roman"/>
          <w:b w:val="0"/>
          <w:bCs w:val="0"/>
          <w:kern w:val="2"/>
          <w:szCs w:val="32"/>
        </w:rPr>
        <w:t>。常态化开展以培育</w:t>
      </w:r>
      <w:r>
        <w:rPr>
          <w:rFonts w:ascii="Times New Roman" w:hAnsi="Times New Roman" w:cs="Times New Roman"/>
          <w:b w:val="0"/>
          <w:bCs w:val="0"/>
          <w:szCs w:val="32"/>
        </w:rPr>
        <w:t>独角兽、潜在独角兽、种子独角兽</w:t>
      </w:r>
      <w:r>
        <w:rPr>
          <w:rFonts w:hint="eastAsia" w:ascii="Times New Roman" w:hAnsi="Times New Roman" w:cs="Times New Roman"/>
          <w:b w:val="0"/>
          <w:bCs w:val="0"/>
          <w:szCs w:val="32"/>
        </w:rPr>
        <w:t>企业</w:t>
      </w:r>
      <w:r>
        <w:rPr>
          <w:rFonts w:ascii="Times New Roman" w:hAnsi="Times New Roman"/>
          <w:b w:val="0"/>
          <w:bCs w:val="0"/>
          <w:kern w:val="2"/>
          <w:szCs w:val="32"/>
        </w:rPr>
        <w:t>为核心的企业服务工作，为硬科技高成长企业提供创业辅导培育、商业模式打磨、场景创新指导、金融资本对接等服务</w:t>
      </w:r>
      <w:r>
        <w:rPr>
          <w:rFonts w:hint="eastAsia" w:ascii="Times New Roman" w:hAnsi="Times New Roman"/>
          <w:b w:val="0"/>
          <w:bCs w:val="0"/>
          <w:kern w:val="2"/>
          <w:szCs w:val="32"/>
        </w:rPr>
        <w:t>，并</w:t>
      </w:r>
      <w:r>
        <w:rPr>
          <w:rFonts w:ascii="Times New Roman" w:hAnsi="Times New Roman"/>
          <w:b w:val="0"/>
          <w:bCs w:val="0"/>
          <w:kern w:val="2"/>
          <w:szCs w:val="32"/>
        </w:rPr>
        <w:t>立足我市产业优势和区位优势，利用以园招商、以商招商和链式招商、基金招商等</w:t>
      </w:r>
      <w:r>
        <w:rPr>
          <w:rFonts w:hint="eastAsia" w:ascii="Times New Roman" w:hAnsi="Times New Roman"/>
          <w:b w:val="0"/>
          <w:bCs w:val="0"/>
          <w:kern w:val="2"/>
          <w:szCs w:val="32"/>
        </w:rPr>
        <w:t>，鼓励行业龙头企业来常布局关键环节、孵育独角兽企业。（责任单位：市科技局，各辖市区、常州经开区、科教城）</w:t>
      </w:r>
    </w:p>
    <w:p>
      <w:pPr>
        <w:spacing w:line="560" w:lineRule="exact"/>
      </w:pPr>
    </w:p>
    <w:p>
      <w:pPr>
        <w:pStyle w:val="2"/>
      </w:pPr>
    </w:p>
    <w:sectPr>
      <w:footerReference r:id="rId3" w:type="default"/>
      <w:pgSz w:w="11906" w:h="16838"/>
      <w:pgMar w:top="2098" w:right="1531" w:bottom="1985" w:left="1531" w:header="720"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B64FE5"/>
    <w:rsid w:val="00021D37"/>
    <w:rsid w:val="00077BF9"/>
    <w:rsid w:val="000954B2"/>
    <w:rsid w:val="000C324C"/>
    <w:rsid w:val="00112C23"/>
    <w:rsid w:val="00114C77"/>
    <w:rsid w:val="00137530"/>
    <w:rsid w:val="00184BF0"/>
    <w:rsid w:val="001B2DC8"/>
    <w:rsid w:val="002A2C97"/>
    <w:rsid w:val="00330FAB"/>
    <w:rsid w:val="0042414B"/>
    <w:rsid w:val="0046402B"/>
    <w:rsid w:val="00530A66"/>
    <w:rsid w:val="00570582"/>
    <w:rsid w:val="005D289E"/>
    <w:rsid w:val="005E41C8"/>
    <w:rsid w:val="00632F56"/>
    <w:rsid w:val="0077038A"/>
    <w:rsid w:val="0083148E"/>
    <w:rsid w:val="008F6BBE"/>
    <w:rsid w:val="00962DD2"/>
    <w:rsid w:val="00965083"/>
    <w:rsid w:val="00970FC7"/>
    <w:rsid w:val="00997A67"/>
    <w:rsid w:val="00A82F5E"/>
    <w:rsid w:val="00AB1BA8"/>
    <w:rsid w:val="00AB2E0F"/>
    <w:rsid w:val="00B07CF1"/>
    <w:rsid w:val="00B15588"/>
    <w:rsid w:val="00B64FE5"/>
    <w:rsid w:val="00BB4D4B"/>
    <w:rsid w:val="00CA701C"/>
    <w:rsid w:val="00CC2687"/>
    <w:rsid w:val="00CD57B5"/>
    <w:rsid w:val="00D056E6"/>
    <w:rsid w:val="00D43990"/>
    <w:rsid w:val="00D44861"/>
    <w:rsid w:val="00DB2553"/>
    <w:rsid w:val="00DD28CC"/>
    <w:rsid w:val="00E63A9B"/>
    <w:rsid w:val="00ED47DE"/>
    <w:rsid w:val="00F1637A"/>
    <w:rsid w:val="00F509A3"/>
    <w:rsid w:val="00FC193E"/>
    <w:rsid w:val="038A7479"/>
    <w:rsid w:val="04C410F4"/>
    <w:rsid w:val="04DD5D12"/>
    <w:rsid w:val="0633208D"/>
    <w:rsid w:val="0A03366B"/>
    <w:rsid w:val="0E146C48"/>
    <w:rsid w:val="18D92F68"/>
    <w:rsid w:val="1E57048B"/>
    <w:rsid w:val="2181419D"/>
    <w:rsid w:val="261A5A10"/>
    <w:rsid w:val="26974F11"/>
    <w:rsid w:val="276C31F9"/>
    <w:rsid w:val="2DBE22D5"/>
    <w:rsid w:val="3242046E"/>
    <w:rsid w:val="36772933"/>
    <w:rsid w:val="39D72754"/>
    <w:rsid w:val="3D0D2931"/>
    <w:rsid w:val="49465201"/>
    <w:rsid w:val="4B096134"/>
    <w:rsid w:val="4E4D7031"/>
    <w:rsid w:val="56C854A7"/>
    <w:rsid w:val="6315416A"/>
    <w:rsid w:val="6E1374F8"/>
    <w:rsid w:val="72FC77E5"/>
    <w:rsid w:val="736B748E"/>
    <w:rsid w:val="78EF74C8"/>
    <w:rsid w:val="7D6E2861"/>
    <w:rsid w:val="7E132B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rPr>
  </w:style>
  <w:style w:type="paragraph" w:styleId="4">
    <w:name w:val="Body Text Indent"/>
    <w:basedOn w:val="1"/>
    <w:next w:val="5"/>
    <w:qFormat/>
    <w:uiPriority w:val="0"/>
    <w:pPr>
      <w:ind w:firstLine="200" w:firstLineChars="200"/>
    </w:pPr>
    <w:rPr>
      <w:rFonts w:ascii="仿宋_GB2312" w:hAnsi="仿宋_GB2312"/>
      <w:sz w:val="32"/>
    </w:rPr>
  </w:style>
  <w:style w:type="paragraph" w:styleId="5">
    <w:name w:val="Body Text First Indent 2"/>
    <w:basedOn w:val="4"/>
    <w:next w:val="6"/>
    <w:qFormat/>
    <w:uiPriority w:val="0"/>
    <w:rPr>
      <w:rFonts w:cs="Times New Roman"/>
    </w:rPr>
  </w:style>
  <w:style w:type="paragraph" w:styleId="6">
    <w:name w:val="Body Text First Indent"/>
    <w:basedOn w:val="2"/>
    <w:next w:val="1"/>
    <w:unhideWhenUsed/>
    <w:qFormat/>
    <w:uiPriority w:val="99"/>
    <w:pPr>
      <w:ind w:firstLine="420" w:firstLineChars="100"/>
    </w:pPr>
  </w:style>
  <w:style w:type="paragraph" w:styleId="7">
    <w:name w:val="Balloon Text"/>
    <w:basedOn w:val="1"/>
    <w:link w:val="17"/>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3">
    <w:name w:val="Emphasis"/>
    <w:basedOn w:val="12"/>
    <w:qFormat/>
    <w:uiPriority w:val="20"/>
    <w:rPr>
      <w:i/>
      <w:iCs/>
    </w:rPr>
  </w:style>
  <w:style w:type="character" w:styleId="14">
    <w:name w:val="Hyperlink"/>
    <w:basedOn w:val="12"/>
    <w:unhideWhenUsed/>
    <w:qFormat/>
    <w:uiPriority w:val="99"/>
    <w:rPr>
      <w:color w:val="0000FF" w:themeColor="hyperlink"/>
      <w:u w:val="single"/>
    </w:rPr>
  </w:style>
  <w:style w:type="character" w:customStyle="1" w:styleId="15">
    <w:name w:val="页眉 Char"/>
    <w:basedOn w:val="12"/>
    <w:link w:val="9"/>
    <w:qFormat/>
    <w:uiPriority w:val="99"/>
    <w:rPr>
      <w:sz w:val="18"/>
      <w:szCs w:val="18"/>
    </w:rPr>
  </w:style>
  <w:style w:type="character" w:customStyle="1" w:styleId="16">
    <w:name w:val="页脚 Char"/>
    <w:basedOn w:val="12"/>
    <w:link w:val="8"/>
    <w:qFormat/>
    <w:uiPriority w:val="99"/>
    <w:rPr>
      <w:sz w:val="18"/>
      <w:szCs w:val="18"/>
    </w:rPr>
  </w:style>
  <w:style w:type="character" w:customStyle="1" w:styleId="17">
    <w:name w:val="批注框文本 Char"/>
    <w:basedOn w:val="12"/>
    <w:link w:val="7"/>
    <w:semiHidden/>
    <w:qFormat/>
    <w:uiPriority w:val="99"/>
    <w:rPr>
      <w:kern w:val="2"/>
      <w:sz w:val="18"/>
      <w:szCs w:val="18"/>
    </w:rPr>
  </w:style>
  <w:style w:type="character" w:customStyle="1" w:styleId="18">
    <w:name w:val="apple-style-span"/>
    <w:basedOn w:val="12"/>
    <w:qFormat/>
    <w:uiPriority w:val="0"/>
    <w:rPr>
      <w:rFonts w:hint="default" w:ascii="Times New Roman" w:hAnsi="Times New Roman" w:cs="Times New Roman"/>
    </w:rPr>
  </w:style>
  <w:style w:type="paragraph" w:customStyle="1" w:styleId="19">
    <w:name w:val="正文1"/>
    <w:basedOn w:val="1"/>
    <w:qFormat/>
    <w:uiPriority w:val="0"/>
    <w:pPr>
      <w:widowControl/>
    </w:pPr>
    <w:rPr>
      <w:rFonts w:ascii="等线" w:hAnsi="等线" w:eastAsia="宋体"/>
      <w:szCs w:val="21"/>
    </w:rPr>
  </w:style>
  <w:style w:type="paragraph" w:customStyle="1" w:styleId="20">
    <w:name w:val="列出段落1"/>
    <w:basedOn w:val="1"/>
    <w:qFormat/>
    <w:uiPriority w:val="99"/>
    <w:pPr>
      <w:ind w:firstLine="420" w:firstLineChars="200"/>
    </w:pPr>
  </w:style>
  <w:style w:type="character" w:customStyle="1" w:styleId="21">
    <w:name w:val="NormalCharacter"/>
    <w:semiHidden/>
    <w:qFormat/>
    <w:uiPriority w:val="0"/>
  </w:style>
  <w:style w:type="paragraph" w:customStyle="1" w:styleId="22">
    <w:name w:val="正文+仿宋"/>
    <w:basedOn w:val="10"/>
    <w:qFormat/>
    <w:uiPriority w:val="0"/>
    <w:pPr>
      <w:spacing w:beforeAutospacing="0" w:afterAutospacing="0" w:line="579" w:lineRule="atLeast"/>
      <w:ind w:firstLine="627" w:firstLineChars="196"/>
      <w:jc w:val="both"/>
    </w:pPr>
    <w:rPr>
      <w:rFonts w:ascii="仿宋_GB2312" w:hAnsi="仿宋_GB2312" w:eastAsia="仿宋_GB2312"/>
      <w:b/>
      <w:bCs/>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10</Pages>
  <Words>4520</Words>
  <Characters>4701</Characters>
  <Lines>33</Lines>
  <Paragraphs>9</Paragraphs>
  <TotalTime>13</TotalTime>
  <ScaleCrop>false</ScaleCrop>
  <LinksUpToDate>false</LinksUpToDate>
  <CharactersWithSpaces>4711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2023-08-03T07:08:00Z</dcterms:created>
  <dc:creator>Administrator</dc:creator>
  <cp:lastModifiedBy>人间四月天</cp:lastModifiedBy>
  <cp:lastPrinted>2023-08-04T10:04:00Z</cp:lastPrinted>
  <dcterms:modified xsi:type="dcterms:W3CDTF">2023-08-04T10:37:10Z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895CBAF20BCA4C99931A2FC68D3AC5C6_13</vt:lpwstr>
  </property>
</Properties>
</file>