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Times New Roman" w:hAnsi="Times New Roman" w:eastAsia="方正小标宋简体" w:cs="Times New Roman"/>
          <w:sz w:val="44"/>
          <w:szCs w:val="44"/>
        </w:rPr>
      </w:pPr>
    </w:p>
    <w:p>
      <w:pPr>
        <w:pStyle w:val="10"/>
        <w:shd w:val="clear" w:color="auto" w:fill="FFFFFF"/>
        <w:spacing w:before="0" w:beforeAutospacing="0" w:after="0" w:afterAutospacing="0" w:line="560" w:lineRule="exact"/>
        <w:rPr>
          <w:rFonts w:ascii="黑体" w:hAnsi="黑体" w:eastAsia="黑体"/>
          <w:color w:val="333333"/>
          <w:sz w:val="32"/>
          <w:szCs w:val="32"/>
        </w:rPr>
      </w:pPr>
      <w:r>
        <w:rPr>
          <w:rFonts w:hint="eastAsia" w:ascii="黑体" w:hAnsi="黑体" w:eastAsia="黑体"/>
          <w:color w:val="333333"/>
          <w:sz w:val="32"/>
          <w:szCs w:val="32"/>
        </w:rPr>
        <w:t>附件</w:t>
      </w:r>
      <w:r>
        <w:rPr>
          <w:rFonts w:ascii="Times New Roman" w:hAnsi="Times New Roman" w:eastAsia="黑体" w:cs="Times New Roman"/>
          <w:color w:val="333333"/>
          <w:sz w:val="32"/>
          <w:szCs w:val="32"/>
        </w:rPr>
        <w:t>2</w:t>
      </w:r>
    </w:p>
    <w:p>
      <w:pPr>
        <w:adjustRightInd w:val="0"/>
        <w:snapToGrid w:val="0"/>
        <w:spacing w:line="560" w:lineRule="exact"/>
        <w:rPr>
          <w:rFonts w:ascii="Times New Roman" w:hAnsi="Times New Roman" w:eastAsia="方正小标宋简体" w:cs="Times New Roman"/>
          <w:sz w:val="44"/>
          <w:szCs w:val="44"/>
        </w:rPr>
      </w:pPr>
    </w:p>
    <w:p>
      <w:pPr>
        <w:adjustRightInd w:val="0"/>
        <w:snapToGrid w:val="0"/>
        <w:spacing w:line="56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常州市独角兽企业</w:t>
      </w:r>
      <w:r>
        <w:rPr>
          <w:rFonts w:hint="eastAsia" w:ascii="Times New Roman" w:hAnsi="Times New Roman" w:eastAsia="方正小标宋简体" w:cs="Times New Roman"/>
          <w:sz w:val="44"/>
          <w:szCs w:val="44"/>
        </w:rPr>
        <w:t>成长支持</w:t>
      </w:r>
      <w:r>
        <w:rPr>
          <w:rFonts w:ascii="Times New Roman" w:hAnsi="Times New Roman" w:eastAsia="方正小标宋简体" w:cs="Times New Roman"/>
          <w:sz w:val="44"/>
          <w:szCs w:val="44"/>
        </w:rPr>
        <w:t>计划</w:t>
      </w:r>
    </w:p>
    <w:p>
      <w:pPr>
        <w:adjustRightInd w:val="0"/>
        <w:snapToGrid w:val="0"/>
        <w:spacing w:line="56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（2023-2025年）的</w:t>
      </w:r>
      <w:r>
        <w:rPr>
          <w:rFonts w:hint="eastAsia" w:ascii="方正小标宋简体" w:eastAsia="方正小标宋简体"/>
          <w:color w:val="000000" w:themeColor="text1"/>
          <w:sz w:val="44"/>
          <w:szCs w:val="44"/>
        </w:rPr>
        <w:t>起草说明</w:t>
      </w:r>
    </w:p>
    <w:p>
      <w:pPr>
        <w:pStyle w:val="10"/>
        <w:shd w:val="clear" w:color="auto" w:fill="FFFFFF"/>
        <w:spacing w:before="0" w:beforeAutospacing="0" w:after="0" w:afterAutospacing="0" w:line="560" w:lineRule="exact"/>
        <w:ind w:firstLine="640"/>
        <w:rPr>
          <w:rFonts w:ascii="黑体" w:hAnsi="黑体" w:eastAsia="黑体"/>
          <w:color w:val="333333"/>
          <w:sz w:val="32"/>
          <w:szCs w:val="32"/>
        </w:rPr>
      </w:pPr>
    </w:p>
    <w:p>
      <w:pPr>
        <w:pStyle w:val="10"/>
        <w:shd w:val="clear" w:color="auto" w:fill="FFFFFF"/>
        <w:spacing w:before="0" w:beforeAutospacing="0" w:after="0" w:afterAutospacing="0" w:line="560" w:lineRule="exact"/>
        <w:ind w:firstLine="640"/>
        <w:rPr>
          <w:rFonts w:ascii="仿宋_GB2312" w:eastAsia="仿宋_GB2312" w:hAnsiTheme="minorHAnsi" w:cstheme="minorBidi"/>
          <w:color w:val="000000" w:themeColor="text1"/>
          <w:kern w:val="2"/>
          <w:sz w:val="32"/>
          <w:szCs w:val="32"/>
        </w:rPr>
      </w:pPr>
      <w:r>
        <w:rPr>
          <w:rFonts w:hint="eastAsia" w:ascii="仿宋_GB2312" w:eastAsia="仿宋_GB2312" w:hAnsiTheme="minorHAnsi" w:cstheme="minorBidi"/>
          <w:kern w:val="2"/>
          <w:sz w:val="32"/>
          <w:szCs w:val="32"/>
        </w:rPr>
        <w:t>为深入实施创新驱动发展战略，全面落实习近平总书记对江苏提出的“四个走在前”“四个新”重大任务，强化企业科技创新主体地位，持续壮大高成长硬科技企业集群，着力开辟发展新领域新赛道，塑造发展新动能新优势，市科技局起草了</w:t>
      </w:r>
      <w:r>
        <w:rPr>
          <w:rFonts w:hint="eastAsia" w:ascii="仿宋_GB2312" w:eastAsia="仿宋_GB2312" w:hAnsiTheme="minorHAnsi" w:cstheme="minorBidi"/>
          <w:color w:val="000000" w:themeColor="text1"/>
          <w:kern w:val="2"/>
          <w:sz w:val="32"/>
          <w:szCs w:val="32"/>
        </w:rPr>
        <w:t>《常州市独角兽企业成长支持计划(</w:t>
      </w:r>
      <w:r>
        <w:rPr>
          <w:rFonts w:ascii="Times New Roman" w:hAnsi="Times New Roman" w:eastAsia="仿宋_GB2312" w:cs="Times New Roman"/>
          <w:color w:val="000000" w:themeColor="text1"/>
          <w:kern w:val="2"/>
          <w:sz w:val="32"/>
          <w:szCs w:val="32"/>
        </w:rPr>
        <w:t>2022-2025</w:t>
      </w:r>
      <w:r>
        <w:rPr>
          <w:rFonts w:hint="eastAsia" w:ascii="仿宋_GB2312" w:eastAsia="仿宋_GB2312" w:hAnsiTheme="minorHAnsi" w:cstheme="minorBidi"/>
          <w:color w:val="000000" w:themeColor="text1"/>
          <w:kern w:val="2"/>
          <w:sz w:val="32"/>
          <w:szCs w:val="32"/>
        </w:rPr>
        <w:t>年）》（以下简称《支持计划》）。现将有关情况说明如下：</w:t>
      </w:r>
    </w:p>
    <w:p>
      <w:pPr>
        <w:overflowPunct w:val="0"/>
        <w:autoSpaceDE w:val="0"/>
        <w:autoSpaceDN w:val="0"/>
        <w:adjustRightInd w:val="0"/>
        <w:snapToGrid w:val="0"/>
        <w:spacing w:line="560" w:lineRule="exact"/>
        <w:ind w:firstLine="641"/>
        <w:rPr>
          <w:rStyle w:val="18"/>
          <w:rFonts w:eastAsia="黑体"/>
          <w:sz w:val="32"/>
          <w:szCs w:val="32"/>
        </w:rPr>
      </w:pPr>
      <w:r>
        <w:rPr>
          <w:rStyle w:val="18"/>
          <w:rFonts w:eastAsia="黑体"/>
          <w:sz w:val="32"/>
          <w:szCs w:val="32"/>
        </w:rPr>
        <w:t>一、起草背景</w:t>
      </w:r>
    </w:p>
    <w:p>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《江苏省国民经济和社会发展第十四个五年规划和二</w:t>
      </w:r>
      <w:r>
        <w:rPr>
          <w:rFonts w:hint="eastAsia" w:ascii="宋体" w:hAnsi="宋体" w:eastAsia="宋体" w:cs="宋体"/>
          <w:sz w:val="32"/>
          <w:szCs w:val="32"/>
        </w:rPr>
        <w:t>〇</w:t>
      </w:r>
      <w:r>
        <w:rPr>
          <w:rFonts w:hint="eastAsia" w:ascii="仿宋_GB2312" w:hAnsi="仿宋_GB2312" w:eastAsia="仿宋_GB2312" w:cs="仿宋_GB2312"/>
          <w:sz w:val="32"/>
          <w:szCs w:val="32"/>
        </w:rPr>
        <w:t>三五年远景目标纲要》提出：“加快培育一批集成创新能力强、核心竞争优势明显的创新型领军企业、独角兽企业和瞪羚企业”。</w:t>
      </w:r>
      <w:r>
        <w:rPr>
          <w:rFonts w:hint="eastAsia" w:ascii="仿宋_GB2312" w:hAnsi="Calibri" w:eastAsia="仿宋_GB2312" w:cs="Times New Roman"/>
          <w:sz w:val="32"/>
          <w:szCs w:val="32"/>
        </w:rPr>
        <w:t>《常州市国民经济和社会发展第十四个五年规划和二</w:t>
      </w:r>
      <w:r>
        <w:rPr>
          <w:rFonts w:hint="eastAsia" w:ascii="宋体" w:hAnsi="宋体" w:eastAsia="宋体" w:cs="宋体"/>
          <w:sz w:val="32"/>
          <w:szCs w:val="32"/>
        </w:rPr>
        <w:t>〇</w:t>
      </w:r>
      <w:r>
        <w:rPr>
          <w:rFonts w:hint="eastAsia" w:ascii="仿宋_GB2312" w:hAnsi="仿宋_GB2312" w:eastAsia="仿宋_GB2312" w:cs="仿宋_GB2312"/>
          <w:sz w:val="32"/>
          <w:szCs w:val="32"/>
        </w:rPr>
        <w:t>三五年远景目标纲要》提出：“打通‘初创企业</w:t>
      </w:r>
      <w:r>
        <w:rPr>
          <w:rFonts w:hint="eastAsia" w:ascii="仿宋_GB2312" w:hAnsi="Calibri" w:eastAsia="仿宋_GB2312" w:cs="Times New Roman"/>
          <w:sz w:val="32"/>
          <w:szCs w:val="32"/>
        </w:rPr>
        <w:t>-科技型中小企业-高新技术企业-瞪羚企业-独角兽企业-上市企业’跃升路径，到</w:t>
      </w:r>
      <w:r>
        <w:rPr>
          <w:rFonts w:ascii="Times New Roman" w:hAnsi="Times New Roman" w:eastAsia="仿宋_GB2312" w:cs="Times New Roman"/>
          <w:sz w:val="32"/>
          <w:szCs w:val="32"/>
        </w:rPr>
        <w:t>2025</w:t>
      </w:r>
      <w:r>
        <w:rPr>
          <w:rFonts w:hint="eastAsia" w:ascii="仿宋_GB2312" w:hAnsi="Calibri" w:eastAsia="仿宋_GB2312" w:cs="Times New Roman"/>
          <w:sz w:val="32"/>
          <w:szCs w:val="32"/>
        </w:rPr>
        <w:t>年，独角兽（或潜在独角兽）企业达</w:t>
      </w:r>
      <w:r>
        <w:rPr>
          <w:rFonts w:ascii="Times New Roman" w:hAnsi="Times New Roman" w:eastAsia="仿宋_GB2312" w:cs="Times New Roman"/>
          <w:sz w:val="32"/>
          <w:szCs w:val="32"/>
        </w:rPr>
        <w:t>50</w:t>
      </w:r>
      <w:r>
        <w:rPr>
          <w:rFonts w:hint="eastAsia" w:ascii="仿宋_GB2312" w:hAnsi="Calibri" w:eastAsia="仿宋_GB2312" w:cs="Times New Roman"/>
          <w:sz w:val="32"/>
          <w:szCs w:val="32"/>
        </w:rPr>
        <w:t>家”。《常州市“十四五”科技创新发展规划》提出：“建立瞪羚企业、潜在独角兽企业、独角兽企业的遴选、培育和发布工作机制，集聚一批创新性强、增长速度快、发展前景好的科技型企业”。</w:t>
      </w:r>
    </w:p>
    <w:p>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经过前期培育，常州目前累计有</w:t>
      </w:r>
      <w:r>
        <w:rPr>
          <w:rFonts w:ascii="Times New Roman" w:hAnsi="Times New Roman" w:eastAsia="仿宋_GB2312" w:cs="Times New Roman"/>
          <w:sz w:val="32"/>
          <w:szCs w:val="32"/>
        </w:rPr>
        <w:t>44</w:t>
      </w:r>
      <w:r>
        <w:rPr>
          <w:rFonts w:hint="eastAsia" w:ascii="仿宋_GB2312" w:hAnsi="Calibri" w:eastAsia="仿宋_GB2312" w:cs="Times New Roman"/>
          <w:sz w:val="32"/>
          <w:szCs w:val="32"/>
        </w:rPr>
        <w:t>家（潜在）独角兽企业，但还存在后备企业库仍需再扩容、研发能力仍需再提升、应用场景仍需再创造、（潜在）独角兽企业内生孵育能力仍需再提质等现实困境。</w:t>
      </w:r>
    </w:p>
    <w:p>
      <w:pPr>
        <w:spacing w:line="560" w:lineRule="exact"/>
        <w:ind w:firstLine="640" w:firstLineChars="200"/>
        <w:rPr>
          <w:rStyle w:val="18"/>
          <w:rFonts w:ascii="黑体" w:hAnsi="黑体" w:eastAsia="黑体"/>
          <w:sz w:val="32"/>
          <w:szCs w:val="32"/>
        </w:rPr>
      </w:pPr>
      <w:r>
        <w:rPr>
          <w:rFonts w:hint="eastAsia" w:ascii="黑体" w:hAnsi="黑体" w:eastAsia="黑体" w:cs="Times New Roman"/>
          <w:sz w:val="32"/>
          <w:szCs w:val="32"/>
        </w:rPr>
        <w:t>二、</w:t>
      </w:r>
      <w:r>
        <w:rPr>
          <w:rStyle w:val="18"/>
          <w:rFonts w:ascii="黑体" w:hAnsi="黑体" w:eastAsia="黑体"/>
          <w:sz w:val="32"/>
          <w:szCs w:val="32"/>
        </w:rPr>
        <w:t>起草</w:t>
      </w:r>
      <w:r>
        <w:rPr>
          <w:rStyle w:val="18"/>
          <w:rFonts w:hint="eastAsia" w:ascii="黑体" w:hAnsi="黑体" w:eastAsia="黑体"/>
          <w:sz w:val="32"/>
          <w:szCs w:val="32"/>
        </w:rPr>
        <w:t>依据</w:t>
      </w:r>
    </w:p>
    <w:p>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《江苏省国民经济和社会发展第十四个五年规划和二〇三五年远景目标纲要》（苏政</w:t>
      </w:r>
      <w:r>
        <w:rPr>
          <w:rFonts w:ascii="Times New Roman" w:hAnsi="Times New Roman" w:eastAsia="仿宋_GB2312" w:cs="Times New Roman"/>
          <w:sz w:val="32"/>
          <w:szCs w:val="32"/>
        </w:rPr>
        <w:t>发〔2021〕18</w:t>
      </w:r>
      <w:r>
        <w:rPr>
          <w:rFonts w:hint="eastAsia" w:ascii="仿宋_GB2312" w:hAnsi="Calibri" w:eastAsia="仿宋_GB2312" w:cs="Times New Roman"/>
          <w:sz w:val="32"/>
          <w:szCs w:val="32"/>
        </w:rPr>
        <w:t>号）、《常州市国民经济和社会发展第十四个五年规划和二〇三五年远景目标纲要》（常</w:t>
      </w:r>
      <w:r>
        <w:rPr>
          <w:rFonts w:ascii="Times New Roman" w:hAnsi="Times New Roman" w:eastAsia="仿宋_GB2312" w:cs="Times New Roman"/>
          <w:sz w:val="32"/>
          <w:szCs w:val="32"/>
        </w:rPr>
        <w:t>政发〔2021〕12号</w:t>
      </w:r>
      <w:r>
        <w:rPr>
          <w:rFonts w:hint="eastAsia" w:ascii="仿宋_GB2312" w:hAnsi="Calibri" w:eastAsia="仿宋_GB2312" w:cs="Times New Roman"/>
          <w:sz w:val="32"/>
          <w:szCs w:val="32"/>
        </w:rPr>
        <w:t>）、《常州市“十四五”科技创新发展规划》（常</w:t>
      </w:r>
      <w:r>
        <w:rPr>
          <w:rFonts w:ascii="Times New Roman" w:hAnsi="Times New Roman" w:eastAsia="仿宋_GB2312" w:cs="Times New Roman"/>
          <w:sz w:val="32"/>
          <w:szCs w:val="32"/>
        </w:rPr>
        <w:t>政办发〔2021〕121号）。</w:t>
      </w:r>
    </w:p>
    <w:p>
      <w:pPr>
        <w:pStyle w:val="10"/>
        <w:shd w:val="clear" w:color="auto" w:fill="FFFFFF"/>
        <w:spacing w:before="0" w:beforeAutospacing="0" w:after="0" w:afterAutospacing="0" w:line="560" w:lineRule="exact"/>
        <w:ind w:firstLine="640" w:firstLineChars="200"/>
        <w:rPr>
          <w:rFonts w:ascii="黑体" w:hAnsi="黑体" w:eastAsia="黑体"/>
          <w:kern w:val="2"/>
          <w:sz w:val="32"/>
          <w:szCs w:val="32"/>
        </w:rPr>
      </w:pPr>
      <w:r>
        <w:rPr>
          <w:rFonts w:hint="eastAsia" w:ascii="黑体" w:hAnsi="黑体" w:eastAsia="黑体"/>
          <w:kern w:val="2"/>
          <w:sz w:val="32"/>
          <w:szCs w:val="32"/>
        </w:rPr>
        <w:t>三、主要内容</w:t>
      </w:r>
    </w:p>
    <w:p>
      <w:pPr>
        <w:spacing w:line="560" w:lineRule="exact"/>
        <w:ind w:firstLine="640"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snapToGrid w:val="0"/>
          <w:kern w:val="0"/>
          <w:sz w:val="32"/>
          <w:szCs w:val="32"/>
        </w:rPr>
        <w:t>《</w:t>
      </w:r>
      <w:r>
        <w:rPr>
          <w:rFonts w:hint="eastAsia" w:ascii="Times New Roman" w:hAnsi="Times New Roman" w:eastAsia="仿宋_GB2312" w:cs="Times New Roman"/>
          <w:snapToGrid w:val="0"/>
          <w:kern w:val="0"/>
          <w:sz w:val="32"/>
          <w:szCs w:val="32"/>
        </w:rPr>
        <w:t>支持计划</w:t>
      </w:r>
      <w:r>
        <w:rPr>
          <w:rFonts w:ascii="Times New Roman" w:hAnsi="Times New Roman" w:eastAsia="仿宋_GB2312" w:cs="Times New Roman"/>
          <w:snapToGrid w:val="0"/>
          <w:kern w:val="0"/>
          <w:sz w:val="32"/>
          <w:szCs w:val="32"/>
        </w:rPr>
        <w:t>》</w:t>
      </w:r>
      <w:r>
        <w:rPr>
          <w:rFonts w:ascii="Times New Roman" w:hAnsi="Times New Roman" w:eastAsia="仿宋_GB2312" w:cs="Times New Roman"/>
          <w:color w:val="000000" w:themeColor="text1"/>
          <w:sz w:val="32"/>
          <w:szCs w:val="32"/>
        </w:rPr>
        <w:t>针对独角兽企业成长过程中的痛点、难点、堵点，围绕厚植创新主体、鼓励研发创新、强化金融支撑、优化双创生态，</w:t>
      </w:r>
      <w:r>
        <w:rPr>
          <w:rFonts w:ascii="Times New Roman" w:hAnsi="Times New Roman" w:eastAsia="仿宋_GB2312" w:cs="Times New Roman"/>
          <w:snapToGrid w:val="0"/>
          <w:kern w:val="0"/>
          <w:sz w:val="32"/>
          <w:szCs w:val="32"/>
        </w:rPr>
        <w:t>提出四大项10条举措，支持独角兽企业快速成长。</w:t>
      </w:r>
    </w:p>
    <w:p>
      <w:pPr>
        <w:overflowPunct w:val="0"/>
        <w:autoSpaceDE w:val="0"/>
        <w:autoSpaceDN w:val="0"/>
        <w:adjustRightInd w:val="0"/>
        <w:snapToGrid w:val="0"/>
        <w:spacing w:line="560" w:lineRule="exact"/>
        <w:ind w:firstLine="640" w:firstLineChars="200"/>
        <w:rPr>
          <w:rFonts w:ascii="Times New Roman" w:hAnsi="Times New Roman" w:eastAsia="仿宋_GB2312" w:cs="Times New Roman"/>
          <w:color w:val="000000" w:themeColor="text1"/>
          <w:sz w:val="32"/>
          <w:szCs w:val="32"/>
        </w:rPr>
      </w:pPr>
      <w:r>
        <w:rPr>
          <w:rFonts w:hint="eastAsia" w:ascii="Times New Roman" w:hAnsi="Times New Roman" w:eastAsia="仿宋_GB2312" w:cs="Times New Roman"/>
          <w:color w:val="000000" w:themeColor="text1"/>
          <w:sz w:val="32"/>
          <w:szCs w:val="32"/>
        </w:rPr>
        <w:t>第一部分为厚植创新主体。提出了构建科学有效的梯度培育体系、引育高层次的创新创业人才两项支持。</w:t>
      </w:r>
    </w:p>
    <w:p>
      <w:pPr>
        <w:spacing w:line="560" w:lineRule="exact"/>
        <w:ind w:firstLine="640"/>
        <w:rPr>
          <w:rFonts w:ascii="Times New Roman" w:hAnsi="Times New Roman" w:eastAsia="仿宋_GB2312" w:cs="Times New Roman"/>
          <w:color w:val="000000" w:themeColor="text1"/>
          <w:sz w:val="32"/>
          <w:szCs w:val="32"/>
        </w:rPr>
      </w:pPr>
      <w:r>
        <w:rPr>
          <w:rFonts w:ascii="Times New Roman" w:hAnsi="Times New Roman" w:eastAsia="仿宋_GB2312" w:cs="Times New Roman"/>
          <w:color w:val="000000" w:themeColor="text1"/>
          <w:sz w:val="32"/>
          <w:szCs w:val="32"/>
        </w:rPr>
        <w:t>第二部分为</w:t>
      </w:r>
      <w:r>
        <w:rPr>
          <w:rFonts w:hint="eastAsia" w:ascii="Times New Roman" w:hAnsi="Times New Roman" w:eastAsia="仿宋_GB2312" w:cs="Times New Roman"/>
          <w:color w:val="000000" w:themeColor="text1"/>
          <w:sz w:val="32"/>
          <w:szCs w:val="32"/>
        </w:rPr>
        <w:t>鼓励研发创新</w:t>
      </w:r>
      <w:r>
        <w:rPr>
          <w:rFonts w:ascii="Times New Roman" w:hAnsi="Times New Roman" w:eastAsia="仿宋_GB2312" w:cs="Times New Roman"/>
          <w:color w:val="000000" w:themeColor="text1"/>
          <w:sz w:val="32"/>
          <w:szCs w:val="32"/>
        </w:rPr>
        <w:t>。</w:t>
      </w:r>
      <w:r>
        <w:rPr>
          <w:rFonts w:hint="eastAsia" w:ascii="Times New Roman" w:hAnsi="Times New Roman" w:eastAsia="仿宋_GB2312" w:cs="Times New Roman"/>
          <w:color w:val="000000" w:themeColor="text1"/>
          <w:sz w:val="32"/>
          <w:szCs w:val="32"/>
        </w:rPr>
        <w:t>提出了支持高效协同的关键技术攻关、支持高水平的研发平台建设两项支持。</w:t>
      </w:r>
    </w:p>
    <w:p>
      <w:pPr>
        <w:overflowPunct w:val="0"/>
        <w:autoSpaceDE w:val="0"/>
        <w:autoSpaceDN w:val="0"/>
        <w:adjustRightInd w:val="0"/>
        <w:snapToGrid w:val="0"/>
        <w:spacing w:line="560" w:lineRule="exact"/>
        <w:ind w:firstLine="641"/>
        <w:rPr>
          <w:rFonts w:ascii="Times New Roman" w:hAnsi="Times New Roman" w:eastAsia="仿宋_GB2312" w:cs="Times New Roman"/>
          <w:color w:val="000000" w:themeColor="text1"/>
          <w:sz w:val="32"/>
          <w:szCs w:val="32"/>
        </w:rPr>
      </w:pPr>
      <w:r>
        <w:rPr>
          <w:rFonts w:ascii="Times New Roman" w:hAnsi="Times New Roman" w:eastAsia="仿宋_GB2312" w:cs="Times New Roman"/>
          <w:color w:val="000000" w:themeColor="text1"/>
          <w:sz w:val="32"/>
          <w:szCs w:val="32"/>
        </w:rPr>
        <w:t>第三部分为强化金融</w:t>
      </w:r>
      <w:r>
        <w:rPr>
          <w:rFonts w:hint="eastAsia" w:ascii="Times New Roman" w:hAnsi="Times New Roman" w:eastAsia="仿宋_GB2312" w:cs="Times New Roman"/>
          <w:color w:val="000000" w:themeColor="text1"/>
          <w:sz w:val="32"/>
          <w:szCs w:val="32"/>
        </w:rPr>
        <w:t>支撑</w:t>
      </w:r>
      <w:r>
        <w:rPr>
          <w:rFonts w:ascii="Times New Roman" w:hAnsi="Times New Roman" w:eastAsia="仿宋_GB2312" w:cs="Times New Roman"/>
          <w:color w:val="000000" w:themeColor="text1"/>
          <w:sz w:val="32"/>
          <w:szCs w:val="32"/>
        </w:rPr>
        <w:t>。</w:t>
      </w:r>
      <w:r>
        <w:rPr>
          <w:rFonts w:hint="eastAsia" w:ascii="Times New Roman" w:hAnsi="Times New Roman" w:eastAsia="仿宋_GB2312" w:cs="Times New Roman"/>
          <w:color w:val="000000" w:themeColor="text1"/>
          <w:sz w:val="32"/>
          <w:szCs w:val="32"/>
        </w:rPr>
        <w:t>提出了构筑多元化的投融资服务体系、支持多层次的资本市场股改上市两项支持。</w:t>
      </w:r>
    </w:p>
    <w:p>
      <w:pPr>
        <w:pStyle w:val="6"/>
        <w:spacing w:line="560" w:lineRule="exact"/>
        <w:ind w:firstLine="640" w:firstLineChars="200"/>
        <w:rPr>
          <w:rFonts w:ascii="Times New Roman" w:hAnsi="Times New Roman" w:eastAsia="仿宋_GB2312" w:cs="Times New Roman"/>
          <w:color w:val="000000" w:themeColor="text1"/>
          <w:sz w:val="32"/>
          <w:szCs w:val="32"/>
        </w:rPr>
      </w:pPr>
      <w:r>
        <w:rPr>
          <w:rFonts w:ascii="Times New Roman" w:hAnsi="Times New Roman" w:eastAsia="仿宋_GB2312" w:cs="Times New Roman"/>
          <w:color w:val="000000" w:themeColor="text1"/>
          <w:sz w:val="32"/>
          <w:szCs w:val="32"/>
        </w:rPr>
        <w:t>第</w:t>
      </w:r>
      <w:r>
        <w:rPr>
          <w:rFonts w:hint="eastAsia" w:ascii="Times New Roman" w:hAnsi="Times New Roman" w:eastAsia="仿宋_GB2312" w:cs="Times New Roman"/>
          <w:color w:val="000000" w:themeColor="text1"/>
          <w:sz w:val="32"/>
          <w:szCs w:val="32"/>
        </w:rPr>
        <w:t>四</w:t>
      </w:r>
      <w:r>
        <w:rPr>
          <w:rFonts w:ascii="Times New Roman" w:hAnsi="Times New Roman" w:eastAsia="仿宋_GB2312" w:cs="Times New Roman"/>
          <w:color w:val="000000" w:themeColor="text1"/>
          <w:sz w:val="32"/>
          <w:szCs w:val="32"/>
        </w:rPr>
        <w:t>部分为优化双创生态。</w:t>
      </w:r>
      <w:r>
        <w:rPr>
          <w:rFonts w:hint="eastAsia" w:ascii="Times New Roman" w:hAnsi="Times New Roman" w:eastAsia="仿宋_GB2312" w:cs="Times New Roman"/>
          <w:color w:val="000000" w:themeColor="text1"/>
          <w:sz w:val="32"/>
          <w:szCs w:val="32"/>
        </w:rPr>
        <w:t>提出了支持全方位的创新应用场景、提供高质量的知识产权服务、建立快速畅通的服务绿色通道、涵养高浓度的科技创新生态四项支持。</w:t>
      </w:r>
    </w:p>
    <w:p>
      <w:pPr>
        <w:pStyle w:val="2"/>
        <w:spacing w:line="560" w:lineRule="exact"/>
      </w:pPr>
    </w:p>
    <w:p>
      <w:pPr>
        <w:pStyle w:val="10"/>
        <w:shd w:val="clear" w:color="auto" w:fill="FFFFFF"/>
        <w:spacing w:before="0" w:beforeAutospacing="0" w:after="0" w:afterAutospacing="0" w:line="560" w:lineRule="exact"/>
        <w:ind w:firstLine="640" w:firstLineChars="200"/>
        <w:rPr>
          <w:rFonts w:ascii="仿宋_GB2312" w:hAnsi="Calibri" w:eastAsia="仿宋_GB2312" w:cs="Times New Roman"/>
          <w:kern w:val="2"/>
          <w:sz w:val="32"/>
          <w:szCs w:val="32"/>
        </w:rPr>
      </w:pPr>
    </w:p>
    <w:sectPr>
      <w:footerReference r:id="rId3" w:type="default"/>
      <w:pgSz w:w="11906" w:h="16838"/>
      <w:pgMar w:top="2098" w:right="1531" w:bottom="1985" w:left="1531" w:header="720"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00B64FE5"/>
    <w:rsid w:val="00021D37"/>
    <w:rsid w:val="00077BF9"/>
    <w:rsid w:val="000954B2"/>
    <w:rsid w:val="000C324C"/>
    <w:rsid w:val="00112C23"/>
    <w:rsid w:val="00114C77"/>
    <w:rsid w:val="00137530"/>
    <w:rsid w:val="00184BF0"/>
    <w:rsid w:val="001B2DC8"/>
    <w:rsid w:val="002A2C97"/>
    <w:rsid w:val="00330FAB"/>
    <w:rsid w:val="0042414B"/>
    <w:rsid w:val="0046402B"/>
    <w:rsid w:val="00530A66"/>
    <w:rsid w:val="00570582"/>
    <w:rsid w:val="005D289E"/>
    <w:rsid w:val="005E41C8"/>
    <w:rsid w:val="00632F56"/>
    <w:rsid w:val="0077038A"/>
    <w:rsid w:val="0083148E"/>
    <w:rsid w:val="008F6BBE"/>
    <w:rsid w:val="00962DD2"/>
    <w:rsid w:val="00965083"/>
    <w:rsid w:val="00970FC7"/>
    <w:rsid w:val="00997A67"/>
    <w:rsid w:val="00A82F5E"/>
    <w:rsid w:val="00AB1BA8"/>
    <w:rsid w:val="00AB2E0F"/>
    <w:rsid w:val="00B07CF1"/>
    <w:rsid w:val="00B15588"/>
    <w:rsid w:val="00B64FE5"/>
    <w:rsid w:val="00BB4D4B"/>
    <w:rsid w:val="00CA701C"/>
    <w:rsid w:val="00CC2687"/>
    <w:rsid w:val="00CD57B5"/>
    <w:rsid w:val="00D056E6"/>
    <w:rsid w:val="00D43990"/>
    <w:rsid w:val="00D44861"/>
    <w:rsid w:val="00DB2553"/>
    <w:rsid w:val="00DD28CC"/>
    <w:rsid w:val="00E63A9B"/>
    <w:rsid w:val="00ED47DE"/>
    <w:rsid w:val="00F1637A"/>
    <w:rsid w:val="00F509A3"/>
    <w:rsid w:val="00FC193E"/>
    <w:rsid w:val="04C410F4"/>
    <w:rsid w:val="04DD5D12"/>
    <w:rsid w:val="0633208D"/>
    <w:rsid w:val="0A03366B"/>
    <w:rsid w:val="0E146C48"/>
    <w:rsid w:val="18D92F68"/>
    <w:rsid w:val="1E57048B"/>
    <w:rsid w:val="2181419D"/>
    <w:rsid w:val="261A5A10"/>
    <w:rsid w:val="26974F11"/>
    <w:rsid w:val="276C31F9"/>
    <w:rsid w:val="2DBE22D5"/>
    <w:rsid w:val="3242046E"/>
    <w:rsid w:val="36772933"/>
    <w:rsid w:val="39D72754"/>
    <w:rsid w:val="3D0D2931"/>
    <w:rsid w:val="49465201"/>
    <w:rsid w:val="4B096134"/>
    <w:rsid w:val="4E4D7031"/>
    <w:rsid w:val="56C854A7"/>
    <w:rsid w:val="6315416A"/>
    <w:rsid w:val="67CB77E0"/>
    <w:rsid w:val="6E1374F8"/>
    <w:rsid w:val="72FC77E5"/>
    <w:rsid w:val="736B748E"/>
    <w:rsid w:val="78EF74C8"/>
    <w:rsid w:val="7D6E2861"/>
    <w:rsid w:val="7E132B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tLeast"/>
      <w:outlineLvl w:val="0"/>
    </w:pPr>
    <w:rPr>
      <w:b/>
      <w:bCs/>
      <w:kern w:val="44"/>
      <w:sz w:val="44"/>
      <w:szCs w:val="44"/>
    </w:rPr>
  </w:style>
  <w:style w:type="character" w:default="1" w:styleId="12">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rPr>
  </w:style>
  <w:style w:type="paragraph" w:styleId="4">
    <w:name w:val="Body Text Indent"/>
    <w:basedOn w:val="1"/>
    <w:next w:val="5"/>
    <w:qFormat/>
    <w:uiPriority w:val="0"/>
    <w:pPr>
      <w:ind w:firstLine="200" w:firstLineChars="200"/>
    </w:pPr>
    <w:rPr>
      <w:rFonts w:ascii="仿宋_GB2312" w:hAnsi="仿宋_GB2312"/>
      <w:sz w:val="32"/>
    </w:rPr>
  </w:style>
  <w:style w:type="paragraph" w:styleId="5">
    <w:name w:val="Body Text First Indent 2"/>
    <w:basedOn w:val="4"/>
    <w:next w:val="6"/>
    <w:qFormat/>
    <w:uiPriority w:val="0"/>
    <w:rPr>
      <w:rFonts w:cs="Times New Roman"/>
    </w:rPr>
  </w:style>
  <w:style w:type="paragraph" w:styleId="6">
    <w:name w:val="Body Text First Indent"/>
    <w:basedOn w:val="2"/>
    <w:next w:val="1"/>
    <w:unhideWhenUsed/>
    <w:qFormat/>
    <w:uiPriority w:val="99"/>
    <w:pPr>
      <w:ind w:firstLine="420" w:firstLineChars="100"/>
    </w:pPr>
  </w:style>
  <w:style w:type="paragraph" w:styleId="7">
    <w:name w:val="Balloon Text"/>
    <w:basedOn w:val="1"/>
    <w:link w:val="17"/>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3">
    <w:name w:val="Emphasis"/>
    <w:basedOn w:val="12"/>
    <w:qFormat/>
    <w:uiPriority w:val="20"/>
    <w:rPr>
      <w:i/>
      <w:iCs/>
    </w:rPr>
  </w:style>
  <w:style w:type="character" w:styleId="14">
    <w:name w:val="Hyperlink"/>
    <w:basedOn w:val="12"/>
    <w:unhideWhenUsed/>
    <w:qFormat/>
    <w:uiPriority w:val="99"/>
    <w:rPr>
      <w:color w:val="0000FF" w:themeColor="hyperlink"/>
      <w:u w:val="single"/>
    </w:rPr>
  </w:style>
  <w:style w:type="character" w:customStyle="1" w:styleId="15">
    <w:name w:val="页眉 Char"/>
    <w:basedOn w:val="12"/>
    <w:link w:val="9"/>
    <w:qFormat/>
    <w:uiPriority w:val="99"/>
    <w:rPr>
      <w:sz w:val="18"/>
      <w:szCs w:val="18"/>
    </w:rPr>
  </w:style>
  <w:style w:type="character" w:customStyle="1" w:styleId="16">
    <w:name w:val="页脚 Char"/>
    <w:basedOn w:val="12"/>
    <w:link w:val="8"/>
    <w:qFormat/>
    <w:uiPriority w:val="99"/>
    <w:rPr>
      <w:sz w:val="18"/>
      <w:szCs w:val="18"/>
    </w:rPr>
  </w:style>
  <w:style w:type="character" w:customStyle="1" w:styleId="17">
    <w:name w:val="批注框文本 Char"/>
    <w:basedOn w:val="12"/>
    <w:link w:val="7"/>
    <w:semiHidden/>
    <w:qFormat/>
    <w:uiPriority w:val="99"/>
    <w:rPr>
      <w:kern w:val="2"/>
      <w:sz w:val="18"/>
      <w:szCs w:val="18"/>
    </w:rPr>
  </w:style>
  <w:style w:type="character" w:customStyle="1" w:styleId="18">
    <w:name w:val="apple-style-span"/>
    <w:basedOn w:val="12"/>
    <w:qFormat/>
    <w:uiPriority w:val="0"/>
    <w:rPr>
      <w:rFonts w:hint="default" w:ascii="Times New Roman" w:hAnsi="Times New Roman" w:cs="Times New Roman"/>
    </w:rPr>
  </w:style>
  <w:style w:type="paragraph" w:customStyle="1" w:styleId="19">
    <w:name w:val="正文1"/>
    <w:basedOn w:val="1"/>
    <w:qFormat/>
    <w:uiPriority w:val="0"/>
    <w:pPr>
      <w:widowControl/>
    </w:pPr>
    <w:rPr>
      <w:rFonts w:ascii="等线" w:hAnsi="等线" w:eastAsia="宋体"/>
      <w:szCs w:val="21"/>
    </w:rPr>
  </w:style>
  <w:style w:type="paragraph" w:customStyle="1" w:styleId="20">
    <w:name w:val="列出段落1"/>
    <w:basedOn w:val="1"/>
    <w:qFormat/>
    <w:uiPriority w:val="99"/>
    <w:pPr>
      <w:ind w:firstLine="420" w:firstLineChars="200"/>
    </w:pPr>
  </w:style>
  <w:style w:type="character" w:customStyle="1" w:styleId="21">
    <w:name w:val="NormalCharacter"/>
    <w:semiHidden/>
    <w:qFormat/>
    <w:uiPriority w:val="0"/>
  </w:style>
  <w:style w:type="paragraph" w:customStyle="1" w:styleId="22">
    <w:name w:val="正文+仿宋"/>
    <w:basedOn w:val="10"/>
    <w:qFormat/>
    <w:uiPriority w:val="0"/>
    <w:pPr>
      <w:spacing w:beforeAutospacing="0" w:afterAutospacing="0" w:line="579" w:lineRule="atLeast"/>
      <w:ind w:firstLine="627" w:firstLineChars="196"/>
      <w:jc w:val="both"/>
    </w:pPr>
    <w:rPr>
      <w:rFonts w:ascii="仿宋_GB2312" w:hAnsi="仿宋_GB2312" w:eastAsia="仿宋_GB2312"/>
      <w:b/>
      <w:bCs/>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10</Pages>
  <Words>4520</Words>
  <Characters>4701</Characters>
  <Lines>33</Lines>
  <Paragraphs>9</Paragraphs>
  <TotalTime>10</TotalTime>
  <ScaleCrop>false</ScaleCrop>
  <LinksUpToDate>false</LinksUpToDate>
  <CharactersWithSpaces>4711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2023-08-03T07:08:00Z</dcterms:created>
  <dc:creator>Administrator</dc:creator>
  <cp:lastModifiedBy>人间四月天</cp:lastModifiedBy>
  <cp:lastPrinted>2023-08-04T10:04:00Z</cp:lastPrinted>
  <dcterms:modified xsi:type="dcterms:W3CDTF">2023-08-04T10:38:14Z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6E793770366D400299C2E59CC755211B_13</vt:lpwstr>
  </property>
</Properties>
</file>