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val="0"/>
        <w:autoSpaceDE w:val="0"/>
        <w:autoSpaceDN w:val="0"/>
        <w:adjustRightInd w:val="0"/>
        <w:snapToGrid w:val="0"/>
        <w:spacing w:line="440" w:lineRule="exact"/>
        <w:jc w:val="both"/>
        <w:rPr>
          <w:rFonts w:ascii="黑体" w:hAnsi="黑体" w:eastAsia="黑体" w:cs="黑体"/>
          <w:bCs/>
        </w:rPr>
      </w:pPr>
      <w:bookmarkStart w:id="0" w:name="_GoBack"/>
      <w:bookmarkEnd w:id="0"/>
    </w:p>
    <w:p>
      <w:pPr>
        <w:pStyle w:val="10"/>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常州市科技创新促进条例</w:t>
      </w:r>
    </w:p>
    <w:p>
      <w:pPr>
        <w:pStyle w:val="10"/>
        <w:spacing w:line="700" w:lineRule="exact"/>
        <w:jc w:val="center"/>
        <w:rPr>
          <w:rFonts w:hint="eastAsia" w:ascii="楷体_GB2312" w:hAnsi="微软雅黑" w:eastAsia="楷体_GB2312" w:cs="微软雅黑"/>
          <w:sz w:val="44"/>
          <w:szCs w:val="44"/>
        </w:rPr>
      </w:pPr>
      <w:r>
        <w:rPr>
          <w:rFonts w:hint="eastAsia" w:ascii="楷体_GB2312" w:hAnsi="方正楷体_GB2312" w:eastAsia="楷体_GB2312" w:cs="方正楷体_GB2312"/>
          <w:sz w:val="32"/>
          <w:szCs w:val="32"/>
        </w:rPr>
        <w:t>（征求意见稿）</w:t>
      </w:r>
    </w:p>
    <w:p>
      <w:pPr>
        <w:widowControl w:val="0"/>
        <w:spacing w:line="560" w:lineRule="exact"/>
        <w:jc w:val="center"/>
        <w:rPr>
          <w:rFonts w:ascii="微软雅黑" w:hAnsi="黑体" w:eastAsia="楷体_GB2312"/>
          <w:kern w:val="2"/>
          <w:sz w:val="32"/>
          <w:szCs w:val="32"/>
        </w:rPr>
      </w:pPr>
    </w:p>
    <w:p>
      <w:pPr>
        <w:pStyle w:val="10"/>
        <w:spacing w:line="700" w:lineRule="exact"/>
        <w:jc w:val="center"/>
        <w:rPr>
          <w:rFonts w:ascii="微软雅黑" w:hAnsi="黑体" w:eastAsia="微软雅黑" w:cs="Times New Roman"/>
          <w:sz w:val="36"/>
          <w:szCs w:val="36"/>
        </w:rPr>
      </w:pP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第一章  总则</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第二章  科学研究与技术创新</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第三章  科技成果转化</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第四章  企业科技创新</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第五章  创新平台载体</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第六章  科技创新人才</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第七章  开放创新合作</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第八章  科技创新生态</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第九章  监督管理</w:t>
      </w:r>
    </w:p>
    <w:p>
      <w:pPr>
        <w:widowControl w:val="0"/>
        <w:spacing w:line="580" w:lineRule="exact"/>
        <w:ind w:firstLine="640" w:firstLineChars="200"/>
        <w:jc w:val="both"/>
        <w:rPr>
          <w:rFonts w:ascii="黑体" w:hAnsi="黑体" w:eastAsia="黑体" w:cs="黑体"/>
          <w:kern w:val="2"/>
          <w:sz w:val="32"/>
          <w:szCs w:val="32"/>
        </w:rPr>
      </w:pPr>
      <w:r>
        <w:rPr>
          <w:rFonts w:hint="eastAsia" w:ascii="黑体" w:hAnsi="黑体" w:eastAsia="黑体" w:cs="黑体"/>
          <w:kern w:val="2"/>
          <w:sz w:val="32"/>
          <w:szCs w:val="32"/>
        </w:rPr>
        <w:t>第十章  附则</w:t>
      </w:r>
    </w:p>
    <w:p>
      <w:pPr>
        <w:widowControl w:val="0"/>
        <w:spacing w:line="560" w:lineRule="exact"/>
        <w:ind w:firstLine="641"/>
        <w:jc w:val="both"/>
        <w:rPr>
          <w:rFonts w:ascii="黑体" w:hAnsi="黑体" w:eastAsia="黑体" w:cs="黑体"/>
          <w:kern w:val="2"/>
          <w:sz w:val="32"/>
          <w:szCs w:val="32"/>
        </w:rPr>
      </w:pPr>
      <w:r>
        <w:rPr>
          <w:rFonts w:hint="eastAsia" w:ascii="黑体" w:hAnsi="黑体" w:eastAsia="黑体" w:cs="黑体"/>
          <w:kern w:val="2"/>
          <w:sz w:val="32"/>
          <w:szCs w:val="32"/>
        </w:rPr>
        <w:br w:type="page"/>
      </w:r>
    </w:p>
    <w:p>
      <w:pPr>
        <w:widowControl w:val="0"/>
        <w:overflowPunct w:val="0"/>
        <w:autoSpaceDE w:val="0"/>
        <w:autoSpaceDN w:val="0"/>
        <w:adjustRightInd w:val="0"/>
        <w:snapToGrid w:val="0"/>
        <w:spacing w:line="560" w:lineRule="exact"/>
        <w:ind w:firstLine="641"/>
        <w:jc w:val="both"/>
        <w:rPr>
          <w:rFonts w:hint="eastAsia" w:ascii="黑体" w:hAnsi="黑体" w:eastAsia="黑体" w:cs="黑体"/>
          <w:kern w:val="2"/>
          <w:sz w:val="32"/>
          <w:szCs w:val="32"/>
        </w:rPr>
      </w:pPr>
    </w:p>
    <w:p>
      <w:pPr>
        <w:widowControl w:val="0"/>
        <w:overflowPunct w:val="0"/>
        <w:autoSpaceDE w:val="0"/>
        <w:autoSpaceDN w:val="0"/>
        <w:adjustRightInd w:val="0"/>
        <w:snapToGrid w:val="0"/>
        <w:spacing w:after="240" w:line="560" w:lineRule="exact"/>
        <w:jc w:val="center"/>
        <w:rPr>
          <w:rFonts w:ascii="黑体" w:hAnsi="黑体" w:eastAsia="黑体" w:cs="黑体"/>
          <w:kern w:val="2"/>
          <w:sz w:val="32"/>
          <w:szCs w:val="32"/>
        </w:rPr>
      </w:pPr>
      <w:r>
        <w:rPr>
          <w:rFonts w:hint="eastAsia" w:ascii="黑体" w:hAnsi="黑体" w:eastAsia="黑体" w:cs="黑体"/>
          <w:kern w:val="2"/>
          <w:sz w:val="32"/>
          <w:szCs w:val="32"/>
        </w:rPr>
        <w:t>第一章  总  则</w:t>
      </w:r>
    </w:p>
    <w:p>
      <w:pPr>
        <w:widowControl w:val="0"/>
        <w:overflowPunct w:val="0"/>
        <w:autoSpaceDE w:val="0"/>
        <w:autoSpaceDN w:val="0"/>
        <w:adjustRightInd w:val="0"/>
        <w:snapToGrid w:val="0"/>
        <w:spacing w:line="540" w:lineRule="exact"/>
        <w:ind w:firstLine="641"/>
        <w:jc w:val="both"/>
        <w:rPr>
          <w:rFonts w:hint="eastAsia"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第一条【目的依据】</w:t>
      </w:r>
    </w:p>
    <w:p>
      <w:pPr>
        <w:widowControl w:val="0"/>
        <w:overflowPunct w:val="0"/>
        <w:autoSpaceDE w:val="0"/>
        <w:autoSpaceDN w:val="0"/>
        <w:adjustRightInd w:val="0"/>
        <w:snapToGrid w:val="0"/>
        <w:spacing w:line="540" w:lineRule="exact"/>
        <w:ind w:firstLine="641"/>
        <w:jc w:val="both"/>
        <w:rPr>
          <w:rFonts w:eastAsia="仿宋_GB2312"/>
          <w:snapToGrid w:val="0"/>
          <w:sz w:val="32"/>
          <w:szCs w:val="32"/>
          <w:shd w:val="clear" w:color="auto" w:fill="FFFFFF"/>
        </w:rPr>
      </w:pPr>
      <w:r>
        <w:rPr>
          <w:rFonts w:hint="eastAsia" w:eastAsia="仿宋_GB2312"/>
          <w:snapToGrid w:val="0"/>
          <w:sz w:val="32"/>
          <w:szCs w:val="32"/>
          <w:shd w:val="clear" w:color="auto" w:fill="FFFFFF"/>
        </w:rPr>
        <w:t>为了深入贯彻实施科教兴国战略、人才强国战略、创新驱动发展战略，发挥科学技术第一生产力、人才第一资源、创新第一动力作用，打造长三角创新中轴和产业科技创新中心，支撑“国际化智造名城 长三角中轴枢纽”建设，根据《中华人民共和国科学技术进步法》《江苏省科学技术进步条例》等法律、法规，结合本市实际，制定本条例。</w:t>
      </w:r>
    </w:p>
    <w:p>
      <w:pPr>
        <w:widowControl w:val="0"/>
        <w:overflowPunct w:val="0"/>
        <w:autoSpaceDE w:val="0"/>
        <w:autoSpaceDN w:val="0"/>
        <w:adjustRightInd w:val="0"/>
        <w:snapToGrid w:val="0"/>
        <w:spacing w:line="54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第二条【适用范围】</w:t>
      </w:r>
    </w:p>
    <w:p>
      <w:pPr>
        <w:widowControl w:val="0"/>
        <w:overflowPunct w:val="0"/>
        <w:autoSpaceDE w:val="0"/>
        <w:autoSpaceDN w:val="0"/>
        <w:adjustRightInd w:val="0"/>
        <w:snapToGrid w:val="0"/>
        <w:spacing w:line="540" w:lineRule="exact"/>
        <w:ind w:firstLine="641"/>
        <w:jc w:val="both"/>
        <w:rPr>
          <w:rFonts w:eastAsia="仿宋_GB2312"/>
          <w:kern w:val="2"/>
          <w:sz w:val="32"/>
          <w:szCs w:val="32"/>
        </w:rPr>
      </w:pPr>
      <w:r>
        <w:rPr>
          <w:rFonts w:hint="eastAsia" w:eastAsia="仿宋_GB2312"/>
          <w:kern w:val="2"/>
          <w:sz w:val="32"/>
          <w:szCs w:val="32"/>
        </w:rPr>
        <w:t>本市行政区域内的科技创新促进活动适用本条例。</w:t>
      </w:r>
    </w:p>
    <w:p>
      <w:pPr>
        <w:widowControl w:val="0"/>
        <w:overflowPunct w:val="0"/>
        <w:autoSpaceDE w:val="0"/>
        <w:autoSpaceDN w:val="0"/>
        <w:adjustRightInd w:val="0"/>
        <w:snapToGrid w:val="0"/>
        <w:spacing w:line="54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第三条【原则目标】</w:t>
      </w:r>
    </w:p>
    <w:p>
      <w:pPr>
        <w:widowControl w:val="0"/>
        <w:overflowPunct w:val="0"/>
        <w:autoSpaceDE w:val="0"/>
        <w:autoSpaceDN w:val="0"/>
        <w:adjustRightInd w:val="0"/>
        <w:snapToGrid w:val="0"/>
        <w:spacing w:line="540" w:lineRule="exact"/>
        <w:ind w:firstLine="641"/>
        <w:jc w:val="both"/>
        <w:rPr>
          <w:rFonts w:eastAsia="仿宋_GB2312"/>
          <w:kern w:val="2"/>
          <w:sz w:val="32"/>
          <w:szCs w:val="32"/>
        </w:rPr>
      </w:pPr>
      <w:r>
        <w:rPr>
          <w:rFonts w:hint="eastAsia" w:eastAsia="仿宋_GB2312"/>
          <w:kern w:val="2"/>
          <w:sz w:val="32"/>
          <w:szCs w:val="32"/>
        </w:rPr>
        <w:t>坚持中国共产党对科学技术事业的全面领导，坚持科技创新要面向世界科技前沿、面向经济主战场、面向国家重大需求、面向人民生命健康，坚持科技创新在发展全局中的核心地位，坚持教育发展、科技创新、人才培养一体推进，建立政府引导、企业主体、市场导向的创新体系，加快创新链产业链资金链人才链深度融合，推进创新要素集聚和能级提升，努力在科技自立自强上走在前，在科技创新上率先取得新突破，使高质量发展更多依靠创新驱动的内涵型增长。</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第四条【创新委员会和政府职责】</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市、县级市（区）设立创新委员会，作为专门议事协调机构，统筹</w:t>
      </w:r>
      <w:r>
        <w:rPr>
          <w:rFonts w:eastAsia="仿宋_GB2312"/>
          <w:kern w:val="2"/>
          <w:sz w:val="32"/>
          <w:szCs w:val="32"/>
        </w:rPr>
        <w:t>布局重大战略项目、重大基础工程、重大科技基础设施；根据区域定位及其发展优势，完善科技创新发展的空间布局</w:t>
      </w:r>
      <w:r>
        <w:rPr>
          <w:rFonts w:hint="eastAsia" w:eastAsia="仿宋_GB2312"/>
          <w:kern w:val="2"/>
          <w:sz w:val="32"/>
          <w:szCs w:val="32"/>
        </w:rPr>
        <w:t>。创新委员会办事机构设在同级政府科技行政主管部门。</w:t>
      </w:r>
    </w:p>
    <w:p>
      <w:pPr>
        <w:widowControl w:val="0"/>
        <w:overflowPunct w:val="0"/>
        <w:autoSpaceDE w:val="0"/>
        <w:autoSpaceDN w:val="0"/>
        <w:adjustRightInd w:val="0"/>
        <w:snapToGrid w:val="0"/>
        <w:spacing w:line="560" w:lineRule="exact"/>
        <w:ind w:firstLine="641"/>
        <w:jc w:val="both"/>
        <w:rPr>
          <w:rFonts w:ascii="Cambria" w:hAnsi="Cambria"/>
        </w:rPr>
      </w:pPr>
      <w:r>
        <w:rPr>
          <w:rFonts w:hint="eastAsia" w:eastAsia="仿宋_GB2312"/>
          <w:kern w:val="2"/>
          <w:sz w:val="32"/>
          <w:szCs w:val="32"/>
        </w:rPr>
        <w:t>市、县级市（区）人民政府应当</w:t>
      </w:r>
      <w:r>
        <w:rPr>
          <w:rFonts w:eastAsia="仿宋_GB2312"/>
          <w:kern w:val="2"/>
          <w:sz w:val="32"/>
          <w:szCs w:val="32"/>
        </w:rPr>
        <w:t>组织编制科技创新发展规划，并纳入</w:t>
      </w:r>
      <w:r>
        <w:rPr>
          <w:rFonts w:hint="eastAsia" w:eastAsia="仿宋_GB2312"/>
          <w:kern w:val="2"/>
          <w:sz w:val="32"/>
          <w:szCs w:val="32"/>
        </w:rPr>
        <w:t>本行政区域</w:t>
      </w:r>
      <w:r>
        <w:rPr>
          <w:rFonts w:eastAsia="仿宋_GB2312"/>
          <w:kern w:val="2"/>
          <w:sz w:val="32"/>
          <w:szCs w:val="32"/>
        </w:rPr>
        <w:t>国民经济和社会发展规划。科技创新发展规划应当明确战略部署、阶段目标以及具体的工作措施和责任主体。</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第五条【科技投入】</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snapToGrid w:val="0"/>
          <w:spacing w:val="-4"/>
          <w:sz w:val="32"/>
          <w:szCs w:val="32"/>
        </w:rPr>
        <w:t>市、县级市（区）人民政府应当持续</w:t>
      </w:r>
      <w:r>
        <w:rPr>
          <w:rFonts w:eastAsia="仿宋_GB2312"/>
          <w:kern w:val="2"/>
          <w:sz w:val="32"/>
          <w:szCs w:val="32"/>
        </w:rPr>
        <w:t>加大</w:t>
      </w:r>
      <w:r>
        <w:rPr>
          <w:rFonts w:hint="eastAsia" w:eastAsia="仿宋_GB2312"/>
          <w:kern w:val="2"/>
          <w:sz w:val="32"/>
          <w:szCs w:val="32"/>
        </w:rPr>
        <w:t>对科技创新的投入力度</w:t>
      </w:r>
      <w:r>
        <w:rPr>
          <w:rFonts w:eastAsia="仿宋_GB2312"/>
          <w:kern w:val="2"/>
          <w:sz w:val="32"/>
          <w:szCs w:val="32"/>
        </w:rPr>
        <w:t>，完善经费投入和使用机制，确保财政用于科学技术经费的增长幅度高于财政经常性收入的增长幅度，确保财政科技投入只增不减。</w:t>
      </w:r>
    </w:p>
    <w:p>
      <w:pPr>
        <w:widowControl w:val="0"/>
        <w:overflowPunct w:val="0"/>
        <w:autoSpaceDE w:val="0"/>
        <w:autoSpaceDN w:val="0"/>
        <w:adjustRightInd w:val="0"/>
        <w:snapToGrid w:val="0"/>
        <w:spacing w:line="560" w:lineRule="exact"/>
        <w:ind w:firstLine="641"/>
        <w:jc w:val="both"/>
      </w:pPr>
      <w:r>
        <w:rPr>
          <w:rFonts w:eastAsia="仿宋_GB2312"/>
          <w:kern w:val="2"/>
          <w:sz w:val="32"/>
          <w:szCs w:val="32"/>
        </w:rPr>
        <w:t>鼓励全社会加大研发投入，逐步提高全社会研究与试验发展经费投入占地区生产总值的比重。</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第六条【部门职责】</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市、县级市（区）科技行政主管部门负责本行政区域内科技创新促进活动的统筹规划、组织协调、服务保障和监督管理，其他有关部门和单位按照各自职责做好有关科技创新促进工作。</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第七条【其他主体职责】</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市、县级市（区）科学技术协会应当在学术交流合作、科学技术普及、科学技术人员自律管理、维护科学技术人员合法权益等方面发挥积极作用。</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鼓励行业协会、学会等社会组织参与相关规划编制、技术标准制定、科技成果转化、科学技术普及等活动。</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高等学校和科研机构应当持续提升人才培养、科学研究、技术开发和社会服务等能力。</w:t>
      </w:r>
    </w:p>
    <w:p>
      <w:pPr>
        <w:widowControl w:val="0"/>
        <w:overflowPunct w:val="0"/>
        <w:autoSpaceDE w:val="0"/>
        <w:autoSpaceDN w:val="0"/>
        <w:adjustRightInd w:val="0"/>
        <w:snapToGrid w:val="0"/>
        <w:spacing w:before="240" w:after="240" w:line="560" w:lineRule="exact"/>
        <w:jc w:val="center"/>
        <w:rPr>
          <w:rFonts w:ascii="黑体" w:hAnsi="黑体" w:eastAsia="黑体" w:cs="黑体"/>
          <w:kern w:val="2"/>
          <w:sz w:val="32"/>
          <w:szCs w:val="32"/>
        </w:rPr>
      </w:pPr>
      <w:r>
        <w:rPr>
          <w:rFonts w:hint="eastAsia" w:ascii="黑体" w:hAnsi="黑体" w:eastAsia="黑体" w:cs="黑体"/>
          <w:kern w:val="2"/>
          <w:sz w:val="32"/>
          <w:szCs w:val="32"/>
        </w:rPr>
        <w:t>第二章  科学研究与技术创新</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第八条【基础研究和前沿技术研究】</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人民政府应当设立自然科学基金，资助开展基础研究和有重大应用前景的前沿技术研究，支持企业、高等院校和科研机构积极参与国家重大科技专项，增强原始创新、集成创新和开放创新能力。市自然科学基金管理办法由市人民政府另行制定。</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市、县级市（区）人民政府应当稳步增加基础研究财政投入，通过税收优惠等多种方式激励企业加大投入，鼓励社会力量通过设立基金、捐赠等方式投入基础研究。</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第九条【关键核心技术攻关】</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根据新兴产业发展和传统产业转型需求，加强关键核心技术攻关组织领导，聚焦新能源、新材料、智能制造等产业和重点领域，突破关键技术瓶颈，促进技术创新和产业升级，培育和发展一批专业化、差异化、特色化先进制造业集群。</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对于事关国家利益和经济社会发展全局的重大科技任务，市人民政府可以统筹调配各种资源开展专项技术攻关。</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第十条【数字技术创新】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云计算、大数据、物联网、移动互联网在制造业中的应用，聚焦高端芯片、操作系统、人工智能算法、传感器等领域开展关键核心技术攻关，推进数字技术、应用场景和商业模式融合创新，加快数字产业化发展和制造业数字化转型升级。</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鼓励企业采用高端数控机床、工业机器人、智能化控制系统、自动化成套生产线等高端智能装备，实现关键工序核心装备升级换代。</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第十一条【卫生健康与生物医药创新】</w:t>
      </w:r>
    </w:p>
    <w:p>
      <w:pPr>
        <w:widowControl w:val="0"/>
        <w:overflowPunct w:val="0"/>
        <w:autoSpaceDE w:val="0"/>
        <w:autoSpaceDN w:val="0"/>
        <w:adjustRightInd w:val="0"/>
        <w:snapToGrid w:val="0"/>
        <w:spacing w:line="560" w:lineRule="exact"/>
        <w:ind w:firstLine="641"/>
        <w:jc w:val="both"/>
        <w:rPr>
          <w:rFonts w:eastAsia="仿宋_GB2312"/>
          <w:snapToGrid w:val="0"/>
          <w:sz w:val="32"/>
          <w:szCs w:val="32"/>
          <w:shd w:val="clear" w:color="auto" w:fill="FFFFFF"/>
        </w:rPr>
      </w:pPr>
      <w:r>
        <w:rPr>
          <w:rFonts w:eastAsia="仿宋_GB2312"/>
          <w:snapToGrid w:val="0"/>
          <w:sz w:val="32"/>
          <w:szCs w:val="32"/>
          <w:shd w:val="clear" w:color="auto" w:fill="FFFFFF"/>
        </w:rPr>
        <w:t>加强卫生健康、生物医药、中医药等领域的基础研究</w:t>
      </w:r>
      <w:r>
        <w:rPr>
          <w:rFonts w:hint="eastAsia" w:eastAsia="仿宋_GB2312"/>
          <w:snapToGrid w:val="0"/>
          <w:sz w:val="32"/>
          <w:szCs w:val="32"/>
          <w:shd w:val="clear" w:color="auto" w:fill="FFFFFF"/>
        </w:rPr>
        <w:t>、应用基础研究</w:t>
      </w:r>
      <w:r>
        <w:rPr>
          <w:rFonts w:eastAsia="仿宋_GB2312"/>
          <w:snapToGrid w:val="0"/>
          <w:sz w:val="32"/>
          <w:szCs w:val="32"/>
          <w:shd w:val="clear" w:color="auto" w:fill="FFFFFF"/>
        </w:rPr>
        <w:t>和创新药品、医疗健康、高端医疗</w:t>
      </w:r>
      <w:r>
        <w:rPr>
          <w:rFonts w:hint="eastAsia" w:eastAsia="仿宋_GB2312"/>
          <w:snapToGrid w:val="0"/>
          <w:sz w:val="32"/>
          <w:szCs w:val="32"/>
          <w:shd w:val="clear" w:color="auto" w:fill="FFFFFF"/>
        </w:rPr>
        <w:t>器械等领域</w:t>
      </w:r>
      <w:r>
        <w:rPr>
          <w:rFonts w:eastAsia="仿宋_GB2312"/>
          <w:snapToGrid w:val="0"/>
          <w:sz w:val="32"/>
          <w:szCs w:val="32"/>
          <w:shd w:val="clear" w:color="auto" w:fill="FFFFFF"/>
        </w:rPr>
        <w:t>关键核心技术攻关，支持创新药品和医疗器械进入医疗机构使用。</w:t>
      </w:r>
    </w:p>
    <w:p>
      <w:pPr>
        <w:widowControl w:val="0"/>
        <w:overflowPunct w:val="0"/>
        <w:autoSpaceDE w:val="0"/>
        <w:autoSpaceDN w:val="0"/>
        <w:adjustRightInd w:val="0"/>
        <w:snapToGrid w:val="0"/>
        <w:spacing w:line="560" w:lineRule="exact"/>
        <w:ind w:firstLine="641"/>
        <w:jc w:val="both"/>
        <w:rPr>
          <w:rFonts w:eastAsia="仿宋_GB2312"/>
          <w:snapToGrid w:val="0"/>
          <w:sz w:val="32"/>
          <w:szCs w:val="32"/>
          <w:shd w:val="clear" w:color="auto" w:fill="FFFFFF"/>
        </w:rPr>
      </w:pPr>
      <w:r>
        <w:rPr>
          <w:rFonts w:eastAsia="仿宋_GB2312"/>
          <w:snapToGrid w:val="0"/>
          <w:sz w:val="32"/>
          <w:szCs w:val="32"/>
          <w:shd w:val="clear" w:color="auto" w:fill="FFFFFF"/>
        </w:rPr>
        <w:t>提高疫病防控和公共卫生领域战略科技力量和战略储备能力，</w:t>
      </w:r>
      <w:r>
        <w:rPr>
          <w:rFonts w:hint="eastAsia" w:eastAsia="仿宋_GB2312"/>
          <w:snapToGrid w:val="0"/>
          <w:sz w:val="32"/>
          <w:szCs w:val="32"/>
          <w:shd w:val="clear" w:color="auto" w:fill="FFFFFF"/>
        </w:rPr>
        <w:t>加强医学重点实验室、动物实验室、临床生物样本中心等科技创新平台与支撑条件建设。支持孟河医派等</w:t>
      </w:r>
      <w:r>
        <w:rPr>
          <w:rFonts w:hint="eastAsia" w:eastAsia="仿宋_GB2312"/>
          <w:kern w:val="2"/>
          <w:sz w:val="32"/>
          <w:szCs w:val="32"/>
        </w:rPr>
        <w:t>名老中医药的</w:t>
      </w:r>
      <w:r>
        <w:rPr>
          <w:rFonts w:hint="eastAsia" w:eastAsia="仿宋_GB2312"/>
          <w:snapToGrid w:val="0"/>
          <w:sz w:val="32"/>
          <w:szCs w:val="32"/>
          <w:shd w:val="clear" w:color="auto" w:fill="FFFFFF"/>
        </w:rPr>
        <w:t>传承和创新</w:t>
      </w:r>
      <w:r>
        <w:rPr>
          <w:rFonts w:hint="eastAsia" w:eastAsia="仿宋_GB2312"/>
          <w:kern w:val="2"/>
          <w:sz w:val="32"/>
          <w:szCs w:val="32"/>
        </w:rPr>
        <w:t>。</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第十二条【农业科技创新】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加强科技创新对乡村振兴的支撑作用，实施农业科技重点工程，支持农业新品种选育，支持开展现代种养、设施农业、农产品精深加工、绿色农业投入品、生态循环农业、（水生）动物疫病防控、农作物病虫草害防控与植物检疫、农产品质量安全、农业面源污染治理等技术攻关和推广应用，支持高端智能农机装备自主研发，鼓励农业龙头骨干企业建设科技创新平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鼓励和引导现代农业科技产业园、农业科技服务机构、科技特派员和农村群众性科学技术组织开展农业科技服务，推动高效、集约发展，推进产业融合。</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建立优质地理标志培育机制，推动地理标志与特色产业绿色发展、乡村振兴有机融合，积极延伸和拓展农业产业链，提升地理标志品牌影响力和产品附加值。</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第十三条【公共安全应急创新】</w:t>
      </w:r>
    </w:p>
    <w:p>
      <w:pPr>
        <w:widowControl w:val="0"/>
        <w:overflowPunct w:val="0"/>
        <w:autoSpaceDE w:val="0"/>
        <w:autoSpaceDN w:val="0"/>
        <w:adjustRightInd w:val="0"/>
        <w:snapToGrid w:val="0"/>
        <w:spacing w:line="560" w:lineRule="exact"/>
        <w:ind w:firstLine="641"/>
        <w:jc w:val="both"/>
        <w:rPr>
          <w:rFonts w:ascii="方正楷体_GBK" w:hAnsi="方正楷体_GBK" w:eastAsia="方正楷体_GBK" w:cs="方正楷体_GBK"/>
          <w:b/>
          <w:bCs/>
          <w:kern w:val="2"/>
          <w:sz w:val="32"/>
          <w:szCs w:val="32"/>
        </w:rPr>
      </w:pPr>
      <w:r>
        <w:rPr>
          <w:rFonts w:hint="eastAsia" w:eastAsia="仿宋_GB2312"/>
          <w:kern w:val="2"/>
          <w:sz w:val="32"/>
          <w:szCs w:val="32"/>
        </w:rPr>
        <w:t>加强公共安全共性基础科学问题、公共安全综合保障、社会安全监测预警与控制、重特大生产安全事故防控与生产安全保障、重大基础设施安全保障、城镇公共安全风险防控与治理、综合应急技术装备等方面的关键核心技术攻关和应用示范，提升科技支撑公共安全应急水平。</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第十四条【绿色低碳创新】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围绕新能源、节能增效、资源循环利用的双碳发展战略，加强各类低碳新能源，储能、智能电网与综合能源系统，以及新型电力装备、新能源汽车领域关键核心技术攻关和成果转化，推动新能源“发储送用研”各环节融合发展，打造新能源战略性新兴产业集群。支持围绕零碳或者近零碳排放园区、绿色低碳建造、绿色智能交通、固体废弃物资源化利用等方面开展跨行业跨领域集成示范试点，推动常州“新能源之都”建设。</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第十五条【在常高校建设】</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支持在常高校完善学科布局，聚焦新能源、新材料、智能制造、生物医药、新一代信息技术等领域世界科技前沿，推进学科交叉融合，强化基础研究基地建设，加大基础研究人才培养力度。支持在常高校实施一批前瞻性重大产学研联合攻关科技项目，提升在常高校服务地方产业高质量发展能力和水平。</w:t>
      </w:r>
    </w:p>
    <w:p>
      <w:pPr>
        <w:widowControl w:val="0"/>
        <w:overflowPunct w:val="0"/>
        <w:autoSpaceDE w:val="0"/>
        <w:autoSpaceDN w:val="0"/>
        <w:adjustRightInd w:val="0"/>
        <w:snapToGrid w:val="0"/>
        <w:spacing w:line="560" w:lineRule="exact"/>
        <w:ind w:firstLine="641"/>
        <w:jc w:val="both"/>
        <w:rPr>
          <w:rFonts w:eastAsia="宋体" w:asciiTheme="minorEastAsia" w:hAnsiTheme="minorEastAsia"/>
          <w:bCs/>
        </w:rPr>
      </w:pPr>
      <w:r>
        <w:rPr>
          <w:rFonts w:hint="eastAsia" w:eastAsia="仿宋_GB2312"/>
          <w:kern w:val="2"/>
          <w:sz w:val="32"/>
          <w:szCs w:val="32"/>
        </w:rPr>
        <w:t>统筹职业教育、高等教育、继续教育协同创新，推进职普融通、产教融合、科教融汇，加快构建常州现代职业教育体系，建设全球有影响力的职教名城。鼓励建设市域产教联合体、行业产教融合共同体、区域产教融合实践中心，促进企业需求融入技能人才培养各环节。</w:t>
      </w:r>
    </w:p>
    <w:p>
      <w:pPr>
        <w:widowControl w:val="0"/>
        <w:overflowPunct w:val="0"/>
        <w:autoSpaceDE w:val="0"/>
        <w:autoSpaceDN w:val="0"/>
        <w:adjustRightInd w:val="0"/>
        <w:snapToGrid w:val="0"/>
        <w:spacing w:before="240" w:after="240" w:line="560" w:lineRule="exact"/>
        <w:jc w:val="center"/>
        <w:rPr>
          <w:rFonts w:ascii="黑体" w:hAnsi="黑体" w:eastAsia="黑体" w:cs="黑体"/>
          <w:kern w:val="2"/>
          <w:sz w:val="32"/>
          <w:szCs w:val="32"/>
        </w:rPr>
      </w:pPr>
      <w:r>
        <w:rPr>
          <w:rFonts w:hint="eastAsia" w:ascii="黑体" w:hAnsi="黑体" w:eastAsia="黑体" w:cs="黑体"/>
          <w:kern w:val="2"/>
          <w:sz w:val="32"/>
          <w:szCs w:val="32"/>
        </w:rPr>
        <w:t>第三章  科技成果转化</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第十六条【技术市场培育】</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健全科技成果转化机制，推进知识产权交易中心、技术转移中心和科技成果转移转化示范基地建设，加快构建统一开放、竞争有序、协调联动的区域技术产权交易大市场。支持开展技术成果推介会、项目对接会、成果竞拍会等活动，促进成果供给与需求的有效对接。</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 xml:space="preserve">第十七条【技术转移服务】 </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加强技术转移管理人员、技术经纪（经理）人队伍建设，支持高等院校设置技术转移人才培养专业。支持技术交易、技术评估、技术经纪和技术咨询等科技中介机构发展，加快机制体制改革，畅通科技成果转移转化渠道。</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第十八条【科技成果评价】</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完善科技成果评价机制，坚持科学分类、多维度评价，坚持以科技创新质量、绩效、贡献为核心的评价导向，加快构建政府、社会组织、企业、投融资机构等共同参与的多元评价体系，提升科技成果供给质量。</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第十九条【成果赋权转化】</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利用财政性资金设立的科技计划项目所形成的职务科技成果，在不损害国家安全、国家利益和重大社会公共利益的前提下，依法授权项目承担者取得相关知识产权。项目承担者可以通过自行投资实施转化、向他人转让、联合他人共同实施转化、许可他人使用或者作价投资等形式进行转化。在合理期限内没有实施转化且无正当理由的，设立项目的管理机构可以无偿实施，也可以依法许可他人有偿或者无偿实施转化。</w:t>
      </w:r>
    </w:p>
    <w:p>
      <w:pPr>
        <w:widowControl w:val="0"/>
        <w:overflowPunct w:val="0"/>
        <w:autoSpaceDE w:val="0"/>
        <w:autoSpaceDN w:val="0"/>
        <w:adjustRightInd w:val="0"/>
        <w:snapToGrid w:val="0"/>
        <w:spacing w:line="560" w:lineRule="exact"/>
        <w:ind w:firstLine="641"/>
        <w:jc w:val="both"/>
        <w:rPr>
          <w:rFonts w:eastAsia="仿宋_GB2312"/>
        </w:rPr>
      </w:pPr>
      <w:r>
        <w:rPr>
          <w:rFonts w:hint="eastAsia" w:eastAsia="仿宋_GB2312"/>
          <w:kern w:val="2"/>
          <w:sz w:val="32"/>
          <w:szCs w:val="32"/>
        </w:rPr>
        <w:t>利用财政性资金设立的高等院校、科研机构接受企业、其他社会组织委托项目形成的职务科技成果，合同双方可以自主约定成果归属、使用和收益分配等事项；科技成果归高等院校、科研机构所有的，可以赋予成果完成人（团队）所有权或者长期使用权；可能损害国家安全、国家利益或者重大社会公共利益的除外。</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第二十条【转化收益分配】</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利用财政性资金设立的高等院校、科研机构获得的职务科技成果，应当依法将不低于百分之八十的转化收入作为对研发和成果转化做出主要贡献的集体和个人的奖励和报酬。</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科技成果完成单位对完成、转化该项科技成果做出重要贡献人员给予的现金奖励，计入所在单位绩效工资总量，不受核定的绩效工资总量限制，不计入人力资源社会保障、财政部门核定单位绩效工资总量的基数，不计入社会保险缴费基数，并按照规定享受税收优惠政策。</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第二十一条【应用场景建设与开放】</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积极推进全域场景应用创新建设，运用场景思维促进科技创新、赋能产业发展、提升城市治理水平，支持在公共安全、公共交通、卫生健康、文化教育、生态环境、综合能源利用等领域应用新技术、新产品、新服务、新模式，促进科技创新成果在经济建设、社会发展、民生改善中的转化应用。</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市、县级市（区）人民政府应当采用政府首购、订购以及政府购买服务等方式促进科技创新产品和服务的规模化应用。</w:t>
      </w:r>
    </w:p>
    <w:p>
      <w:pPr>
        <w:widowControl w:val="0"/>
        <w:overflowPunct w:val="0"/>
        <w:autoSpaceDE w:val="0"/>
        <w:autoSpaceDN w:val="0"/>
        <w:adjustRightInd w:val="0"/>
        <w:snapToGrid w:val="0"/>
        <w:spacing w:before="240" w:after="240" w:line="560" w:lineRule="exact"/>
        <w:jc w:val="center"/>
        <w:rPr>
          <w:rFonts w:ascii="黑体" w:hAnsi="黑体" w:eastAsia="黑体" w:cs="黑体"/>
          <w:b w:val="0"/>
          <w:bCs w:val="0"/>
          <w:kern w:val="2"/>
          <w:sz w:val="32"/>
          <w:szCs w:val="32"/>
        </w:rPr>
      </w:pPr>
      <w:r>
        <w:rPr>
          <w:rFonts w:hint="eastAsia" w:ascii="黑体" w:hAnsi="黑体" w:eastAsia="黑体" w:cs="黑体"/>
          <w:kern w:val="2"/>
          <w:sz w:val="32"/>
          <w:szCs w:val="32"/>
        </w:rPr>
        <w:t>第四章  企业科技创新</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第二十二条【创新企业培育】</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构建科技型中小企业、高新技术企业、瞪羚企业、独角兽企业成长培育机制，壮大科技型中小企业，做强高新技术企业，培育一批集成创新能力强、核心竞争优势明显的专精特新企业和创新型领军企业。</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第二十三条【企业研发机构】</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和支持企业围绕市场需求和长远发展，独自设立或者与高等院校、科研机构联合设立研究开发机构，开展技术研究、试验和技术服务，建设重点实验室、工程（技术）研究中心、企业技术中心、院士工作站、博士后工作站、研究生工作站等企业研发机构。</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企业开发新技术、新产品、新工艺或者从事关键核心技术和行业共性技术研究的，按照有关规定享受研究开发费用税前加计扣除、科研仪器设备加速折旧、技术开发和转让税收减免等优惠待遇。</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国有企业应当加强科研机构建设，加大科技创新投入，建立健全有利于技术创新的分配制度和考核评价制度，完善激励约束机制。</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第二十四条【创新联合体】</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通过政策、项目和资金等方式支持组建由科技领军企业牵头、高校院所支撑、产业链各创新主体相互协同的创新联合体，面向制约产业发展的关键核心技术开展联合攻关，推动产学研深度协同合作，促进产业发展能级提升。</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第二十五条【大中小企业融通创新】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鼓励骨干企业积极开放创新资源和应用场景，采取研发众包、企业内部创业和构建产业创新生态圈等方式，推动大中小企业融通创新，带动和支持科技型中小微企业成长。</w:t>
      </w:r>
    </w:p>
    <w:p>
      <w:pPr>
        <w:widowControl w:val="0"/>
        <w:overflowPunct w:val="0"/>
        <w:autoSpaceDE w:val="0"/>
        <w:autoSpaceDN w:val="0"/>
        <w:adjustRightInd w:val="0"/>
        <w:snapToGrid w:val="0"/>
        <w:spacing w:before="240" w:after="240" w:line="560" w:lineRule="exact"/>
        <w:jc w:val="center"/>
        <w:rPr>
          <w:rFonts w:ascii="黑体" w:hAnsi="黑体" w:eastAsia="黑体" w:cs="黑体"/>
          <w:b w:val="0"/>
          <w:bCs w:val="0"/>
          <w:kern w:val="2"/>
          <w:sz w:val="32"/>
          <w:szCs w:val="32"/>
        </w:rPr>
      </w:pPr>
      <w:r>
        <w:rPr>
          <w:rFonts w:hint="eastAsia" w:ascii="黑体" w:hAnsi="黑体" w:eastAsia="黑体" w:cs="黑体"/>
          <w:kern w:val="2"/>
          <w:sz w:val="32"/>
          <w:szCs w:val="32"/>
        </w:rPr>
        <w:t>第五章  创新平台载体</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第二十六条【“两湖”创新区】</w:t>
      </w:r>
    </w:p>
    <w:p>
      <w:pPr>
        <w:widowControl w:val="0"/>
        <w:overflowPunct w:val="0"/>
        <w:autoSpaceDE w:val="0"/>
        <w:autoSpaceDN w:val="0"/>
        <w:adjustRightInd w:val="0"/>
        <w:snapToGrid w:val="0"/>
        <w:spacing w:line="560" w:lineRule="exact"/>
        <w:ind w:firstLine="641"/>
        <w:jc w:val="both"/>
        <w:rPr>
          <w:rFonts w:eastAsia="方正楷体_GBK"/>
        </w:rPr>
      </w:pPr>
      <w:r>
        <w:rPr>
          <w:rFonts w:hint="eastAsia" w:eastAsia="仿宋_GB2312"/>
          <w:kern w:val="2"/>
          <w:sz w:val="32"/>
          <w:szCs w:val="32"/>
        </w:rPr>
        <w:t>市人民政府应当高质量推进“两湖”创新区建设，建设高端创新平台，集聚优质创新主体，构建高效创新生态，吸引一流创新人才，为常州打造长三角创新中轴提供强大源动力。</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第二十七条【科教城】</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市人民政府应当加强常州科教城国际合作、创新研发、成果转化、人才集聚、产业培育、高职教育“六个新高地” 建设，完善“经科教联动、产学研结合、校所企共赢”产学研合作模式，强化“创新之核”辐射带动能力，创建国内具有示范意义的科技成果转移转化集聚区，打造开放型、创新型、生态型国际科教走廊。</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第二十八条【高新园区】</w:t>
      </w:r>
    </w:p>
    <w:p>
      <w:pPr>
        <w:widowControl w:val="0"/>
        <w:overflowPunct w:val="0"/>
        <w:autoSpaceDE w:val="0"/>
        <w:autoSpaceDN w:val="0"/>
        <w:adjustRightInd w:val="0"/>
        <w:snapToGrid w:val="0"/>
        <w:spacing w:line="560" w:lineRule="exact"/>
        <w:ind w:firstLine="640" w:firstLineChars="200"/>
        <w:jc w:val="both"/>
        <w:rPr>
          <w:rFonts w:eastAsia="仿宋_GB2312"/>
          <w:kern w:val="2"/>
          <w:sz w:val="32"/>
          <w:szCs w:val="32"/>
        </w:rPr>
      </w:pPr>
      <w:r>
        <w:rPr>
          <w:rFonts w:hint="eastAsia" w:eastAsia="仿宋_GB2312"/>
          <w:kern w:val="2"/>
          <w:sz w:val="32"/>
          <w:szCs w:val="32"/>
        </w:rPr>
        <w:t>市、县级市（区）人民政府应当科学统筹协调高新技术产业开发区、农业高新技术产业示范区布局，鼓励在科教创新资源富集、产业优势明显的地方创建高新园区，推进省级以上高新区在各县级市（区）全覆盖。</w:t>
      </w:r>
    </w:p>
    <w:p>
      <w:pPr>
        <w:widowControl w:val="0"/>
        <w:overflowPunct w:val="0"/>
        <w:autoSpaceDE w:val="0"/>
        <w:autoSpaceDN w:val="0"/>
        <w:adjustRightInd w:val="0"/>
        <w:snapToGrid w:val="0"/>
        <w:spacing w:line="560" w:lineRule="exact"/>
        <w:ind w:firstLine="641"/>
        <w:jc w:val="both"/>
        <w:rPr>
          <w:rFonts w:ascii="方正楷体_GBK" w:hAnsi="方正楷体_GBK" w:eastAsia="方正楷体_GBK" w:cs="方正楷体_GBK"/>
          <w:b/>
          <w:bCs/>
          <w:kern w:val="2"/>
          <w:sz w:val="32"/>
          <w:szCs w:val="32"/>
        </w:rPr>
      </w:pPr>
      <w:r>
        <w:rPr>
          <w:rFonts w:hint="eastAsia" w:eastAsia="仿宋_GB2312"/>
          <w:kern w:val="2"/>
          <w:sz w:val="32"/>
          <w:szCs w:val="32"/>
        </w:rPr>
        <w:t>支持各类科技园区打造产业高地、人才高地、创新高地，建设成为高质量发展先行区和创新驱动发展示范区。</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第二十九条【研发创新平台】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 xml:space="preserve"> 市、县级市（区）人民政府培育和支持国家实验室、省实验室和国家重点实验室、省重点实验室等高水平科学与工程研究类科技创新基地建设，探索重大科技基础设施布局，支持围绕重大科学前沿、重大科技任务和大科学工程，开展战略性、前瞻性、基础性、综合性科技创新活动。推动智能制造龙城实验室等重大创新平台建设，建立专项资金稳定支持机制，充分赋予经费使用自主权，在项目投资、高端人才培养、与企业共建等方面开展体制机制探索，着力解决制约行业发展的共性技术和关键核心技术。</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聚焦优势产业和未来产业，构建定位清晰、层次分明、有机衔接的产业技术创新中心体系。加快建设江苏省碳纤维及其复合材料技术创新中心、江苏省新能源汽车能源与信息创新中心、江苏省先进动力及储能电池产业创新中心等，支撑产业创新能力提升，推动产业链进入全球价值链中高端。</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市、县级市（区）人民政府应当根据地方产业发展和科技创新需求，聚焦科学研究、技术创新和研发服务，加强新型研发机构布局。支持新型研发机构以非财政资金设立全资公司作为科技成果转化的持股平台。赋予新型研发机构更大的科研自主权，探索市场化运作机制与科技创新治理新方式，完善科研模式、人才引进、职称评定等管理制度，对新型研发机构进行分类认定、持续评价和奖励激励。</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加强与江苏省产业技术研究院合作，建设运行本地化、专业化产业技术研究院（所），以“拨投结合”方式实施产业重大技术创新项目，加强原始创新、集成创新和引进消化吸收再创新，提升平台综合实力。</w:t>
      </w:r>
    </w:p>
    <w:p>
      <w:pPr>
        <w:widowControl w:val="0"/>
        <w:overflowPunct w:val="0"/>
        <w:autoSpaceDE w:val="0"/>
        <w:autoSpaceDN w:val="0"/>
        <w:adjustRightInd w:val="0"/>
        <w:snapToGrid w:val="0"/>
        <w:spacing w:line="58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第三十条【创新创业载体】</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市、县级市（区）人民政府应当根据科技创新企业的成长规律和发展需求，加快打造科创综合体、人才综合体，引导和支持多元投资主体建设各类科技创业载体，构建“众创空间+孵化器+加速器+产业园区”接力式孵化体系。</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鼓励高等院校、科研机构、企业等参与技术研发、概念验证、工业设计、测试检验、中试熟化、规模化试生产等公共技术服务平台建设。</w:t>
      </w:r>
    </w:p>
    <w:p>
      <w:pPr>
        <w:widowControl w:val="0"/>
        <w:overflowPunct w:val="0"/>
        <w:autoSpaceDE w:val="0"/>
        <w:autoSpaceDN w:val="0"/>
        <w:adjustRightInd w:val="0"/>
        <w:snapToGrid w:val="0"/>
        <w:spacing w:before="240" w:after="240" w:line="560" w:lineRule="exact"/>
        <w:jc w:val="center"/>
        <w:rPr>
          <w:rFonts w:ascii="黑体" w:hAnsi="黑体" w:eastAsia="黑体" w:cs="黑体"/>
          <w:b w:val="0"/>
          <w:bCs w:val="0"/>
          <w:kern w:val="2"/>
          <w:sz w:val="32"/>
          <w:szCs w:val="32"/>
        </w:rPr>
      </w:pPr>
      <w:r>
        <w:rPr>
          <w:rFonts w:hint="eastAsia" w:ascii="黑体" w:hAnsi="黑体" w:eastAsia="黑体" w:cs="黑体"/>
          <w:kern w:val="2"/>
          <w:sz w:val="32"/>
          <w:szCs w:val="32"/>
        </w:rPr>
        <w:t>第六章  科技创新人才</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第三十一条【人才引进】</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市、县级市（区）人民政府应当以产业需求为导向，充分发挥市场在人才资源配置中的决定性作用，积极实施“龙城英才计划”，开展科技创新人才引进工作。</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支持科研机构、企业等创新主体建立市场化的人才发现和引进机制，加强战略性科技创新人才储备。</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鼓励在国外工作的科学技术人员回国创新创业，吸引外籍人才来本市从事经济、科技、文化、教育等建设工作。加强引进国际人才服务机构，建立与国际接轨的全球人才招聘机制。</w:t>
      </w:r>
    </w:p>
    <w:p>
      <w:pPr>
        <w:widowControl w:val="0"/>
        <w:overflowPunct w:val="0"/>
        <w:autoSpaceDE w:val="0"/>
        <w:autoSpaceDN w:val="0"/>
        <w:adjustRightInd w:val="0"/>
        <w:snapToGrid w:val="0"/>
        <w:spacing w:line="58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第三十二条【人才培养】</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加强科技创新人才队伍建设，大力培养战略科学家、一流科技领军人才、青年科技创新人才、卓越工程师、高技能人才和创新团队。</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鼓励高等院校围绕本市科技创新开展学科建设和人才培养，支持高等院校与龙头企业合作设立产业学院、知识产权学院，共同培养知识产权、技术经纪人等紧缺人才。</w:t>
      </w:r>
    </w:p>
    <w:p>
      <w:pPr>
        <w:widowControl w:val="0"/>
        <w:overflowPunct w:val="0"/>
        <w:autoSpaceDE w:val="0"/>
        <w:autoSpaceDN w:val="0"/>
        <w:adjustRightInd w:val="0"/>
        <w:snapToGrid w:val="0"/>
        <w:spacing w:line="580" w:lineRule="exact"/>
        <w:ind w:firstLine="641"/>
        <w:jc w:val="both"/>
        <w:rPr>
          <w:rFonts w:eastAsia="仿宋_GB2312"/>
          <w:kern w:val="2"/>
          <w:sz w:val="32"/>
          <w:szCs w:val="32"/>
        </w:rPr>
      </w:pPr>
      <w:r>
        <w:rPr>
          <w:rFonts w:hint="eastAsia" w:eastAsia="仿宋_GB2312"/>
          <w:kern w:val="2"/>
          <w:sz w:val="32"/>
          <w:szCs w:val="32"/>
        </w:rPr>
        <w:t>大力推进“技能人才工程”，重点建设智能制造装备等先进制造业特色专项公共实训基地。支持企业开展职工技能提升培训，培育首席技师，建设技能大师工作室、劳模创新工作室等高技能人才培训平台。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企业、行业主管部门、政府机构、行业协会等与高等院校、科研机构建立科技创新人才双向流动或岗位互聘机制，支持有创新实践经验的企业家和企业科学技术人员到高等院校、科研机构兼职从事教学和科研工作，支持高等院校、科研机构科学技术人员按照有关规定到企业兼职开展创新工作。鼓励科技创新人才按照国家和省有关规定兼职创新创业和离岗创办企业。</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第三十三条【人才评价】</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完善科技创新人才分类评价机制，根据科技创新规律、人才特点和岗位职责，建立健全以创新价值、能力、贡献为导向的科技创新人才评价体系，探索对基础研究人才和青年人才的长周期评价制度。</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第三十四条【人才激励】</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市、县级市（区）人民政府应当对有突出贡献的科技创新人才给予优厚待遇和奖励激励。</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高等院校、科研机构等事业单位和国有企业按照国家和省有关规定，可以采用年薪制、协议工资制和项目工资制等分配方式，为科技创新人才及其团队合理确定薪酬，并可以按照规定采取股权、期权、分红等方式激励科技创新人才。</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支持高等院校、科研机构实行薪酬分配同绩效挂钩，向扎根教学科研一线、承担急难险重任务、作出突出贡献的人员倾斜，向从事基础学科教学和基础前沿研究、承担国家关键核心技术攻关任务、取得重大创新成果的人员倾斜。</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 xml:space="preserve">第三十五条【人才服务】 </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完善科技创新人才发展生态，加快布局建设对外开放程度高、创新活力强的高品质人才公寓和人才社区，建立一站式人才服务平台，为科技创新人才在企业设立、科研项目申报、职称评定、成果转移转化等方面提供政策支持，在落户、居住、子女教育、配偶就业、医疗保障等方面提供高效便利服务。</w:t>
      </w:r>
    </w:p>
    <w:p>
      <w:pPr>
        <w:widowControl w:val="0"/>
        <w:overflowPunct w:val="0"/>
        <w:autoSpaceDE w:val="0"/>
        <w:autoSpaceDN w:val="0"/>
        <w:adjustRightInd w:val="0"/>
        <w:snapToGrid w:val="0"/>
        <w:spacing w:before="240" w:after="240" w:line="560" w:lineRule="exact"/>
        <w:jc w:val="center"/>
        <w:rPr>
          <w:rFonts w:ascii="黑体" w:hAnsi="黑体" w:eastAsia="黑体" w:cs="黑体"/>
          <w:kern w:val="2"/>
          <w:sz w:val="32"/>
          <w:szCs w:val="32"/>
        </w:rPr>
      </w:pPr>
      <w:r>
        <w:rPr>
          <w:rFonts w:hint="eastAsia" w:ascii="黑体" w:hAnsi="黑体" w:eastAsia="黑体" w:cs="黑体"/>
          <w:kern w:val="2"/>
          <w:sz w:val="32"/>
          <w:szCs w:val="32"/>
        </w:rPr>
        <w:t>第七章  开放创新合作</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 xml:space="preserve">第三十六条【合作开放体系】 </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加强全方位、多层次、广领域、高水平的区域与国际科技创新交流合作，加大先进技术和海内外高层次人才引进力度，营造有利于创新要素流动的良好环境，积极融入全球科技创新网络，提升科技创新的国际化水平。</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第三十七条【国内创新合作】</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开展“科技新长征”，探索实践产学研深度融合新机制新模式，加强企业技术需求信息发布平台建设。支持高等院校、科研机构、企业等举办创新创业大赛、学术交流、技术合作、成果推广等科技创新创业活动。</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加强长三角科技创新共同体建设和苏南国家自主创新示范区建设，健全跨区域协同创新合作机制，构建区域创新共同体。</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第三十八条【国际创新合作】</w:t>
      </w:r>
    </w:p>
    <w:p>
      <w:pPr>
        <w:widowControl w:val="0"/>
        <w:overflowPunct w:val="0"/>
        <w:autoSpaceDE w:val="0"/>
        <w:autoSpaceDN w:val="0"/>
        <w:adjustRightInd w:val="0"/>
        <w:snapToGrid w:val="0"/>
        <w:spacing w:line="560" w:lineRule="exact"/>
        <w:ind w:firstLine="640" w:firstLineChars="200"/>
        <w:jc w:val="both"/>
        <w:rPr>
          <w:rFonts w:eastAsia="仿宋_GB2312"/>
          <w:kern w:val="2"/>
          <w:sz w:val="32"/>
          <w:szCs w:val="32"/>
        </w:rPr>
      </w:pPr>
      <w:r>
        <w:rPr>
          <w:rFonts w:hint="eastAsia" w:eastAsia="仿宋_GB2312"/>
          <w:kern w:val="2"/>
          <w:sz w:val="32"/>
          <w:szCs w:val="32"/>
        </w:rPr>
        <w:t>积极参与国家“一带一路”建设科技创新行动计划，全面发挥科技创新合作对共建“一带一路”的先导作用，打造发展理念相通、要素流动畅通、科技设施联通、创新链条融通、人员交流顺通的创新共同体。积极实施“一区一名片”建设，推进国际科技合作园区全覆盖，促进创新国际化和产业国际化协同发展。</w:t>
      </w:r>
    </w:p>
    <w:p>
      <w:pPr>
        <w:widowControl w:val="0"/>
        <w:overflowPunct w:val="0"/>
        <w:autoSpaceDE w:val="0"/>
        <w:autoSpaceDN w:val="0"/>
        <w:adjustRightInd w:val="0"/>
        <w:snapToGrid w:val="0"/>
        <w:spacing w:line="560" w:lineRule="exact"/>
        <w:ind w:firstLine="640" w:firstLineChars="200"/>
        <w:jc w:val="both"/>
        <w:rPr>
          <w:rFonts w:eastAsia="仿宋_GB2312"/>
          <w:kern w:val="2"/>
          <w:sz w:val="32"/>
          <w:szCs w:val="32"/>
        </w:rPr>
      </w:pPr>
      <w:r>
        <w:rPr>
          <w:rFonts w:hint="eastAsia" w:eastAsia="仿宋_GB2312"/>
          <w:kern w:val="2"/>
          <w:sz w:val="32"/>
          <w:szCs w:val="32"/>
        </w:rPr>
        <w:t>鼓励海外知名高等院校、科研机构、跨国公司来本市单独或合作建立研发机构；鼓励本市高等院校、科研机构、企业单独或合作建立海外研发机构、海外产学研合作平台、海外联合实验室、海外创业孵化机构等海外离岸创新平台，参与全球产业链创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市、县级市（区）人民政府应当在商务考察、出境参展、贸易洽谈、离岸创新创业、技术贸易、出入境管理、外汇管理等方面为国际和港澳台科技创新合作交流提供便利服务。</w:t>
      </w:r>
    </w:p>
    <w:p>
      <w:pPr>
        <w:widowControl w:val="0"/>
        <w:overflowPunct w:val="0"/>
        <w:autoSpaceDE w:val="0"/>
        <w:autoSpaceDN w:val="0"/>
        <w:adjustRightInd w:val="0"/>
        <w:snapToGrid w:val="0"/>
        <w:spacing w:line="560" w:lineRule="exact"/>
        <w:ind w:firstLine="641"/>
        <w:jc w:val="both"/>
        <w:rPr>
          <w:rFonts w:ascii="方正楷体_GBK" w:hAnsi="方正楷体_GBK" w:eastAsia="方正楷体_GBK" w:cs="方正楷体_GBK"/>
          <w:b/>
          <w:bCs/>
          <w:kern w:val="2"/>
          <w:sz w:val="32"/>
          <w:szCs w:val="32"/>
        </w:rPr>
      </w:pPr>
      <w:r>
        <w:rPr>
          <w:rFonts w:hint="eastAsia" w:eastAsia="仿宋_GB2312"/>
          <w:kern w:val="2"/>
          <w:sz w:val="32"/>
          <w:szCs w:val="32"/>
        </w:rPr>
        <w:t>市、县级市（区）人民政府支持外国和港澳台专家牵头或者参与本市科技创新战略研究、规划编制、项目实施、项目评审和验收等工作。</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第三十九条【中以常州创新园】</w:t>
      </w:r>
    </w:p>
    <w:p>
      <w:pPr>
        <w:widowControl w:val="0"/>
        <w:overflowPunct w:val="0"/>
        <w:autoSpaceDE w:val="0"/>
        <w:autoSpaceDN w:val="0"/>
        <w:adjustRightInd w:val="0"/>
        <w:snapToGrid w:val="0"/>
        <w:spacing w:line="560" w:lineRule="exact"/>
        <w:ind w:firstLine="640" w:firstLineChars="200"/>
        <w:jc w:val="both"/>
        <w:rPr>
          <w:rFonts w:eastAsia="仿宋_GB2312"/>
          <w:kern w:val="2"/>
          <w:sz w:val="32"/>
          <w:szCs w:val="32"/>
        </w:rPr>
      </w:pPr>
      <w:r>
        <w:rPr>
          <w:rFonts w:hint="eastAsia" w:eastAsia="仿宋_GB2312"/>
          <w:kern w:val="2"/>
          <w:sz w:val="32"/>
          <w:szCs w:val="32"/>
        </w:rPr>
        <w:t>强化中以常州创新园创新合作领航者地位，积极推动与以色列科技交流和合作，持续巩固提升合作机制、合作模式、合作成果“三个领先”。深入实施“中以常州创新园共建计划”，推动以色列创新资源与本市企业、高等院校、科研机构开展合作。支持与以色列合作开展创新创业人才培养，培育工程实践能力强、创新能力强、具备国际竞争力的高素质复合型新工科人才。</w:t>
      </w:r>
    </w:p>
    <w:p>
      <w:pPr>
        <w:widowControl w:val="0"/>
        <w:overflowPunct w:val="0"/>
        <w:autoSpaceDE w:val="0"/>
        <w:autoSpaceDN w:val="0"/>
        <w:adjustRightInd w:val="0"/>
        <w:snapToGrid w:val="0"/>
        <w:spacing w:before="240" w:after="240" w:line="560" w:lineRule="exact"/>
        <w:jc w:val="center"/>
        <w:rPr>
          <w:rFonts w:ascii="黑体" w:hAnsi="黑体" w:eastAsia="黑体" w:cs="黑体"/>
          <w:b w:val="0"/>
          <w:bCs w:val="0"/>
          <w:kern w:val="2"/>
          <w:sz w:val="32"/>
          <w:szCs w:val="32"/>
        </w:rPr>
      </w:pPr>
      <w:r>
        <w:rPr>
          <w:rFonts w:hint="eastAsia" w:ascii="黑体" w:hAnsi="黑体" w:eastAsia="黑体" w:cs="黑体"/>
          <w:b w:val="0"/>
          <w:bCs w:val="0"/>
          <w:kern w:val="2"/>
          <w:sz w:val="32"/>
          <w:szCs w:val="32"/>
        </w:rPr>
        <w:t>第八章  科技创新生态</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第四十条【创新文化】</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市、县级市（区）人民政府及其有关部门和各类社会组织应当通过多种形式，弘扬科学家精神、企业家精神和工匠精神，宣传科技创新先进事迹，推动创新文化、创新精神、创新价值融入城市精神。</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第四十一条【科技服务业】</w:t>
      </w:r>
    </w:p>
    <w:p>
      <w:pPr>
        <w:widowControl w:val="0"/>
        <w:numPr>
          <w:ilvl w:val="255"/>
          <w:numId w:val="0"/>
        </w:numPr>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围绕创新链完善服务链，大力发展专业科技服务和综合科技服务，重点发展研究开发、技术转移、检验检测认证、创业孵化、知识产权、科技咨询等业态，提升科技服务业对科技创新和产业发展的支撑能力。</w:t>
      </w:r>
    </w:p>
    <w:p>
      <w:pPr>
        <w:widowControl w:val="0"/>
        <w:overflowPunct w:val="0"/>
        <w:autoSpaceDE w:val="0"/>
        <w:autoSpaceDN w:val="0"/>
        <w:adjustRightInd w:val="0"/>
        <w:snapToGrid w:val="0"/>
        <w:spacing w:line="560" w:lineRule="exact"/>
        <w:ind w:firstLine="641"/>
        <w:jc w:val="both"/>
        <w:rPr>
          <w:rFonts w:ascii="方正楷体_GBK" w:hAnsi="方正楷体_GBK" w:eastAsia="方正楷体_GBK" w:cs="方正楷体_GBK"/>
          <w:b/>
          <w:bCs/>
          <w:kern w:val="2"/>
          <w:sz w:val="32"/>
          <w:szCs w:val="32"/>
        </w:rPr>
      </w:pPr>
      <w:r>
        <w:rPr>
          <w:rFonts w:hint="eastAsia" w:eastAsia="仿宋_GB2312"/>
          <w:kern w:val="2"/>
          <w:sz w:val="32"/>
          <w:szCs w:val="32"/>
        </w:rPr>
        <w:t>面向科技服务业发展需求，完善学历教育和职业培训体系，支持高等院校调整相关专业设置，加强对科技服务业从业人员的培养培训。积极利用各类人才计划，引进和培养一批懂技术、懂知识产权、懂市场、懂管理的复合型科技服务高端人才。</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第四十二条【科技招商】</w:t>
      </w:r>
    </w:p>
    <w:p>
      <w:pPr>
        <w:widowControl w:val="0"/>
        <w:overflowPunct w:val="0"/>
        <w:autoSpaceDE w:val="0"/>
        <w:autoSpaceDN w:val="0"/>
        <w:adjustRightInd w:val="0"/>
        <w:snapToGrid w:val="0"/>
        <w:spacing w:line="560" w:lineRule="exact"/>
        <w:ind w:firstLine="641"/>
        <w:jc w:val="both"/>
        <w:rPr>
          <w:rFonts w:eastAsia="仿宋_GB2312"/>
        </w:rPr>
      </w:pPr>
      <w:r>
        <w:rPr>
          <w:rFonts w:hint="eastAsia" w:eastAsia="仿宋_GB2312"/>
          <w:kern w:val="2"/>
          <w:sz w:val="32"/>
          <w:szCs w:val="32"/>
        </w:rPr>
        <w:t>市、县级市（区）人民政府应当构建科技招商工作机制，优化招商政策，加强招商队伍、专业化科创载体建设，聚焦我市重点产业发展领域，通过创新平台、创业载体、科创人才、科创基金、科创活动等开展科技招商，加速集聚优质科技资源，推进战略性新兴产业融合集聚发展。</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第四十三条【科技金融】</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完善科技、产业、金融结合发展机制，加大资源保障和政策扶持力度，健全覆盖科技创新创业全周期、全链条的融资支持体系，引导金融机构、投资机构等面向科技创新主体和科技创新活动需求，提供投资、贷款、担保、保险、上市等各类科技金融产品和金融服务。加快建设“龙城金谷”，招引各类投资基金落户集聚。</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市、县级市（区）人民政府应当推动设立科技创新基金，构建服务高效便捷、监管规范透明的发展环境。完善科技创新基金风险防范化解和分级分类监管机制，完善科技创新基金退出机制，保障出资人合法权益。</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鼓励和支持金融机构依法开发特色金融产品和服务，鼓励商业银行设立科技支行、科技金融专营机构，完善科技信贷管理机制，开展信用贷款、知识产权质押贷款、创新积分贷等融资业务。</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鼓励和支持保险机构创新产品和服务，开展科技研发项目、首台（套）重大技术装备、新材料首批次应用、数据安全以及知识产权等保险服务，形成覆盖科技企业研发、生产、销售等各环节的保险保障。</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鼓励和支持企业资本市场融资，实施科技企业上市培育计划，建立科技企业上市后备库，加强分类指导，推动科技企业在境内外挂牌上市。</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市、县级市（区）人民政府应当建立科技信贷风险补偿机制和知识产权融资风险补偿机制，将开展科技金融服务的商业银行、担保机构纳入风险补偿范围，为科技企业融资提供便利和增信。</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依照《中华人民共和国公司法》登记的企业可以按照法律、法规和公司章程的规定，发行每一股的表决权多于普通股的特别表决权股。持有特别表决权股份的股东，应当为对公司技术进步和业务发展作出重大贡献并且持续发挥重要作用的股东，以及上述人员实际控制的持股主体。</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第四十四条【知识产权保护】</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深入实施知识产权强国战略，引导创新主体加强知识产权合规管理，充分发挥专利导航支撑科技创新的作用，培育高价值专利，实现专利、标准与创新的高度融合。加强常州市知识产权保护中心专利预审能力建设，完善专业人才考核和评价机制，推进知识产权快速审查、确权、维权协同保护工作。</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及其有关部门应当建立重点行业和领域的知识产权侵权行为快速查处机制，提高行政执法效率；完善知识产权海外维权援助工作机制，加强对企业海外知识产权维权的指导和帮助。加强知识产权司法保护，完善知识产权纠纷多元解决机制，充分发挥仲裁、调解、行业自治等纠纷解决途径的作用。</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第四十五条【科研用地用房保障】 </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在国土空间规划和城市更新中保障科技创新发展用地需求，引导工业、仓储、研发、办公、商业等用途混合布局和空间设施共享。鼓励通过弹性年期出让、先租后让、租让结合等供地方式，保障科技基础设施、重大创新平台、重点创新型企业等科技创新用地需求和配套用地需求。</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可以通过配套建设、提升土地使用率、整治统租、回购、合作开发等方式筹集创新型产业用房，保障科技创新类产业、科研机构、科技公共服务平台、孵化器和众创空间以及技术先进型服务企业用房需求。</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第四十六条【科技资源共享】</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科技行政主管部门应当会同有关部门建立科技创新资源共享机制，在满足科技资源权利人自身需求和保护商业秘密的前提下，推进重大科技基础设施、大型仪器设备以及科技信息的开放共享和增值服务。建立区域科技创新券通用机制，发挥科技创新券在科技资源共享等科技服务中的促进、引导作用。</w:t>
      </w:r>
    </w:p>
    <w:p>
      <w:pPr>
        <w:widowControl w:val="0"/>
        <w:overflowPunct w:val="0"/>
        <w:autoSpaceDE w:val="0"/>
        <w:autoSpaceDN w:val="0"/>
        <w:adjustRightInd w:val="0"/>
        <w:snapToGrid w:val="0"/>
        <w:spacing w:line="560" w:lineRule="exact"/>
        <w:ind w:firstLine="641"/>
        <w:jc w:val="both"/>
      </w:pPr>
      <w:r>
        <w:rPr>
          <w:rFonts w:hint="eastAsia" w:eastAsia="仿宋_GB2312"/>
          <w:kern w:val="2"/>
          <w:sz w:val="32"/>
          <w:szCs w:val="32"/>
        </w:rPr>
        <w:t>科技行政主管部门应当加强科技创新公共服务平台建设，完善创新政策信息平台功能，推进创新政策“快享直达”。鼓励科技创新专题数据库建设，推进行业、产业信息互联互通，提升数据资源集成和加工处理分析能力。</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第四十七条【科技创新奖励】</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人民政府应当完善科技奖励制度，对在科技创新活动中取得重大成果或者作出突出贡献的单位和个人按照规定给予表彰和奖励。对获得国家和省级科技奖的单位和个人按照规定给予配套奖励。引导和规范社会力量按照有关规定设立科学技术奖项，鼓励国内外组织和个人捐赠财产、设立科学技术基金，对社会力量设立的科学技术奖项予以资助。</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市人民政府应当设立优秀专利奖和优秀发明人奖，对优秀专利项目、专利工作成绩突出的单位和个人给予奖励。</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第四十八条【项目管理机制】</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强化项目分类管理，推进基础研究等计划项目经费使用包干制，在调整研究方案、技术路线和预算调剂等方面赋予科学技术人员更大自主权。探索推行揭榜挂帅、赛马制、定向委托等科技计划项目组织模式。</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优化完善项目管理系统，开展对科技计划项目申报、评审、立项、执行、验收的全过程监督管理，健全信用和经费管理机制，强化项目绩效评价。</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第四十九条【公共法律服务】</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市人民政府司法行政部门应当协调公共法律服务中心、法律服务机构，为高等院校、科研机构、企业以及科学技术人员的科技创新活动提供公共法律服务。</w:t>
      </w:r>
    </w:p>
    <w:p>
      <w:pPr>
        <w:widowControl w:val="0"/>
        <w:overflowPunct w:val="0"/>
        <w:autoSpaceDE w:val="0"/>
        <w:autoSpaceDN w:val="0"/>
        <w:adjustRightInd w:val="0"/>
        <w:snapToGrid w:val="0"/>
        <w:spacing w:before="240" w:after="240" w:line="560" w:lineRule="exact"/>
        <w:jc w:val="center"/>
        <w:rPr>
          <w:rFonts w:ascii="黑体" w:hAnsi="黑体" w:eastAsia="黑体" w:cs="黑体"/>
          <w:b w:val="0"/>
          <w:bCs w:val="0"/>
          <w:kern w:val="2"/>
          <w:sz w:val="32"/>
          <w:szCs w:val="32"/>
        </w:rPr>
      </w:pPr>
      <w:r>
        <w:rPr>
          <w:rFonts w:hint="eastAsia" w:ascii="黑体" w:hAnsi="黑体" w:eastAsia="黑体" w:cs="黑体"/>
          <w:kern w:val="2"/>
          <w:sz w:val="32"/>
          <w:szCs w:val="32"/>
        </w:rPr>
        <w:t>第九章  监督管理</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第五十条【科学决策】</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市、县级市（区）人民政府应当建立科技创新专家咨询制度，成立由科技、产业、投资、法律、财税、知识产权等领域专家组成的科技创新决策咨询委员会，开展科技创新重大战略问题研究和决策咨询。</w:t>
      </w:r>
    </w:p>
    <w:p>
      <w:pPr>
        <w:widowControl w:val="0"/>
        <w:overflowPunct w:val="0"/>
        <w:autoSpaceDE w:val="0"/>
        <w:autoSpaceDN w:val="0"/>
        <w:adjustRightInd w:val="0"/>
        <w:snapToGrid w:val="0"/>
        <w:spacing w:line="560" w:lineRule="exact"/>
        <w:ind w:firstLine="641"/>
        <w:jc w:val="both"/>
        <w:rPr>
          <w:rFonts w:ascii="方正楷体_GBK" w:hAnsi="方正楷体_GBK" w:eastAsia="方正楷体_GBK" w:cs="方正楷体_GBK"/>
          <w:b/>
          <w:bCs/>
          <w:kern w:val="2"/>
          <w:sz w:val="32"/>
          <w:szCs w:val="32"/>
        </w:rPr>
      </w:pPr>
      <w:r>
        <w:rPr>
          <w:rFonts w:hint="eastAsia" w:eastAsia="仿宋_GB2312"/>
          <w:kern w:val="2"/>
          <w:sz w:val="32"/>
          <w:szCs w:val="32"/>
        </w:rPr>
        <w:t>市、县级市（区）人民政府及其有关部门应当按照鼓励创新、包容审慎的原则完善新技术、新产业、新业态、新模式的监管措施。制定监管措施时，应当公告相关方案，征求利益相关方和社会公众的意见。</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第五十一条【科研诚信】</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建立健全科技创新守信激励和失信惩戒机制，将科研信用信息、知识产权信用信息依法纳入本市公共信用信息服务平台。</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对信用良好的创新主体，在科研项目申报和管理等方面依法给予便利。对存在失信行为的创新主体，在政府采购、财政资金支持、融资授信、获得相关奖励等方面依法予以限制。</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第五十二条【科技伦理】</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构建科技伦理治理体系，建立科技伦理风险评估和审查机制。市科学技术、教育、卫生健康、农业农村、经济信息化等部门应当依法组织开展对新兴技术领域技术研发与应用的伦理风险评估，引导和规范新兴技术的研发与应用。</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各类创新主体应当履行科技伦理管理主体责任，按照国家有关规定建立健全科技伦理审查机制，对科学技术活动开展科技伦理审查。</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第五十三条【科技安全】</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市、县级市（区）人民政府应当建立科技安全保障协调工作机制，健全预防和化解科技安全风险的制度机制，强化重点产业供应链安全管理和保障，防范化解科技领域重大风险，提高科技安全治理水平。</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涉及国家秘密的职务科技成果的赋权和转化，试点单位和成果完成人（团队）要严格执行科学技术保密制度，加强保密管理。</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第五十四条【尽职免责】</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有关单位和负责人在科技创新过程中作出的决策，只要符合法律法规、国家和省市有关规定以及相关决策程序要求，且勤勉尽责，未牟取非法利益的，不作负面评价，依法免除相关责任。</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科学技术人员在承担探索性强、风险度高的科技创新活动中勤勉尽责，但由于客观原因未达到预期目标的，经立项部门组织认定，按照国家和省市有关规定，不作负面评价，依法免除相关责任。</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第五十五条【行政监管责任】</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市、县级市（区）人民政府及其科技行政主管部门和有关部门工作人员违反本条例规定，滥用职权、玩忽职守、徇私舞弊的，对负有责任的领导人员和直接责任人员依法给予处分；构成犯罪的，依法追究刑事责任。</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第五十六条【行政相对人责任】</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单位或者个人采取欺骗手段等违法方式获得财政性科技项目经费、补贴、奖金、税收优惠待遇，或者侵犯他人知识产权，由有关部门按照国家和省有关规定追回相关资金，并进行处理；构成犯罪的，依法追究刑事责任。</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第五十七条【指引性规定】</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违反本条例规定的行为，法律、法规已有法律责任规定的，从其规定。</w:t>
      </w:r>
    </w:p>
    <w:p>
      <w:pPr>
        <w:widowControl w:val="0"/>
        <w:overflowPunct w:val="0"/>
        <w:autoSpaceDE w:val="0"/>
        <w:autoSpaceDN w:val="0"/>
        <w:adjustRightInd w:val="0"/>
        <w:snapToGrid w:val="0"/>
        <w:spacing w:before="240" w:after="240" w:line="560" w:lineRule="exact"/>
        <w:jc w:val="center"/>
        <w:rPr>
          <w:rFonts w:ascii="黑体" w:hAnsi="黑体" w:eastAsia="黑体" w:cs="黑体"/>
          <w:b w:val="0"/>
          <w:bCs w:val="0"/>
          <w:kern w:val="2"/>
          <w:sz w:val="32"/>
          <w:szCs w:val="32"/>
        </w:rPr>
      </w:pPr>
      <w:r>
        <w:rPr>
          <w:rFonts w:hint="eastAsia" w:ascii="黑体" w:hAnsi="黑体" w:eastAsia="黑体" w:cs="黑体"/>
          <w:kern w:val="2"/>
          <w:sz w:val="32"/>
          <w:szCs w:val="32"/>
        </w:rPr>
        <w:t>第十章  附  则</w:t>
      </w:r>
    </w:p>
    <w:p>
      <w:pPr>
        <w:widowControl w:val="0"/>
        <w:overflowPunct w:val="0"/>
        <w:autoSpaceDE w:val="0"/>
        <w:autoSpaceDN w:val="0"/>
        <w:adjustRightInd w:val="0"/>
        <w:snapToGrid w:val="0"/>
        <w:spacing w:line="560" w:lineRule="exact"/>
        <w:ind w:firstLine="641"/>
        <w:jc w:val="both"/>
        <w:rPr>
          <w:rFonts w:ascii="楷体_GB2312" w:hAnsi="方正楷体_GBK" w:eastAsia="楷体_GB2312" w:cs="方正楷体_GBK"/>
          <w:b/>
          <w:bCs/>
          <w:kern w:val="2"/>
          <w:sz w:val="32"/>
          <w:szCs w:val="32"/>
        </w:rPr>
      </w:pPr>
      <w:r>
        <w:rPr>
          <w:rFonts w:hint="eastAsia" w:ascii="楷体_GB2312" w:hAnsi="方正楷体_GBK" w:eastAsia="楷体_GB2312" w:cs="方正楷体_GBK"/>
          <w:b/>
          <w:bCs/>
          <w:kern w:val="2"/>
          <w:sz w:val="32"/>
          <w:szCs w:val="32"/>
        </w:rPr>
        <w:t>第五十八条【施行日期】</w:t>
      </w:r>
    </w:p>
    <w:p>
      <w:pPr>
        <w:widowControl w:val="0"/>
        <w:overflowPunct w:val="0"/>
        <w:autoSpaceDE w:val="0"/>
        <w:autoSpaceDN w:val="0"/>
        <w:adjustRightInd w:val="0"/>
        <w:snapToGrid w:val="0"/>
        <w:spacing w:line="560" w:lineRule="exact"/>
        <w:ind w:firstLine="641"/>
        <w:jc w:val="both"/>
        <w:rPr>
          <w:rFonts w:eastAsia="仿宋_GB2312"/>
          <w:kern w:val="2"/>
          <w:sz w:val="32"/>
          <w:szCs w:val="32"/>
        </w:rPr>
      </w:pPr>
      <w:r>
        <w:rPr>
          <w:rFonts w:hint="eastAsia" w:eastAsia="仿宋_GB2312"/>
          <w:kern w:val="2"/>
          <w:sz w:val="32"/>
          <w:szCs w:val="32"/>
        </w:rPr>
        <w:t>本条例自  年  月  日起施行。</w:t>
      </w:r>
    </w:p>
    <w:p>
      <w:pPr>
        <w:widowControl w:val="0"/>
        <w:spacing w:line="500" w:lineRule="exact"/>
        <w:ind w:firstLine="641"/>
        <w:jc w:val="both"/>
        <w:rPr>
          <w:rFonts w:eastAsia="仿宋_GB2312"/>
          <w:kern w:val="2"/>
          <w:sz w:val="32"/>
          <w:szCs w:val="32"/>
        </w:rPr>
      </w:pPr>
    </w:p>
    <w:sectPr>
      <w:footerReference r:id="rId3" w:type="default"/>
      <w:pgSz w:w="11906" w:h="16838"/>
      <w:pgMar w:top="1814" w:right="1531" w:bottom="1985" w:left="1531" w:header="720" w:footer="1474"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AADE39-E799-445A-98DC-145FF7944B7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65648501-4015-4D6E-AD42-55508E35F4CA}"/>
  </w:font>
  <w:font w:name="??">
    <w:altName w:val="Times New Roman"/>
    <w:panose1 w:val="00000000000000000000"/>
    <w:charset w:val="00"/>
    <w:family w:val="roman"/>
    <w:pitch w:val="default"/>
    <w:sig w:usb0="00000000" w:usb1="00000000" w:usb2="00000000" w:usb3="00000000" w:csb0="00000001" w:csb1="00000000"/>
  </w:font>
  <w:font w:name="方正小标宋简体">
    <w:panose1 w:val="02000000000000000000"/>
    <w:charset w:val="86"/>
    <w:family w:val="auto"/>
    <w:pitch w:val="default"/>
    <w:sig w:usb0="A00002BF" w:usb1="184F6CFA" w:usb2="00000012" w:usb3="00000000" w:csb0="00040001" w:csb1="00000000"/>
    <w:embedRegular r:id="rId3" w:fontKey="{34F7E47A-1649-443C-BFF1-C77205F06763}"/>
  </w:font>
  <w:font w:name="楷体_GB2312">
    <w:panose1 w:val="02010609030101010101"/>
    <w:charset w:val="86"/>
    <w:family w:val="modern"/>
    <w:pitch w:val="default"/>
    <w:sig w:usb0="00000001" w:usb1="080E0000" w:usb2="00000000" w:usb3="00000000" w:csb0="00040000" w:csb1="00000000"/>
    <w:embedRegular r:id="rId4" w:fontKey="{7C8240AD-5CEE-45B7-84E2-AFA18F969F60}"/>
  </w:font>
  <w:font w:name="微软雅黑">
    <w:panose1 w:val="020B0503020204020204"/>
    <w:charset w:val="86"/>
    <w:family w:val="swiss"/>
    <w:pitch w:val="default"/>
    <w:sig w:usb0="80000287" w:usb1="2ACF3C50" w:usb2="00000016" w:usb3="00000000" w:csb0="0004001F" w:csb1="00000000"/>
    <w:embedRegular r:id="rId5" w:fontKey="{99613AA3-FD48-4F71-8B3B-9DF6E58D9BFF}"/>
  </w:font>
  <w:font w:name="方正楷体_GB2312">
    <w:panose1 w:val="02000000000000000000"/>
    <w:charset w:val="86"/>
    <w:family w:val="auto"/>
    <w:pitch w:val="default"/>
    <w:sig w:usb0="A00002BF" w:usb1="184F6CFA" w:usb2="00000012" w:usb3="00000000" w:csb0="00040001" w:csb1="00000000"/>
    <w:embedRegular r:id="rId6" w:fontKey="{5496B8FA-26A3-409B-BEA3-2457CFB00D52}"/>
  </w:font>
  <w:font w:name="方正楷体_GBK">
    <w:panose1 w:val="02000000000000000000"/>
    <w:charset w:val="86"/>
    <w:family w:val="script"/>
    <w:pitch w:val="default"/>
    <w:sig w:usb0="A00002BF" w:usb1="38CF7CFA" w:usb2="00082016" w:usb3="00000000" w:csb0="00040001" w:csb1="00000000"/>
    <w:embedRegular r:id="rId7" w:fontKey="{666F830D-0251-49B3-A20E-0E693BF2F73A}"/>
  </w:font>
  <w:font w:name="仿宋_GB2312">
    <w:panose1 w:val="02010609030101010101"/>
    <w:charset w:val="86"/>
    <w:family w:val="modern"/>
    <w:pitch w:val="default"/>
    <w:sig w:usb0="00000001" w:usb1="080E0000" w:usb2="00000000" w:usb3="00000000" w:csb0="00040000" w:csb1="00000000"/>
    <w:embedRegular r:id="rId8" w:fontKey="{A48FAD89-5314-47C3-8490-BA187912630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eastAsiaTheme="minor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11</w:t>
    </w:r>
    <w:r>
      <w:rPr>
        <w:sz w:val="28"/>
        <w:szCs w:val="28"/>
      </w:rPr>
      <w:fldChar w:fldCharType="end"/>
    </w:r>
    <w:r>
      <w:rPr>
        <w:rFonts w:hint="eastAsia" w:eastAsiaTheme="minor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1"/>
  <w:bordersDoNotSurroundFooter w:val="1"/>
  <w:trackRevisions w:val="1"/>
  <w:documentProtection w:enforcement="0"/>
  <w:defaultTabStop w:val="420"/>
  <w:drawingGridHorizontalSpacing w:val="1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jZTRiZTU2ZmIzNDBjYzdmNDY1ZTNlYjRjMDZlNjUifQ=="/>
  </w:docVars>
  <w:rsids>
    <w:rsidRoot w:val="684B5AE9"/>
    <w:rsid w:val="000000DE"/>
    <w:rsid w:val="000166FD"/>
    <w:rsid w:val="00016BEF"/>
    <w:rsid w:val="00031384"/>
    <w:rsid w:val="000439BC"/>
    <w:rsid w:val="000445AD"/>
    <w:rsid w:val="00051224"/>
    <w:rsid w:val="00083F53"/>
    <w:rsid w:val="000862C8"/>
    <w:rsid w:val="0009383D"/>
    <w:rsid w:val="000C4493"/>
    <w:rsid w:val="0010521F"/>
    <w:rsid w:val="0010727F"/>
    <w:rsid w:val="00111E86"/>
    <w:rsid w:val="00126F08"/>
    <w:rsid w:val="001602DB"/>
    <w:rsid w:val="001E5BE1"/>
    <w:rsid w:val="001F30F3"/>
    <w:rsid w:val="00237A8A"/>
    <w:rsid w:val="002445DD"/>
    <w:rsid w:val="00255AD4"/>
    <w:rsid w:val="00260CC1"/>
    <w:rsid w:val="002654B4"/>
    <w:rsid w:val="00284282"/>
    <w:rsid w:val="00291409"/>
    <w:rsid w:val="0029733D"/>
    <w:rsid w:val="002D4347"/>
    <w:rsid w:val="002E0F62"/>
    <w:rsid w:val="002F5C9B"/>
    <w:rsid w:val="00302EBB"/>
    <w:rsid w:val="00316552"/>
    <w:rsid w:val="00336B7D"/>
    <w:rsid w:val="00337BF2"/>
    <w:rsid w:val="0034714F"/>
    <w:rsid w:val="00370137"/>
    <w:rsid w:val="003767E4"/>
    <w:rsid w:val="00384EEA"/>
    <w:rsid w:val="003A25F7"/>
    <w:rsid w:val="003A5BF0"/>
    <w:rsid w:val="003A5CF1"/>
    <w:rsid w:val="003D2849"/>
    <w:rsid w:val="003E6F75"/>
    <w:rsid w:val="003E7AEE"/>
    <w:rsid w:val="00402CCE"/>
    <w:rsid w:val="004751C9"/>
    <w:rsid w:val="004B10E8"/>
    <w:rsid w:val="004B3739"/>
    <w:rsid w:val="004B44CE"/>
    <w:rsid w:val="004E2BAD"/>
    <w:rsid w:val="00512EB0"/>
    <w:rsid w:val="00533125"/>
    <w:rsid w:val="005408F4"/>
    <w:rsid w:val="00587A34"/>
    <w:rsid w:val="00591FB3"/>
    <w:rsid w:val="005A7456"/>
    <w:rsid w:val="00607867"/>
    <w:rsid w:val="00623692"/>
    <w:rsid w:val="0064732F"/>
    <w:rsid w:val="00663F0D"/>
    <w:rsid w:val="00667289"/>
    <w:rsid w:val="00686361"/>
    <w:rsid w:val="006B3A90"/>
    <w:rsid w:val="006E40EA"/>
    <w:rsid w:val="006F0E61"/>
    <w:rsid w:val="0070703B"/>
    <w:rsid w:val="0072517A"/>
    <w:rsid w:val="0073488C"/>
    <w:rsid w:val="007769F5"/>
    <w:rsid w:val="0078404D"/>
    <w:rsid w:val="007A122D"/>
    <w:rsid w:val="007D45AD"/>
    <w:rsid w:val="008362D1"/>
    <w:rsid w:val="00837B0B"/>
    <w:rsid w:val="008415FC"/>
    <w:rsid w:val="00843FBB"/>
    <w:rsid w:val="0084585A"/>
    <w:rsid w:val="00866729"/>
    <w:rsid w:val="0087425B"/>
    <w:rsid w:val="00887B31"/>
    <w:rsid w:val="008B3A88"/>
    <w:rsid w:val="0093222B"/>
    <w:rsid w:val="00950EEB"/>
    <w:rsid w:val="0095668F"/>
    <w:rsid w:val="009624E1"/>
    <w:rsid w:val="009A3006"/>
    <w:rsid w:val="009D333C"/>
    <w:rsid w:val="009D734F"/>
    <w:rsid w:val="00A52E7A"/>
    <w:rsid w:val="00A77315"/>
    <w:rsid w:val="00A841A0"/>
    <w:rsid w:val="00A91C02"/>
    <w:rsid w:val="00A97482"/>
    <w:rsid w:val="00A976AB"/>
    <w:rsid w:val="00AD3BFF"/>
    <w:rsid w:val="00AE36BF"/>
    <w:rsid w:val="00AF6AAF"/>
    <w:rsid w:val="00B05042"/>
    <w:rsid w:val="00B47636"/>
    <w:rsid w:val="00B77561"/>
    <w:rsid w:val="00BA52B5"/>
    <w:rsid w:val="00BC7B67"/>
    <w:rsid w:val="00BD665E"/>
    <w:rsid w:val="00BF1DDC"/>
    <w:rsid w:val="00C024F9"/>
    <w:rsid w:val="00C17CC9"/>
    <w:rsid w:val="00C20F12"/>
    <w:rsid w:val="00C23015"/>
    <w:rsid w:val="00C24526"/>
    <w:rsid w:val="00C67EB0"/>
    <w:rsid w:val="00C77090"/>
    <w:rsid w:val="00C77A7F"/>
    <w:rsid w:val="00CA73AF"/>
    <w:rsid w:val="00CF0630"/>
    <w:rsid w:val="00D116BD"/>
    <w:rsid w:val="00D46BD7"/>
    <w:rsid w:val="00D52838"/>
    <w:rsid w:val="00D603FF"/>
    <w:rsid w:val="00D65F23"/>
    <w:rsid w:val="00D7040E"/>
    <w:rsid w:val="00D9494A"/>
    <w:rsid w:val="00D94E72"/>
    <w:rsid w:val="00DA2686"/>
    <w:rsid w:val="00DC166D"/>
    <w:rsid w:val="00DE47E6"/>
    <w:rsid w:val="00E52526"/>
    <w:rsid w:val="00E534D0"/>
    <w:rsid w:val="00E573C6"/>
    <w:rsid w:val="00E607C7"/>
    <w:rsid w:val="00E81D41"/>
    <w:rsid w:val="00E914FD"/>
    <w:rsid w:val="00EA74DB"/>
    <w:rsid w:val="00EC3112"/>
    <w:rsid w:val="00EE4C96"/>
    <w:rsid w:val="00EF37C8"/>
    <w:rsid w:val="00EF753F"/>
    <w:rsid w:val="00F131C6"/>
    <w:rsid w:val="00F226F3"/>
    <w:rsid w:val="00F23F52"/>
    <w:rsid w:val="00F34B91"/>
    <w:rsid w:val="00F377BD"/>
    <w:rsid w:val="00F41964"/>
    <w:rsid w:val="00F56634"/>
    <w:rsid w:val="00F75727"/>
    <w:rsid w:val="00F8705F"/>
    <w:rsid w:val="00F876AD"/>
    <w:rsid w:val="00FB4AEE"/>
    <w:rsid w:val="00FC7B14"/>
    <w:rsid w:val="00FE1DE0"/>
    <w:rsid w:val="00FE4BB7"/>
    <w:rsid w:val="00FF0041"/>
    <w:rsid w:val="01176025"/>
    <w:rsid w:val="0120468C"/>
    <w:rsid w:val="01864BFC"/>
    <w:rsid w:val="01891B53"/>
    <w:rsid w:val="01C97E5C"/>
    <w:rsid w:val="01DF00D3"/>
    <w:rsid w:val="02524A93"/>
    <w:rsid w:val="02AC477E"/>
    <w:rsid w:val="02B04EBD"/>
    <w:rsid w:val="02B32C00"/>
    <w:rsid w:val="02C1531D"/>
    <w:rsid w:val="02C15757"/>
    <w:rsid w:val="02D45050"/>
    <w:rsid w:val="02D93965"/>
    <w:rsid w:val="030D41CD"/>
    <w:rsid w:val="0367119F"/>
    <w:rsid w:val="039B5834"/>
    <w:rsid w:val="046E3282"/>
    <w:rsid w:val="0488798E"/>
    <w:rsid w:val="04B36C74"/>
    <w:rsid w:val="05082731"/>
    <w:rsid w:val="051554AC"/>
    <w:rsid w:val="0548725F"/>
    <w:rsid w:val="060E00E5"/>
    <w:rsid w:val="063E1FD2"/>
    <w:rsid w:val="0646532C"/>
    <w:rsid w:val="067179DF"/>
    <w:rsid w:val="06E9166C"/>
    <w:rsid w:val="06EE4206"/>
    <w:rsid w:val="071E2229"/>
    <w:rsid w:val="072503B6"/>
    <w:rsid w:val="07B55882"/>
    <w:rsid w:val="07E1441D"/>
    <w:rsid w:val="08856DEC"/>
    <w:rsid w:val="090D1A6A"/>
    <w:rsid w:val="09C000DC"/>
    <w:rsid w:val="09EB4020"/>
    <w:rsid w:val="0A7B5E07"/>
    <w:rsid w:val="0A80002E"/>
    <w:rsid w:val="0AAB2D3D"/>
    <w:rsid w:val="0B1C3A38"/>
    <w:rsid w:val="0B3F5F96"/>
    <w:rsid w:val="0B815649"/>
    <w:rsid w:val="0BBF0EF5"/>
    <w:rsid w:val="0BCD32CA"/>
    <w:rsid w:val="0BF24552"/>
    <w:rsid w:val="0C2255D0"/>
    <w:rsid w:val="0C34090D"/>
    <w:rsid w:val="0C4807B5"/>
    <w:rsid w:val="0C7172B2"/>
    <w:rsid w:val="0C831B8B"/>
    <w:rsid w:val="0CAD06C0"/>
    <w:rsid w:val="0CDB704A"/>
    <w:rsid w:val="0D033D8B"/>
    <w:rsid w:val="0D0979BE"/>
    <w:rsid w:val="0D212CA1"/>
    <w:rsid w:val="0D9A0604"/>
    <w:rsid w:val="0E813BB2"/>
    <w:rsid w:val="0ECA7307"/>
    <w:rsid w:val="0EE64583"/>
    <w:rsid w:val="0F151521"/>
    <w:rsid w:val="0F20786F"/>
    <w:rsid w:val="0F8556A3"/>
    <w:rsid w:val="0F8C2D0B"/>
    <w:rsid w:val="0FB13746"/>
    <w:rsid w:val="0FBF526A"/>
    <w:rsid w:val="10026265"/>
    <w:rsid w:val="100F0DCF"/>
    <w:rsid w:val="10853E2D"/>
    <w:rsid w:val="117556CB"/>
    <w:rsid w:val="119873FA"/>
    <w:rsid w:val="12110B1B"/>
    <w:rsid w:val="12781473"/>
    <w:rsid w:val="129D7159"/>
    <w:rsid w:val="12E262CE"/>
    <w:rsid w:val="13071270"/>
    <w:rsid w:val="131944AE"/>
    <w:rsid w:val="13211867"/>
    <w:rsid w:val="13562B90"/>
    <w:rsid w:val="13E26EA1"/>
    <w:rsid w:val="145D01D4"/>
    <w:rsid w:val="14745684"/>
    <w:rsid w:val="14B101D2"/>
    <w:rsid w:val="14FD4626"/>
    <w:rsid w:val="158806C2"/>
    <w:rsid w:val="15CF7652"/>
    <w:rsid w:val="15D46CBD"/>
    <w:rsid w:val="15F64E85"/>
    <w:rsid w:val="164C1B72"/>
    <w:rsid w:val="166A4F8C"/>
    <w:rsid w:val="1752258F"/>
    <w:rsid w:val="17A7173E"/>
    <w:rsid w:val="18013356"/>
    <w:rsid w:val="180F3C9C"/>
    <w:rsid w:val="182A1FB2"/>
    <w:rsid w:val="18610A7D"/>
    <w:rsid w:val="190203BC"/>
    <w:rsid w:val="19AF6DCE"/>
    <w:rsid w:val="19B17A41"/>
    <w:rsid w:val="19E978D6"/>
    <w:rsid w:val="1A8415E5"/>
    <w:rsid w:val="1B56062E"/>
    <w:rsid w:val="1C112A19"/>
    <w:rsid w:val="1D006241"/>
    <w:rsid w:val="1D24052A"/>
    <w:rsid w:val="1DB14D95"/>
    <w:rsid w:val="1E560BB7"/>
    <w:rsid w:val="1EA731C1"/>
    <w:rsid w:val="1EA9518B"/>
    <w:rsid w:val="1F1317D5"/>
    <w:rsid w:val="1F592791"/>
    <w:rsid w:val="1F6126C0"/>
    <w:rsid w:val="1F860E6C"/>
    <w:rsid w:val="1FB97650"/>
    <w:rsid w:val="1FC45C81"/>
    <w:rsid w:val="1FDB053D"/>
    <w:rsid w:val="200A7EAB"/>
    <w:rsid w:val="211A5ECC"/>
    <w:rsid w:val="21253FD5"/>
    <w:rsid w:val="21255C48"/>
    <w:rsid w:val="2149796A"/>
    <w:rsid w:val="215939F3"/>
    <w:rsid w:val="21765A30"/>
    <w:rsid w:val="2230088C"/>
    <w:rsid w:val="22624081"/>
    <w:rsid w:val="2274785E"/>
    <w:rsid w:val="22946047"/>
    <w:rsid w:val="22AD2390"/>
    <w:rsid w:val="22CD6ED2"/>
    <w:rsid w:val="230F7587"/>
    <w:rsid w:val="23111612"/>
    <w:rsid w:val="232A57FE"/>
    <w:rsid w:val="23737B15"/>
    <w:rsid w:val="23F963B0"/>
    <w:rsid w:val="241F741B"/>
    <w:rsid w:val="24FA68A6"/>
    <w:rsid w:val="25476699"/>
    <w:rsid w:val="256F1CC3"/>
    <w:rsid w:val="257F5855"/>
    <w:rsid w:val="25960A88"/>
    <w:rsid w:val="25A81532"/>
    <w:rsid w:val="262C23E2"/>
    <w:rsid w:val="26C446C5"/>
    <w:rsid w:val="270F323C"/>
    <w:rsid w:val="273B32E9"/>
    <w:rsid w:val="2769195B"/>
    <w:rsid w:val="27893DAB"/>
    <w:rsid w:val="28491DC0"/>
    <w:rsid w:val="29B20709"/>
    <w:rsid w:val="29EA17DF"/>
    <w:rsid w:val="2A587C55"/>
    <w:rsid w:val="2ADC29A9"/>
    <w:rsid w:val="2B165956"/>
    <w:rsid w:val="2B575EE8"/>
    <w:rsid w:val="2B875D1E"/>
    <w:rsid w:val="2BF043F9"/>
    <w:rsid w:val="2C0734F1"/>
    <w:rsid w:val="2C0B6DA2"/>
    <w:rsid w:val="2D6C4AD2"/>
    <w:rsid w:val="2D8C1F00"/>
    <w:rsid w:val="2DBE4083"/>
    <w:rsid w:val="2DE737B7"/>
    <w:rsid w:val="2DEC0BF0"/>
    <w:rsid w:val="2DEF06E0"/>
    <w:rsid w:val="2DF466F3"/>
    <w:rsid w:val="2E6107AF"/>
    <w:rsid w:val="2E8426EE"/>
    <w:rsid w:val="2EAD7087"/>
    <w:rsid w:val="2EEB70FA"/>
    <w:rsid w:val="2F3A3283"/>
    <w:rsid w:val="2F4540B6"/>
    <w:rsid w:val="2F7949D5"/>
    <w:rsid w:val="302F1268"/>
    <w:rsid w:val="304C1E1A"/>
    <w:rsid w:val="313C1E8F"/>
    <w:rsid w:val="31812575"/>
    <w:rsid w:val="31963D24"/>
    <w:rsid w:val="31EB40F5"/>
    <w:rsid w:val="31F462C5"/>
    <w:rsid w:val="3261677A"/>
    <w:rsid w:val="3283660E"/>
    <w:rsid w:val="32BE0F10"/>
    <w:rsid w:val="32CB4891"/>
    <w:rsid w:val="32D81743"/>
    <w:rsid w:val="33382F02"/>
    <w:rsid w:val="333838E3"/>
    <w:rsid w:val="33437E6D"/>
    <w:rsid w:val="3350102C"/>
    <w:rsid w:val="337F2036"/>
    <w:rsid w:val="339A65E9"/>
    <w:rsid w:val="339E08CC"/>
    <w:rsid w:val="33FD1216"/>
    <w:rsid w:val="33FE424C"/>
    <w:rsid w:val="34770ACD"/>
    <w:rsid w:val="348015BC"/>
    <w:rsid w:val="34B87A7E"/>
    <w:rsid w:val="34CD4A2A"/>
    <w:rsid w:val="34DE696C"/>
    <w:rsid w:val="351F3659"/>
    <w:rsid w:val="358A1A22"/>
    <w:rsid w:val="36407D2B"/>
    <w:rsid w:val="36991812"/>
    <w:rsid w:val="376D462E"/>
    <w:rsid w:val="37A073BA"/>
    <w:rsid w:val="384034F7"/>
    <w:rsid w:val="387F3B4E"/>
    <w:rsid w:val="38AF7302"/>
    <w:rsid w:val="38B1712F"/>
    <w:rsid w:val="38DC22C8"/>
    <w:rsid w:val="391A4CB4"/>
    <w:rsid w:val="391E49EA"/>
    <w:rsid w:val="397C65CE"/>
    <w:rsid w:val="39CB0253"/>
    <w:rsid w:val="39CD30F0"/>
    <w:rsid w:val="39D00128"/>
    <w:rsid w:val="3A8A30AC"/>
    <w:rsid w:val="3BE21884"/>
    <w:rsid w:val="3BF14803"/>
    <w:rsid w:val="3C5C1637"/>
    <w:rsid w:val="3CFD6976"/>
    <w:rsid w:val="3D484892"/>
    <w:rsid w:val="3D49183C"/>
    <w:rsid w:val="3D8449A1"/>
    <w:rsid w:val="3E065D8B"/>
    <w:rsid w:val="3E43572A"/>
    <w:rsid w:val="3E5D6B4A"/>
    <w:rsid w:val="3E8C528A"/>
    <w:rsid w:val="3F1104B7"/>
    <w:rsid w:val="3F3D0228"/>
    <w:rsid w:val="3F9F16AD"/>
    <w:rsid w:val="3FBB6674"/>
    <w:rsid w:val="3FC04B21"/>
    <w:rsid w:val="3FF46C50"/>
    <w:rsid w:val="40230F25"/>
    <w:rsid w:val="40871966"/>
    <w:rsid w:val="408829FA"/>
    <w:rsid w:val="41244978"/>
    <w:rsid w:val="41BC318F"/>
    <w:rsid w:val="41E023C2"/>
    <w:rsid w:val="421765FD"/>
    <w:rsid w:val="42D67071"/>
    <w:rsid w:val="43853267"/>
    <w:rsid w:val="43932A54"/>
    <w:rsid w:val="439B2A45"/>
    <w:rsid w:val="43AA0EDA"/>
    <w:rsid w:val="43C5123C"/>
    <w:rsid w:val="447D3747"/>
    <w:rsid w:val="45A1630C"/>
    <w:rsid w:val="45BC7EC4"/>
    <w:rsid w:val="45EE77A4"/>
    <w:rsid w:val="46022FA1"/>
    <w:rsid w:val="4674698C"/>
    <w:rsid w:val="467523B1"/>
    <w:rsid w:val="474954BD"/>
    <w:rsid w:val="47F30FF1"/>
    <w:rsid w:val="47FD1E40"/>
    <w:rsid w:val="480B057F"/>
    <w:rsid w:val="4820176A"/>
    <w:rsid w:val="4830186C"/>
    <w:rsid w:val="489772F0"/>
    <w:rsid w:val="48ED191F"/>
    <w:rsid w:val="491A265E"/>
    <w:rsid w:val="492F5A66"/>
    <w:rsid w:val="49396EDF"/>
    <w:rsid w:val="498501F6"/>
    <w:rsid w:val="49BA2C52"/>
    <w:rsid w:val="49C45B1F"/>
    <w:rsid w:val="49CC4B38"/>
    <w:rsid w:val="49EA6877"/>
    <w:rsid w:val="4A787B89"/>
    <w:rsid w:val="4AD5254A"/>
    <w:rsid w:val="4AEA2299"/>
    <w:rsid w:val="4B241572"/>
    <w:rsid w:val="4B697347"/>
    <w:rsid w:val="4BB406FB"/>
    <w:rsid w:val="4BC10A73"/>
    <w:rsid w:val="4BC26F3C"/>
    <w:rsid w:val="4BF03258"/>
    <w:rsid w:val="4BF76C86"/>
    <w:rsid w:val="4C0373D9"/>
    <w:rsid w:val="4C2C2DD4"/>
    <w:rsid w:val="4C3E76CC"/>
    <w:rsid w:val="4C7E57BB"/>
    <w:rsid w:val="4CF457BC"/>
    <w:rsid w:val="4D21045F"/>
    <w:rsid w:val="4D8C2CFE"/>
    <w:rsid w:val="4F2B1D9C"/>
    <w:rsid w:val="4F4D66A7"/>
    <w:rsid w:val="4F950C90"/>
    <w:rsid w:val="500741AD"/>
    <w:rsid w:val="50260502"/>
    <w:rsid w:val="513146D2"/>
    <w:rsid w:val="51782617"/>
    <w:rsid w:val="517F39A6"/>
    <w:rsid w:val="51BA30E4"/>
    <w:rsid w:val="51D84E64"/>
    <w:rsid w:val="52060FF4"/>
    <w:rsid w:val="522168AE"/>
    <w:rsid w:val="52351781"/>
    <w:rsid w:val="529528FA"/>
    <w:rsid w:val="52A336C4"/>
    <w:rsid w:val="5338526B"/>
    <w:rsid w:val="53762B86"/>
    <w:rsid w:val="539710A2"/>
    <w:rsid w:val="53AE2320"/>
    <w:rsid w:val="54E63D3C"/>
    <w:rsid w:val="54F63BA6"/>
    <w:rsid w:val="552D3A2B"/>
    <w:rsid w:val="56292D7C"/>
    <w:rsid w:val="56305C29"/>
    <w:rsid w:val="56356701"/>
    <w:rsid w:val="563B18E3"/>
    <w:rsid w:val="56935227"/>
    <w:rsid w:val="57E207EA"/>
    <w:rsid w:val="586C6306"/>
    <w:rsid w:val="588746BC"/>
    <w:rsid w:val="58996F33"/>
    <w:rsid w:val="589F6F1E"/>
    <w:rsid w:val="58A261CC"/>
    <w:rsid w:val="58AC2BA6"/>
    <w:rsid w:val="58DE2787"/>
    <w:rsid w:val="58F86FAA"/>
    <w:rsid w:val="59535105"/>
    <w:rsid w:val="59AB7211"/>
    <w:rsid w:val="59C358D2"/>
    <w:rsid w:val="59C424FE"/>
    <w:rsid w:val="59C93447"/>
    <w:rsid w:val="5B44752A"/>
    <w:rsid w:val="5BD14DFE"/>
    <w:rsid w:val="5BE4512E"/>
    <w:rsid w:val="5C537A16"/>
    <w:rsid w:val="5C7F4A38"/>
    <w:rsid w:val="5CBB60A7"/>
    <w:rsid w:val="5CE04EC1"/>
    <w:rsid w:val="5D060C84"/>
    <w:rsid w:val="5D105DFA"/>
    <w:rsid w:val="5D201945"/>
    <w:rsid w:val="5D3236F1"/>
    <w:rsid w:val="5D333E64"/>
    <w:rsid w:val="5E657650"/>
    <w:rsid w:val="5E7614A3"/>
    <w:rsid w:val="5EB86429"/>
    <w:rsid w:val="5EDD1ADB"/>
    <w:rsid w:val="5F3A0C34"/>
    <w:rsid w:val="5F4C5FBA"/>
    <w:rsid w:val="5FCB345C"/>
    <w:rsid w:val="60431E73"/>
    <w:rsid w:val="60C37993"/>
    <w:rsid w:val="60EB2B0E"/>
    <w:rsid w:val="611B4D6D"/>
    <w:rsid w:val="61685912"/>
    <w:rsid w:val="620D60EB"/>
    <w:rsid w:val="62917095"/>
    <w:rsid w:val="62B76B40"/>
    <w:rsid w:val="62B81877"/>
    <w:rsid w:val="62BF77D8"/>
    <w:rsid w:val="63471E49"/>
    <w:rsid w:val="63F7386F"/>
    <w:rsid w:val="63FB7DC1"/>
    <w:rsid w:val="644929A9"/>
    <w:rsid w:val="6472739A"/>
    <w:rsid w:val="64C35310"/>
    <w:rsid w:val="64C76D0D"/>
    <w:rsid w:val="64F91223"/>
    <w:rsid w:val="6517462E"/>
    <w:rsid w:val="651B533C"/>
    <w:rsid w:val="65542E40"/>
    <w:rsid w:val="65A909E4"/>
    <w:rsid w:val="66E30349"/>
    <w:rsid w:val="672E3820"/>
    <w:rsid w:val="67423FB9"/>
    <w:rsid w:val="674F12A8"/>
    <w:rsid w:val="67E70521"/>
    <w:rsid w:val="67E97973"/>
    <w:rsid w:val="68326634"/>
    <w:rsid w:val="68476448"/>
    <w:rsid w:val="684B5AE9"/>
    <w:rsid w:val="68993147"/>
    <w:rsid w:val="696645FD"/>
    <w:rsid w:val="6A0A5B4E"/>
    <w:rsid w:val="6AF17E43"/>
    <w:rsid w:val="6B2C589A"/>
    <w:rsid w:val="6B3709F5"/>
    <w:rsid w:val="6BE30021"/>
    <w:rsid w:val="6C256AA0"/>
    <w:rsid w:val="6C3D203B"/>
    <w:rsid w:val="6C4909E0"/>
    <w:rsid w:val="6C522FC4"/>
    <w:rsid w:val="6CA420BB"/>
    <w:rsid w:val="6CDE185A"/>
    <w:rsid w:val="6CFF5C39"/>
    <w:rsid w:val="6D473C39"/>
    <w:rsid w:val="6E3A4A84"/>
    <w:rsid w:val="6E547FB8"/>
    <w:rsid w:val="6E815D62"/>
    <w:rsid w:val="6F051C81"/>
    <w:rsid w:val="6F0D4221"/>
    <w:rsid w:val="6F487247"/>
    <w:rsid w:val="6F7902C7"/>
    <w:rsid w:val="6FBC771B"/>
    <w:rsid w:val="6FF77471"/>
    <w:rsid w:val="70725948"/>
    <w:rsid w:val="70732082"/>
    <w:rsid w:val="70E37B76"/>
    <w:rsid w:val="715F18AA"/>
    <w:rsid w:val="71E132F0"/>
    <w:rsid w:val="71FA5EEE"/>
    <w:rsid w:val="72565C05"/>
    <w:rsid w:val="72F13B80"/>
    <w:rsid w:val="72F33A41"/>
    <w:rsid w:val="72F45811"/>
    <w:rsid w:val="73135A6C"/>
    <w:rsid w:val="73493046"/>
    <w:rsid w:val="734F17FD"/>
    <w:rsid w:val="735C216B"/>
    <w:rsid w:val="739777CF"/>
    <w:rsid w:val="73FB2F08"/>
    <w:rsid w:val="7428327E"/>
    <w:rsid w:val="743E3B8A"/>
    <w:rsid w:val="745109A1"/>
    <w:rsid w:val="74601A90"/>
    <w:rsid w:val="75273889"/>
    <w:rsid w:val="75735568"/>
    <w:rsid w:val="757B0559"/>
    <w:rsid w:val="75A000D1"/>
    <w:rsid w:val="75BA53BB"/>
    <w:rsid w:val="75FE45EA"/>
    <w:rsid w:val="766A1A08"/>
    <w:rsid w:val="7675125F"/>
    <w:rsid w:val="76856FDE"/>
    <w:rsid w:val="76CF4F71"/>
    <w:rsid w:val="774076FB"/>
    <w:rsid w:val="776F0A4A"/>
    <w:rsid w:val="77C05747"/>
    <w:rsid w:val="78434E7D"/>
    <w:rsid w:val="785F1C19"/>
    <w:rsid w:val="79213C3F"/>
    <w:rsid w:val="79273E57"/>
    <w:rsid w:val="796B7D10"/>
    <w:rsid w:val="798F73C3"/>
    <w:rsid w:val="79E00F64"/>
    <w:rsid w:val="7A1B0BBE"/>
    <w:rsid w:val="7ABE2599"/>
    <w:rsid w:val="7B1738A8"/>
    <w:rsid w:val="7B2E121D"/>
    <w:rsid w:val="7B456123"/>
    <w:rsid w:val="7B6F5AE4"/>
    <w:rsid w:val="7BA72ABD"/>
    <w:rsid w:val="7BF745B5"/>
    <w:rsid w:val="7C0D6658"/>
    <w:rsid w:val="7CA85AFB"/>
    <w:rsid w:val="7CC178D9"/>
    <w:rsid w:val="7CC66C84"/>
    <w:rsid w:val="7D3D206F"/>
    <w:rsid w:val="7D4274B2"/>
    <w:rsid w:val="7E5758FF"/>
    <w:rsid w:val="7ED12997"/>
    <w:rsid w:val="7EE8239B"/>
    <w:rsid w:val="7F453289"/>
    <w:rsid w:val="7FA24B45"/>
    <w:rsid w:val="7FB65F51"/>
    <w:rsid w:val="7FBD374C"/>
    <w:rsid w:val="7FF13C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imes New Roman"/>
      <w:sz w:val="24"/>
      <w:szCs w:val="24"/>
      <w:lang w:val="en-US" w:eastAsia="zh-CN" w:bidi="ar-SA"/>
    </w:rPr>
  </w:style>
  <w:style w:type="paragraph" w:styleId="4">
    <w:name w:val="heading 1"/>
    <w:basedOn w:val="1"/>
    <w:next w:val="1"/>
    <w:link w:val="22"/>
    <w:qFormat/>
    <w:uiPriority w:val="9"/>
    <w:pPr>
      <w:spacing w:before="100" w:beforeAutospacing="1" w:after="100" w:afterAutospacing="1"/>
      <w:outlineLvl w:val="0"/>
    </w:pPr>
    <w:rPr>
      <w:rFonts w:ascii="宋体" w:hAnsi="宋体" w:eastAsia="宋体" w:cs="宋体"/>
      <w:b/>
      <w:bCs/>
      <w:kern w:val="36"/>
      <w:sz w:val="48"/>
      <w:szCs w:val="4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szCs w:val="22"/>
    </w:rPr>
  </w:style>
  <w:style w:type="paragraph" w:styleId="3">
    <w:name w:val="Title"/>
    <w:basedOn w:val="1"/>
    <w:next w:val="1"/>
    <w:qFormat/>
    <w:uiPriority w:val="0"/>
    <w:pPr>
      <w:spacing w:before="240" w:after="60"/>
      <w:jc w:val="center"/>
      <w:textAlignment w:val="baseline"/>
    </w:pPr>
    <w:rPr>
      <w:rFonts w:ascii="Cambria" w:hAnsi="Cambria"/>
      <w:b/>
      <w:bCs/>
    </w:rPr>
  </w:style>
  <w:style w:type="paragraph" w:styleId="5">
    <w:name w:val="Body Text Indent"/>
    <w:basedOn w:val="1"/>
    <w:next w:val="1"/>
    <w:qFormat/>
    <w:uiPriority w:val="0"/>
    <w:pPr>
      <w:widowControl w:val="0"/>
      <w:ind w:firstLine="640" w:firstLineChars="200"/>
      <w:jc w:val="both"/>
    </w:pPr>
    <w:rPr>
      <w:rFonts w:ascii="黑体" w:eastAsia="黑体"/>
      <w:kern w:val="2"/>
      <w:sz w:val="32"/>
      <w:szCs w:val="30"/>
    </w:rPr>
  </w:style>
  <w:style w:type="paragraph" w:styleId="6">
    <w:name w:val="Balloon Text"/>
    <w:basedOn w:val="1"/>
    <w:link w:val="20"/>
    <w:qFormat/>
    <w:uiPriority w:val="0"/>
    <w:rPr>
      <w:sz w:val="18"/>
      <w:szCs w:val="18"/>
    </w:rPr>
  </w:style>
  <w:style w:type="paragraph" w:styleId="7">
    <w:name w:val="footer"/>
    <w:basedOn w:val="1"/>
    <w:link w:val="19"/>
    <w:qFormat/>
    <w:uiPriority w:val="99"/>
    <w:pPr>
      <w:tabs>
        <w:tab w:val="center" w:pos="4153"/>
        <w:tab w:val="right" w:pos="8306"/>
      </w:tabs>
      <w:snapToGrid w:val="0"/>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toc 4"/>
    <w:basedOn w:val="1"/>
    <w:next w:val="1"/>
    <w:qFormat/>
    <w:uiPriority w:val="0"/>
    <w:pPr>
      <w:ind w:left="1260" w:leftChars="600"/>
    </w:pPr>
  </w:style>
  <w:style w:type="paragraph" w:styleId="10">
    <w:name w:val="Normal (Web)"/>
    <w:basedOn w:val="1"/>
    <w:qFormat/>
    <w:uiPriority w:val="0"/>
    <w:rPr>
      <w:rFonts w:ascii="宋体" w:hAnsi="宋体" w:eastAsia="宋体" w:cs="宋体"/>
    </w:rPr>
  </w:style>
  <w:style w:type="paragraph" w:styleId="11">
    <w:name w:val="Body Text First Indent"/>
    <w:basedOn w:val="2"/>
    <w:unhideWhenUsed/>
    <w:qFormat/>
    <w:uiPriority w:val="99"/>
    <w:pPr>
      <w:ind w:firstLine="420" w:firstLineChars="1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Emphasis"/>
    <w:basedOn w:val="14"/>
    <w:qFormat/>
    <w:uiPriority w:val="0"/>
    <w:rPr>
      <w:i/>
    </w:rPr>
  </w:style>
  <w:style w:type="character" w:styleId="17">
    <w:name w:val="Hyperlink"/>
    <w:basedOn w:val="14"/>
    <w:qFormat/>
    <w:uiPriority w:val="0"/>
    <w:rPr>
      <w:color w:val="0563C1" w:themeColor="hyperlink"/>
      <w:u w:val="single"/>
      <w14:textFill>
        <w14:solidFill>
          <w14:schemeClr w14:val="hlink"/>
        </w14:solidFill>
      </w14:textFill>
    </w:rPr>
  </w:style>
  <w:style w:type="character" w:customStyle="1" w:styleId="18">
    <w:name w:val="xhsmall1"/>
    <w:qFormat/>
    <w:uiPriority w:val="0"/>
    <w:rPr>
      <w:rFonts w:ascii="??" w:hAnsi="??" w:cs="Times New Roman"/>
      <w:sz w:val="18"/>
      <w:szCs w:val="18"/>
    </w:rPr>
  </w:style>
  <w:style w:type="character" w:customStyle="1" w:styleId="19">
    <w:name w:val="页脚 Char"/>
    <w:basedOn w:val="14"/>
    <w:link w:val="7"/>
    <w:qFormat/>
    <w:uiPriority w:val="99"/>
    <w:rPr>
      <w:rFonts w:eastAsia="Times New Roman"/>
      <w:sz w:val="18"/>
      <w:szCs w:val="18"/>
    </w:rPr>
  </w:style>
  <w:style w:type="character" w:customStyle="1" w:styleId="20">
    <w:name w:val="批注框文本 Char"/>
    <w:basedOn w:val="14"/>
    <w:link w:val="6"/>
    <w:qFormat/>
    <w:uiPriority w:val="0"/>
    <w:rPr>
      <w:rFonts w:eastAsia="Times New Roman"/>
      <w:sz w:val="18"/>
      <w:szCs w:val="18"/>
    </w:rPr>
  </w:style>
  <w:style w:type="character" w:customStyle="1" w:styleId="21">
    <w:name w:val="NormalCharacter"/>
    <w:semiHidden/>
    <w:qFormat/>
    <w:uiPriority w:val="99"/>
    <w:rPr>
      <w:rFonts w:ascii="Calibri" w:hAnsi="Calibri" w:eastAsia="宋体"/>
      <w:kern w:val="2"/>
      <w:sz w:val="22"/>
      <w:lang w:val="en-US" w:eastAsia="zh-CN"/>
    </w:rPr>
  </w:style>
  <w:style w:type="character" w:customStyle="1" w:styleId="22">
    <w:name w:val="标题 1 Char"/>
    <w:basedOn w:val="14"/>
    <w:link w:val="4"/>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23</Pages>
  <Words>1712</Words>
  <Characters>9763</Characters>
  <Lines>81</Lines>
  <Paragraphs>22</Paragraphs>
  <TotalTime>9</TotalTime>
  <ScaleCrop>false</ScaleCrop>
  <LinksUpToDate>false</LinksUpToDate>
  <CharactersWithSpaces>11453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2023-08-04T03:58:00Z</dcterms:created>
  <dc:creator>秀墨</dc:creator>
  <cp:lastModifiedBy>Clement</cp:lastModifiedBy>
  <cp:lastPrinted>2023-08-04T02:35:00Z</cp:lastPrinted>
  <dcterms:modified xsi:type="dcterms:W3CDTF">2023-08-04T10:39:32Z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F2F51CF7723D4D3793A2F45EBAF90ABC_13</vt:lpwstr>
  </property>
</Properties>
</file>