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刘建铎</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1UF9*(车辆识别代号：</w:t>
      </w:r>
      <w:r>
        <w:rPr>
          <w:rFonts w:ascii="Times New Roman" w:hAnsi="Times New Roman" w:eastAsia="仿宋_GB2312"/>
          <w:snapToGrid w:val="0"/>
          <w:sz w:val="28"/>
          <w:szCs w:val="28"/>
        </w:rPr>
        <w:t>LBEHDAFB4EY175587</w:t>
      </w:r>
      <w:r>
        <w:rPr>
          <w:rFonts w:hint="eastAsia" w:ascii="Times New Roman" w:hAnsi="Times New Roman" w:eastAsia="仿宋_GB2312"/>
          <w:snapToGrid w:val="0"/>
          <w:sz w:val="28"/>
          <w:szCs w:val="28"/>
        </w:rPr>
        <w:t>)的北京现代牌小型轿车，已有2起未处理道路交通安全违法行为。本大队于2023年7月20日作出的编号为320401600000153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公园路青果巷路口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茶花路路段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8月21日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73262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903</Words>
  <Characters>1019</Characters>
  <Lines>7</Lines>
  <Paragraphs>2</Paragraphs>
  <TotalTime>168</TotalTime>
  <ScaleCrop>false</ScaleCrop>
  <LinksUpToDate>false</LinksUpToDate>
  <CharactersWithSpaces>1091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2023-08-21T07:09:21Z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07BC5B2DDA964B548E6F693EA87248F8_13</vt:lpwstr>
  </property>
</Properties>
</file>