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hint="eastAsia" w:ascii="方正黑体_GBK" w:hAnsi="Times New Roman" w:eastAsia="方正黑体_GBK"/>
          <w:color w:val="000000"/>
          <w:sz w:val="32"/>
          <w:szCs w:val="32"/>
        </w:rPr>
      </w:pPr>
      <w:r>
        <w:rPr>
          <w:rFonts w:hint="eastAsia" w:ascii="方正黑体_GBK" w:hAnsi="黑体" w:eastAsia="方正黑体_GBK"/>
          <w:color w:val="000000"/>
          <w:sz w:val="32"/>
          <w:szCs w:val="32"/>
        </w:rPr>
        <w:t>附件</w:t>
      </w:r>
    </w:p>
    <w:p>
      <w:pPr>
        <w:overflowPunct w:val="0"/>
        <w:autoSpaceDE w:val="0"/>
        <w:autoSpaceDN w:val="0"/>
        <w:adjustRightInd w:val="0"/>
        <w:snapToGrid w:val="0"/>
        <w:spacing w:before="240" w:after="240" w:line="570" w:lineRule="exact"/>
        <w:jc w:val="center"/>
        <w:rPr>
          <w:rFonts w:ascii="方正小标宋简体" w:hAnsi="方正小标宋简体" w:eastAsia="方正小标宋简体"/>
          <w:snapToGrid w:val="0"/>
          <w:color w:val="000000"/>
          <w:kern w:val="0"/>
          <w:sz w:val="44"/>
          <w:szCs w:val="44"/>
        </w:rPr>
      </w:pPr>
      <w:r>
        <w:rPr>
          <w:rFonts w:ascii="方正小标宋简体" w:hAnsi="方正小标宋简体" w:eastAsia="方正小标宋简体"/>
          <w:snapToGrid w:val="0"/>
          <w:color w:val="000000"/>
          <w:kern w:val="0"/>
          <w:sz w:val="44"/>
          <w:szCs w:val="44"/>
        </w:rPr>
        <w:t>常州市第</w:t>
      </w:r>
      <w:r>
        <w:rPr>
          <w:rFonts w:hint="eastAsia" w:ascii="方正小标宋简体" w:hAnsi="方正小标宋简体" w:eastAsia="方正小标宋简体"/>
          <w:snapToGrid w:val="0"/>
          <w:color w:val="000000"/>
          <w:kern w:val="0"/>
          <w:sz w:val="44"/>
          <w:szCs w:val="44"/>
        </w:rPr>
        <w:t>四</w:t>
      </w:r>
      <w:r>
        <w:rPr>
          <w:rFonts w:ascii="方正小标宋简体" w:hAnsi="方正小标宋简体" w:eastAsia="方正小标宋简体"/>
          <w:snapToGrid w:val="0"/>
          <w:color w:val="000000"/>
          <w:kern w:val="0"/>
          <w:sz w:val="44"/>
          <w:szCs w:val="44"/>
        </w:rPr>
        <w:t>批市设</w:t>
      </w:r>
      <w:r>
        <w:rPr>
          <w:rFonts w:hint="eastAsia" w:ascii="方正小标宋简体" w:hAnsi="方正小标宋简体" w:eastAsia="方正小标宋简体"/>
          <w:snapToGrid w:val="0"/>
          <w:color w:val="000000"/>
          <w:kern w:val="0"/>
          <w:sz w:val="44"/>
          <w:szCs w:val="44"/>
        </w:rPr>
        <w:t>行政</w:t>
      </w:r>
      <w:r>
        <w:rPr>
          <w:rFonts w:ascii="方正小标宋简体" w:hAnsi="方正小标宋简体" w:eastAsia="方正小标宋简体"/>
          <w:snapToGrid w:val="0"/>
          <w:color w:val="000000"/>
          <w:kern w:val="0"/>
          <w:sz w:val="44"/>
          <w:szCs w:val="44"/>
        </w:rPr>
        <w:t>权力清单</w:t>
      </w:r>
    </w:p>
    <w:p>
      <w:pPr>
        <w:overflowPunct w:val="0"/>
        <w:autoSpaceDE w:val="0"/>
        <w:autoSpaceDN w:val="0"/>
        <w:adjustRightInd w:val="0"/>
        <w:snapToGrid w:val="0"/>
        <w:spacing w:after="120" w:line="570" w:lineRule="exact"/>
        <w:jc w:val="center"/>
        <w:rPr>
          <w:rFonts w:ascii="Times New Roman" w:hAnsi="Times New Roman" w:eastAsia="方正黑体_GBK"/>
          <w:color w:val="000000"/>
          <w:sz w:val="32"/>
          <w:szCs w:val="32"/>
        </w:rPr>
      </w:pPr>
      <w:r>
        <w:rPr>
          <w:rFonts w:ascii="Times New Roman" w:hAnsi="Times New Roman" w:eastAsia="方正黑体_GBK"/>
          <w:color w:val="000000"/>
          <w:sz w:val="32"/>
          <w:szCs w:val="32"/>
        </w:rPr>
        <w:t>（一）新增权力事项（12项）</w:t>
      </w:r>
    </w:p>
    <w:tbl>
      <w:tblPr>
        <w:tblStyle w:val="3"/>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585"/>
        <w:gridCol w:w="745"/>
        <w:gridCol w:w="1806"/>
        <w:gridCol w:w="768"/>
        <w:gridCol w:w="7288"/>
        <w:gridCol w:w="1490"/>
        <w:gridCol w:w="153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70" w:hRule="atLeast"/>
          <w:tblHeader/>
          <w:jc w:val="center"/>
        </w:trPr>
        <w:tc>
          <w:tcPr>
            <w:tcW w:w="206" w:type="pct"/>
            <w:vMerge w:val="restart"/>
            <w:noWrap w:val="0"/>
            <w:vAlign w:val="center"/>
          </w:tcPr>
          <w:p>
            <w:pPr>
              <w:spacing w:line="280" w:lineRule="exact"/>
              <w:ind w:left="-105" w:leftChars="-50" w:right="-105" w:rightChars="-50"/>
              <w:jc w:val="center"/>
              <w:rPr>
                <w:rFonts w:ascii="Times New Roman" w:hAnsi="Times New Roman" w:eastAsia="方正黑体_GBK"/>
                <w:color w:val="000000"/>
                <w:szCs w:val="21"/>
              </w:rPr>
            </w:pPr>
            <w:r>
              <w:rPr>
                <w:rFonts w:ascii="Times New Roman" w:hAnsi="Times New Roman" w:eastAsia="方正黑体_GBK"/>
                <w:color w:val="000000"/>
                <w:szCs w:val="21"/>
              </w:rPr>
              <w:t>序号</w:t>
            </w:r>
          </w:p>
        </w:tc>
        <w:tc>
          <w:tcPr>
            <w:tcW w:w="262" w:type="pct"/>
            <w:vMerge w:val="restart"/>
            <w:noWrap w:val="0"/>
            <w:vAlign w:val="center"/>
          </w:tcPr>
          <w:p>
            <w:pPr>
              <w:spacing w:line="280" w:lineRule="exact"/>
              <w:jc w:val="center"/>
              <w:rPr>
                <w:rFonts w:ascii="Times New Roman" w:hAnsi="Times New Roman" w:eastAsia="方正黑体_GBK"/>
                <w:color w:val="000000"/>
                <w:szCs w:val="21"/>
              </w:rPr>
            </w:pPr>
            <w:r>
              <w:rPr>
                <w:rFonts w:ascii="Times New Roman" w:hAnsi="Times New Roman" w:eastAsia="方正黑体_GBK"/>
                <w:color w:val="000000"/>
                <w:szCs w:val="21"/>
              </w:rPr>
              <w:t>权力</w:t>
            </w:r>
          </w:p>
          <w:p>
            <w:pPr>
              <w:spacing w:line="280" w:lineRule="exact"/>
              <w:jc w:val="center"/>
              <w:rPr>
                <w:rFonts w:ascii="Times New Roman" w:hAnsi="Times New Roman" w:eastAsia="方正黑体_GBK"/>
                <w:color w:val="000000"/>
                <w:szCs w:val="21"/>
              </w:rPr>
            </w:pPr>
            <w:r>
              <w:rPr>
                <w:rFonts w:ascii="Times New Roman" w:hAnsi="Times New Roman" w:eastAsia="方正黑体_GBK"/>
                <w:color w:val="000000"/>
                <w:szCs w:val="21"/>
              </w:rPr>
              <w:t>类型</w:t>
            </w:r>
          </w:p>
        </w:tc>
        <w:tc>
          <w:tcPr>
            <w:tcW w:w="635" w:type="pct"/>
            <w:vMerge w:val="restart"/>
            <w:noWrap w:val="0"/>
            <w:vAlign w:val="center"/>
          </w:tcPr>
          <w:p>
            <w:pPr>
              <w:spacing w:line="280" w:lineRule="exact"/>
              <w:jc w:val="center"/>
              <w:rPr>
                <w:rFonts w:ascii="Times New Roman" w:hAnsi="Times New Roman" w:eastAsia="方正黑体_GBK"/>
                <w:color w:val="000000"/>
                <w:szCs w:val="21"/>
              </w:rPr>
            </w:pPr>
            <w:r>
              <w:rPr>
                <w:rFonts w:ascii="Times New Roman" w:hAnsi="Times New Roman" w:eastAsia="方正黑体_GBK"/>
                <w:color w:val="000000"/>
                <w:szCs w:val="21"/>
              </w:rPr>
              <w:t>权力事项名称</w:t>
            </w:r>
          </w:p>
        </w:tc>
        <w:tc>
          <w:tcPr>
            <w:tcW w:w="270" w:type="pct"/>
            <w:vMerge w:val="restart"/>
            <w:noWrap w:val="0"/>
            <w:vAlign w:val="center"/>
          </w:tcPr>
          <w:p>
            <w:pPr>
              <w:spacing w:line="280" w:lineRule="exact"/>
              <w:jc w:val="center"/>
              <w:rPr>
                <w:rFonts w:ascii="Times New Roman" w:hAnsi="Times New Roman" w:eastAsia="方正黑体_GBK"/>
                <w:color w:val="000000"/>
                <w:szCs w:val="21"/>
              </w:rPr>
            </w:pPr>
            <w:r>
              <w:rPr>
                <w:rFonts w:ascii="Times New Roman" w:hAnsi="Times New Roman" w:eastAsia="方正黑体_GBK"/>
                <w:color w:val="000000"/>
                <w:szCs w:val="21"/>
              </w:rPr>
              <w:t>权力部门</w:t>
            </w:r>
          </w:p>
        </w:tc>
        <w:tc>
          <w:tcPr>
            <w:tcW w:w="2563" w:type="pct"/>
            <w:vMerge w:val="restart"/>
            <w:noWrap w:val="0"/>
            <w:vAlign w:val="center"/>
          </w:tcPr>
          <w:p>
            <w:pPr>
              <w:spacing w:line="280" w:lineRule="exact"/>
              <w:jc w:val="center"/>
              <w:rPr>
                <w:rFonts w:ascii="Times New Roman" w:hAnsi="Times New Roman" w:eastAsia="方正黑体_GBK"/>
                <w:color w:val="000000"/>
                <w:szCs w:val="21"/>
              </w:rPr>
            </w:pPr>
            <w:r>
              <w:rPr>
                <w:rFonts w:ascii="Times New Roman" w:hAnsi="Times New Roman" w:eastAsia="方正黑体_GBK"/>
                <w:color w:val="000000"/>
                <w:szCs w:val="21"/>
              </w:rPr>
              <w:t>设定依据</w:t>
            </w:r>
          </w:p>
        </w:tc>
        <w:tc>
          <w:tcPr>
            <w:tcW w:w="1064" w:type="pct"/>
            <w:gridSpan w:val="2"/>
            <w:noWrap w:val="0"/>
            <w:vAlign w:val="center"/>
          </w:tcPr>
          <w:p>
            <w:pPr>
              <w:spacing w:line="280" w:lineRule="exact"/>
              <w:jc w:val="center"/>
              <w:rPr>
                <w:rFonts w:ascii="Times New Roman" w:hAnsi="Times New Roman" w:eastAsia="方正黑体_GBK"/>
                <w:color w:val="000000"/>
                <w:szCs w:val="21"/>
              </w:rPr>
            </w:pPr>
            <w:r>
              <w:rPr>
                <w:rFonts w:ascii="Times New Roman" w:hAnsi="Times New Roman" w:eastAsia="方正黑体_GBK"/>
                <w:color w:val="000000"/>
                <w:szCs w:val="21"/>
              </w:rPr>
              <w:t>行使层级和内容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70" w:hRule="atLeast"/>
          <w:tblHeader/>
          <w:jc w:val="center"/>
        </w:trPr>
        <w:tc>
          <w:tcPr>
            <w:tcW w:w="206" w:type="pct"/>
            <w:vMerge w:val="continue"/>
            <w:noWrap w:val="0"/>
            <w:vAlign w:val="center"/>
          </w:tcPr>
          <w:p>
            <w:pPr>
              <w:jc w:val="center"/>
              <w:rPr>
                <w:rFonts w:ascii="Times New Roman" w:hAnsi="Times New Roman"/>
                <w:color w:val="000000"/>
                <w:sz w:val="24"/>
              </w:rPr>
            </w:pPr>
          </w:p>
        </w:tc>
        <w:tc>
          <w:tcPr>
            <w:tcW w:w="262" w:type="pct"/>
            <w:vMerge w:val="continue"/>
            <w:noWrap w:val="0"/>
            <w:vAlign w:val="center"/>
          </w:tcPr>
          <w:p>
            <w:pPr>
              <w:jc w:val="center"/>
              <w:rPr>
                <w:rFonts w:ascii="Times New Roman" w:hAnsi="Times New Roman"/>
                <w:color w:val="000000"/>
                <w:sz w:val="24"/>
              </w:rPr>
            </w:pPr>
          </w:p>
        </w:tc>
        <w:tc>
          <w:tcPr>
            <w:tcW w:w="635" w:type="pct"/>
            <w:vMerge w:val="continue"/>
            <w:noWrap w:val="0"/>
            <w:vAlign w:val="center"/>
          </w:tcPr>
          <w:p>
            <w:pPr>
              <w:jc w:val="center"/>
              <w:rPr>
                <w:rFonts w:ascii="Times New Roman" w:hAnsi="Times New Roman"/>
                <w:color w:val="000000"/>
                <w:sz w:val="24"/>
              </w:rPr>
            </w:pPr>
          </w:p>
        </w:tc>
        <w:tc>
          <w:tcPr>
            <w:tcW w:w="270" w:type="pct"/>
            <w:vMerge w:val="continue"/>
            <w:noWrap w:val="0"/>
            <w:vAlign w:val="center"/>
          </w:tcPr>
          <w:p>
            <w:pPr>
              <w:jc w:val="center"/>
              <w:rPr>
                <w:rFonts w:ascii="Times New Roman" w:hAnsi="Times New Roman"/>
                <w:color w:val="000000"/>
                <w:sz w:val="24"/>
              </w:rPr>
            </w:pPr>
          </w:p>
        </w:tc>
        <w:tc>
          <w:tcPr>
            <w:tcW w:w="2563" w:type="pct"/>
            <w:vMerge w:val="continue"/>
            <w:noWrap w:val="0"/>
            <w:vAlign w:val="center"/>
          </w:tcPr>
          <w:p>
            <w:pPr>
              <w:jc w:val="center"/>
              <w:rPr>
                <w:rFonts w:ascii="Times New Roman" w:hAnsi="Times New Roman"/>
                <w:color w:val="000000"/>
                <w:sz w:val="24"/>
              </w:rPr>
            </w:pPr>
          </w:p>
        </w:tc>
        <w:tc>
          <w:tcPr>
            <w:tcW w:w="524" w:type="pct"/>
            <w:noWrap w:val="0"/>
            <w:vAlign w:val="center"/>
          </w:tcPr>
          <w:p>
            <w:pPr>
              <w:jc w:val="center"/>
              <w:rPr>
                <w:rFonts w:ascii="黑体" w:hAnsi="黑体" w:eastAsia="黑体"/>
                <w:color w:val="000000"/>
                <w:sz w:val="22"/>
              </w:rPr>
            </w:pPr>
            <w:r>
              <w:rPr>
                <w:rFonts w:ascii="黑体" w:hAnsi="黑体" w:eastAsia="黑体"/>
                <w:color w:val="000000"/>
                <w:sz w:val="22"/>
              </w:rPr>
              <w:t>市级</w:t>
            </w:r>
          </w:p>
        </w:tc>
        <w:tc>
          <w:tcPr>
            <w:tcW w:w="540" w:type="pct"/>
            <w:noWrap w:val="0"/>
            <w:vAlign w:val="center"/>
          </w:tcPr>
          <w:p>
            <w:pPr>
              <w:jc w:val="center"/>
              <w:rPr>
                <w:rFonts w:ascii="黑体" w:hAnsi="黑体" w:eastAsia="黑体"/>
                <w:color w:val="000000"/>
                <w:sz w:val="22"/>
              </w:rPr>
            </w:pPr>
            <w:r>
              <w:rPr>
                <w:rFonts w:ascii="黑体" w:hAnsi="黑体" w:eastAsia="黑体"/>
                <w:color w:val="000000"/>
                <w:sz w:val="22"/>
              </w:rPr>
              <w:t>县级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83" w:hRule="atLeast"/>
          <w:jc w:val="center"/>
        </w:trPr>
        <w:tc>
          <w:tcPr>
            <w:tcW w:w="206" w:type="pct"/>
            <w:noWrap w:val="0"/>
            <w:vAlign w:val="center"/>
          </w:tcPr>
          <w:p>
            <w:pPr>
              <w:jc w:val="center"/>
              <w:rPr>
                <w:rFonts w:ascii="Times New Roman" w:hAnsi="Times New Roman"/>
                <w:color w:val="000000"/>
              </w:rPr>
            </w:pPr>
            <w:r>
              <w:rPr>
                <w:rFonts w:ascii="Times New Roman" w:hAnsi="Times New Roman"/>
                <w:color w:val="000000"/>
              </w:rPr>
              <w:t>1</w:t>
            </w:r>
          </w:p>
        </w:tc>
        <w:tc>
          <w:tcPr>
            <w:tcW w:w="262" w:type="pct"/>
            <w:noWrap w:val="0"/>
            <w:vAlign w:val="center"/>
          </w:tcPr>
          <w:p>
            <w:pPr>
              <w:jc w:val="center"/>
              <w:rPr>
                <w:rFonts w:ascii="Times New Roman" w:hAnsi="Times New Roman"/>
                <w:color w:val="000000"/>
              </w:rPr>
            </w:pPr>
            <w:r>
              <w:rPr>
                <w:rFonts w:ascii="Times New Roman" w:hAnsi="Times New Roman"/>
                <w:color w:val="000000"/>
              </w:rPr>
              <w:t>行政处罚</w:t>
            </w:r>
          </w:p>
        </w:tc>
        <w:tc>
          <w:tcPr>
            <w:tcW w:w="635" w:type="pct"/>
            <w:noWrap w:val="0"/>
            <w:vAlign w:val="center"/>
          </w:tcPr>
          <w:p>
            <w:pPr>
              <w:rPr>
                <w:rFonts w:ascii="Times New Roman" w:hAnsi="Times New Roman"/>
                <w:color w:val="000000"/>
              </w:rPr>
            </w:pPr>
            <w:r>
              <w:rPr>
                <w:rFonts w:hint="eastAsia" w:ascii="Times New Roman" w:hAnsi="Times New Roman"/>
                <w:color w:val="000000"/>
              </w:rPr>
              <w:t>对餐饮服务提供者未提供公筷公勺的处罚</w:t>
            </w:r>
          </w:p>
        </w:tc>
        <w:tc>
          <w:tcPr>
            <w:tcW w:w="270" w:type="pct"/>
            <w:noWrap w:val="0"/>
            <w:vAlign w:val="center"/>
          </w:tcPr>
          <w:p>
            <w:pPr>
              <w:jc w:val="center"/>
              <w:rPr>
                <w:rFonts w:ascii="Times New Roman" w:hAnsi="Times New Roman"/>
                <w:color w:val="000000"/>
              </w:rPr>
            </w:pPr>
            <w:r>
              <w:rPr>
                <w:rFonts w:hint="eastAsia" w:ascii="Times New Roman" w:hAnsi="Times New Roman"/>
                <w:color w:val="000000"/>
              </w:rPr>
              <w:t>市场监督管理部门</w:t>
            </w:r>
          </w:p>
        </w:tc>
        <w:tc>
          <w:tcPr>
            <w:tcW w:w="2563" w:type="pct"/>
            <w:noWrap w:val="0"/>
            <w:vAlign w:val="center"/>
          </w:tcPr>
          <w:p>
            <w:pPr>
              <w:rPr>
                <w:rFonts w:ascii="Times New Roman" w:hAnsi="Times New Roman"/>
                <w:color w:val="000000"/>
              </w:rPr>
            </w:pPr>
            <w:r>
              <w:rPr>
                <w:rFonts w:ascii="Times New Roman" w:hAnsi="Times New Roman"/>
                <w:color w:val="000000"/>
              </w:rPr>
              <w:t>【地方性法规】</w:t>
            </w:r>
            <w:r>
              <w:rPr>
                <w:rFonts w:hint="eastAsia" w:ascii="Times New Roman" w:hAnsi="Times New Roman"/>
                <w:color w:val="000000"/>
              </w:rPr>
              <w:t>《常州市人民代表大会常务委员会关于推行使用公筷公勺的决定》第六条：餐饮服务提供者违反本决定未提供公筷公勺的，由市场监督管理部门责令改正；拒不改正的，给予警告或者通报批评，可以对自然人处二百元以下罚款，对法人或者其他组织处二千元以下罚款。</w:t>
            </w:r>
          </w:p>
        </w:tc>
        <w:tc>
          <w:tcPr>
            <w:tcW w:w="524" w:type="pct"/>
            <w:noWrap w:val="0"/>
            <w:vAlign w:val="center"/>
          </w:tcPr>
          <w:p>
            <w:pPr>
              <w:rPr>
                <w:rFonts w:ascii="Times New Roman" w:hAnsi="Times New Roman"/>
                <w:color w:val="000000"/>
              </w:rPr>
            </w:pPr>
          </w:p>
        </w:tc>
        <w:tc>
          <w:tcPr>
            <w:tcW w:w="540" w:type="pct"/>
            <w:noWrap w:val="0"/>
            <w:vAlign w:val="center"/>
          </w:tcPr>
          <w:p>
            <w:pPr>
              <w:jc w:val="center"/>
              <w:rPr>
                <w:rFonts w:hint="eastAsia" w:ascii="Times New Roman" w:hAnsi="Times New Roman"/>
                <w:color w:val="000000"/>
              </w:rPr>
            </w:pPr>
            <w:r>
              <w:rPr>
                <w:rFonts w:hint="eastAsia" w:ascii="Times New Roman" w:hAnsi="Times New Roman"/>
                <w:color w:val="000000"/>
              </w:rPr>
              <w:t>警告、</w:t>
            </w:r>
          </w:p>
          <w:p>
            <w:pPr>
              <w:jc w:val="center"/>
              <w:rPr>
                <w:rFonts w:hint="eastAsia" w:ascii="Times New Roman" w:hAnsi="Times New Roman"/>
                <w:color w:val="000000"/>
              </w:rPr>
            </w:pPr>
            <w:r>
              <w:rPr>
                <w:rFonts w:hint="eastAsia" w:ascii="Times New Roman" w:hAnsi="Times New Roman"/>
                <w:color w:val="000000"/>
              </w:rPr>
              <w:t>通报批评、</w:t>
            </w:r>
          </w:p>
          <w:p>
            <w:pPr>
              <w:jc w:val="center"/>
              <w:rPr>
                <w:rFonts w:ascii="Times New Roman" w:hAnsi="Times New Roman"/>
                <w:color w:val="000000"/>
              </w:rPr>
            </w:pPr>
            <w:r>
              <w:rPr>
                <w:rFonts w:hint="eastAsia" w:ascii="Times New Roman" w:hAnsi="Times New Roman"/>
                <w:color w:val="000000"/>
              </w:rPr>
              <w:t>罚款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04" w:hRule="atLeast"/>
          <w:jc w:val="center"/>
        </w:trPr>
        <w:tc>
          <w:tcPr>
            <w:tcW w:w="206" w:type="pct"/>
            <w:noWrap w:val="0"/>
            <w:vAlign w:val="center"/>
          </w:tcPr>
          <w:p>
            <w:pPr>
              <w:jc w:val="center"/>
              <w:rPr>
                <w:rFonts w:ascii="Times New Roman" w:hAnsi="Times New Roman"/>
                <w:color w:val="000000"/>
              </w:rPr>
            </w:pPr>
            <w:r>
              <w:rPr>
                <w:rFonts w:ascii="Times New Roman" w:hAnsi="Times New Roman"/>
                <w:color w:val="000000"/>
              </w:rPr>
              <w:t>2</w:t>
            </w:r>
          </w:p>
        </w:tc>
        <w:tc>
          <w:tcPr>
            <w:tcW w:w="262" w:type="pct"/>
            <w:noWrap w:val="0"/>
            <w:vAlign w:val="center"/>
          </w:tcPr>
          <w:p>
            <w:pPr>
              <w:jc w:val="center"/>
              <w:rPr>
                <w:rFonts w:ascii="Times New Roman" w:hAnsi="Times New Roman"/>
                <w:color w:val="000000"/>
              </w:rPr>
            </w:pPr>
            <w:r>
              <w:rPr>
                <w:rFonts w:ascii="Times New Roman" w:hAnsi="Times New Roman"/>
                <w:color w:val="000000"/>
              </w:rPr>
              <w:t>行政处罚</w:t>
            </w:r>
          </w:p>
        </w:tc>
        <w:tc>
          <w:tcPr>
            <w:tcW w:w="635" w:type="pct"/>
            <w:noWrap w:val="0"/>
            <w:vAlign w:val="center"/>
          </w:tcPr>
          <w:p>
            <w:pPr>
              <w:rPr>
                <w:rFonts w:ascii="Times New Roman" w:hAnsi="Times New Roman"/>
                <w:color w:val="000000"/>
              </w:rPr>
            </w:pPr>
            <w:r>
              <w:rPr>
                <w:rFonts w:hint="eastAsia" w:ascii="Times New Roman" w:hAnsi="Times New Roman"/>
                <w:color w:val="000000"/>
              </w:rPr>
              <w:t>对住房所有权人将原始设计的起居室（厅）不按要求进行分隔后出租用于居住的处罚</w:t>
            </w:r>
          </w:p>
        </w:tc>
        <w:tc>
          <w:tcPr>
            <w:tcW w:w="270" w:type="pct"/>
            <w:noWrap w:val="0"/>
            <w:vAlign w:val="center"/>
          </w:tcPr>
          <w:p>
            <w:pPr>
              <w:jc w:val="center"/>
              <w:rPr>
                <w:rFonts w:ascii="Times New Roman" w:hAnsi="Times New Roman"/>
                <w:color w:val="000000"/>
              </w:rPr>
            </w:pPr>
            <w:r>
              <w:rPr>
                <w:rFonts w:hint="eastAsia" w:ascii="Times New Roman" w:hAnsi="Times New Roman"/>
                <w:color w:val="000000"/>
              </w:rPr>
              <w:t>住房城乡建设部门</w:t>
            </w:r>
          </w:p>
        </w:tc>
        <w:tc>
          <w:tcPr>
            <w:tcW w:w="2563" w:type="pct"/>
            <w:noWrap w:val="0"/>
            <w:vAlign w:val="center"/>
          </w:tcPr>
          <w:p>
            <w:pPr>
              <w:rPr>
                <w:rFonts w:ascii="Times New Roman" w:hAnsi="Times New Roman"/>
                <w:color w:val="000000"/>
              </w:rPr>
            </w:pPr>
            <w:r>
              <w:rPr>
                <w:rFonts w:ascii="Times New Roman" w:hAnsi="Times New Roman"/>
                <w:color w:val="000000"/>
              </w:rPr>
              <w:t>【地方性法规】</w:t>
            </w:r>
            <w:r>
              <w:rPr>
                <w:rFonts w:hint="eastAsia" w:ascii="Times New Roman" w:hAnsi="Times New Roman"/>
                <w:color w:val="000000"/>
              </w:rPr>
              <w:t>《常州市租赁住房安全管理条例》第十三条第二款：住房原始设计的起居室（厅）确需分隔出租用于居住的，住房所有权人应当按照装饰装修管理有关规定办理相关手续，并同时符合下列要求：（一）只能分隔出一间房间用于居住；（二）分隔出房间后，原起居室（厅）还应当保留不少于十平方米使用面积的公共空间，且不得影响人员疏散、逃生和消防救援；（四）分隔出的房间具备直接天然采光和自然通风条件。</w:t>
            </w:r>
          </w:p>
          <w:p>
            <w:pPr>
              <w:rPr>
                <w:rFonts w:ascii="Times New Roman" w:hAnsi="Times New Roman"/>
                <w:color w:val="000000"/>
              </w:rPr>
            </w:pPr>
            <w:r>
              <w:rPr>
                <w:rFonts w:hint="eastAsia" w:ascii="Times New Roman" w:hAnsi="Times New Roman"/>
                <w:color w:val="000000"/>
              </w:rPr>
              <w:t>第三十六条：违反本条例第十三条，第十四条第二款、第三款规定，由住房城乡建设主管部门责令限期改正；逾期未改正的，可以处五千元以上三万元以下罚款。</w:t>
            </w:r>
          </w:p>
        </w:tc>
        <w:tc>
          <w:tcPr>
            <w:tcW w:w="524" w:type="pct"/>
            <w:noWrap w:val="0"/>
            <w:vAlign w:val="center"/>
          </w:tcPr>
          <w:p>
            <w:pPr>
              <w:jc w:val="center"/>
              <w:rPr>
                <w:rFonts w:ascii="Times New Roman" w:hAnsi="Times New Roman"/>
                <w:color w:val="000000"/>
              </w:rPr>
            </w:pPr>
            <w:r>
              <w:rPr>
                <w:rFonts w:hint="eastAsia" w:ascii="Times New Roman" w:hAnsi="Times New Roman"/>
                <w:color w:val="000000"/>
              </w:rPr>
              <w:t>罚款</w:t>
            </w:r>
          </w:p>
        </w:tc>
        <w:tc>
          <w:tcPr>
            <w:tcW w:w="540" w:type="pct"/>
            <w:noWrap w:val="0"/>
            <w:vAlign w:val="center"/>
          </w:tcPr>
          <w:p>
            <w:pPr>
              <w:jc w:val="center"/>
              <w:rPr>
                <w:rFonts w:ascii="Times New Roman" w:hAnsi="Times New Roman"/>
                <w:color w:val="000000"/>
              </w:rPr>
            </w:pPr>
            <w:r>
              <w:rPr>
                <w:rFonts w:hint="eastAsia" w:ascii="Times New Roman" w:hAnsi="Times New Roman"/>
                <w:color w:val="000000"/>
              </w:rPr>
              <w:t>罚款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0" w:hRule="atLeast"/>
          <w:jc w:val="center"/>
        </w:trPr>
        <w:tc>
          <w:tcPr>
            <w:tcW w:w="206" w:type="pct"/>
            <w:noWrap w:val="0"/>
            <w:vAlign w:val="center"/>
          </w:tcPr>
          <w:p>
            <w:pPr>
              <w:jc w:val="center"/>
              <w:rPr>
                <w:rFonts w:ascii="Times New Roman" w:hAnsi="Times New Roman"/>
                <w:color w:val="000000"/>
              </w:rPr>
            </w:pPr>
            <w:r>
              <w:rPr>
                <w:rFonts w:ascii="Times New Roman" w:hAnsi="Times New Roman"/>
                <w:color w:val="000000"/>
              </w:rPr>
              <w:t>3</w:t>
            </w:r>
          </w:p>
        </w:tc>
        <w:tc>
          <w:tcPr>
            <w:tcW w:w="262" w:type="pct"/>
            <w:noWrap w:val="0"/>
            <w:vAlign w:val="center"/>
          </w:tcPr>
          <w:p>
            <w:pPr>
              <w:jc w:val="center"/>
              <w:rPr>
                <w:rFonts w:ascii="Times New Roman" w:hAnsi="Times New Roman"/>
                <w:color w:val="000000"/>
              </w:rPr>
            </w:pPr>
            <w:r>
              <w:rPr>
                <w:rFonts w:ascii="Times New Roman" w:hAnsi="Times New Roman"/>
                <w:color w:val="000000"/>
              </w:rPr>
              <w:t>行政处罚</w:t>
            </w:r>
          </w:p>
        </w:tc>
        <w:tc>
          <w:tcPr>
            <w:tcW w:w="635" w:type="pct"/>
            <w:noWrap w:val="0"/>
            <w:vAlign w:val="center"/>
          </w:tcPr>
          <w:p>
            <w:pPr>
              <w:rPr>
                <w:rFonts w:ascii="Times New Roman" w:hAnsi="Times New Roman"/>
                <w:color w:val="000000"/>
              </w:rPr>
            </w:pPr>
            <w:r>
              <w:rPr>
                <w:rFonts w:hint="eastAsia" w:ascii="Times New Roman" w:hAnsi="Times New Roman"/>
                <w:color w:val="000000"/>
              </w:rPr>
              <w:t>对住房所有权人将房间、阳台的整体或者局部改为卫生间、厨房后出租的处罚</w:t>
            </w:r>
          </w:p>
        </w:tc>
        <w:tc>
          <w:tcPr>
            <w:tcW w:w="270" w:type="pct"/>
            <w:noWrap w:val="0"/>
            <w:vAlign w:val="center"/>
          </w:tcPr>
          <w:p>
            <w:pPr>
              <w:jc w:val="center"/>
              <w:rPr>
                <w:rFonts w:ascii="Times New Roman" w:hAnsi="Times New Roman"/>
                <w:color w:val="000000"/>
              </w:rPr>
            </w:pPr>
            <w:r>
              <w:rPr>
                <w:rFonts w:hint="eastAsia" w:ascii="Times New Roman" w:hAnsi="Times New Roman"/>
                <w:color w:val="000000"/>
              </w:rPr>
              <w:t>住房城乡建设部门</w:t>
            </w:r>
          </w:p>
        </w:tc>
        <w:tc>
          <w:tcPr>
            <w:tcW w:w="2563" w:type="pct"/>
            <w:noWrap w:val="0"/>
            <w:vAlign w:val="center"/>
          </w:tcPr>
          <w:p>
            <w:pPr>
              <w:rPr>
                <w:rFonts w:ascii="Times New Roman" w:hAnsi="Times New Roman"/>
                <w:color w:val="000000"/>
              </w:rPr>
            </w:pPr>
            <w:r>
              <w:rPr>
                <w:rFonts w:ascii="Times New Roman" w:hAnsi="Times New Roman"/>
                <w:color w:val="000000"/>
              </w:rPr>
              <w:t>【地方性法规】</w:t>
            </w:r>
            <w:r>
              <w:rPr>
                <w:rFonts w:hint="eastAsia" w:ascii="Times New Roman" w:hAnsi="Times New Roman"/>
                <w:color w:val="000000"/>
              </w:rPr>
              <w:t>《常州市租赁住房安全管理条例》第十三条第三款：禁止将房间、阳台的整体或者局部改为卫生间、厨房。</w:t>
            </w:r>
          </w:p>
          <w:p>
            <w:pPr>
              <w:rPr>
                <w:rFonts w:ascii="Times New Roman" w:hAnsi="Times New Roman"/>
                <w:color w:val="000000"/>
              </w:rPr>
            </w:pPr>
            <w:r>
              <w:rPr>
                <w:rFonts w:hint="eastAsia" w:ascii="Times New Roman" w:hAnsi="Times New Roman"/>
                <w:color w:val="000000"/>
              </w:rPr>
              <w:t>第三十六条：违反本条例第十三条，第十四条第二款、第三款规定，由住房城乡建设主管部门责令限期改正；逾期未改正的，可以处五千元以上三万元以下罚款。</w:t>
            </w:r>
          </w:p>
        </w:tc>
        <w:tc>
          <w:tcPr>
            <w:tcW w:w="524" w:type="pct"/>
            <w:noWrap w:val="0"/>
            <w:vAlign w:val="center"/>
          </w:tcPr>
          <w:p>
            <w:pPr>
              <w:jc w:val="center"/>
              <w:rPr>
                <w:rFonts w:ascii="Times New Roman" w:hAnsi="Times New Roman"/>
                <w:color w:val="000000"/>
              </w:rPr>
            </w:pPr>
            <w:r>
              <w:rPr>
                <w:rFonts w:ascii="Times New Roman" w:hAnsi="Times New Roman"/>
                <w:color w:val="000000"/>
              </w:rPr>
              <w:t>罚款</w:t>
            </w:r>
          </w:p>
        </w:tc>
        <w:tc>
          <w:tcPr>
            <w:tcW w:w="540" w:type="pct"/>
            <w:noWrap w:val="0"/>
            <w:vAlign w:val="center"/>
          </w:tcPr>
          <w:p>
            <w:pPr>
              <w:jc w:val="center"/>
              <w:rPr>
                <w:rFonts w:ascii="Times New Roman" w:hAnsi="Times New Roman"/>
                <w:color w:val="000000"/>
              </w:rPr>
            </w:pPr>
            <w:r>
              <w:rPr>
                <w:rFonts w:ascii="Times New Roman" w:hAnsi="Times New Roman"/>
                <w:color w:val="000000"/>
              </w:rPr>
              <w:t>罚款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02" w:hRule="atLeast"/>
          <w:jc w:val="center"/>
        </w:trPr>
        <w:tc>
          <w:tcPr>
            <w:tcW w:w="206" w:type="pct"/>
            <w:noWrap w:val="0"/>
            <w:vAlign w:val="center"/>
          </w:tcPr>
          <w:p>
            <w:pPr>
              <w:jc w:val="center"/>
              <w:rPr>
                <w:rFonts w:ascii="Times New Roman" w:hAnsi="Times New Roman"/>
                <w:color w:val="000000"/>
              </w:rPr>
            </w:pPr>
            <w:r>
              <w:rPr>
                <w:rFonts w:ascii="Times New Roman" w:hAnsi="Times New Roman"/>
                <w:color w:val="000000"/>
              </w:rPr>
              <w:t>4</w:t>
            </w:r>
          </w:p>
        </w:tc>
        <w:tc>
          <w:tcPr>
            <w:tcW w:w="262" w:type="pct"/>
            <w:noWrap w:val="0"/>
            <w:vAlign w:val="center"/>
          </w:tcPr>
          <w:p>
            <w:pPr>
              <w:jc w:val="center"/>
              <w:rPr>
                <w:rFonts w:ascii="Times New Roman" w:hAnsi="Times New Roman"/>
                <w:color w:val="000000"/>
              </w:rPr>
            </w:pPr>
            <w:r>
              <w:rPr>
                <w:rFonts w:ascii="Times New Roman" w:hAnsi="Times New Roman"/>
                <w:color w:val="000000"/>
              </w:rPr>
              <w:t>行政处罚</w:t>
            </w:r>
          </w:p>
        </w:tc>
        <w:tc>
          <w:tcPr>
            <w:tcW w:w="635" w:type="pct"/>
            <w:noWrap w:val="0"/>
            <w:vAlign w:val="center"/>
          </w:tcPr>
          <w:p>
            <w:pPr>
              <w:rPr>
                <w:rFonts w:ascii="Times New Roman" w:hAnsi="Times New Roman"/>
                <w:color w:val="000000"/>
              </w:rPr>
            </w:pPr>
            <w:r>
              <w:rPr>
                <w:rFonts w:hint="eastAsia" w:ascii="Times New Roman" w:hAnsi="Times New Roman"/>
                <w:color w:val="000000"/>
              </w:rPr>
              <w:t>对出租人按间出租住房违反每间房间居住人数和人均居住面积规定的处罚</w:t>
            </w:r>
          </w:p>
        </w:tc>
        <w:tc>
          <w:tcPr>
            <w:tcW w:w="270" w:type="pct"/>
            <w:noWrap w:val="0"/>
            <w:vAlign w:val="center"/>
          </w:tcPr>
          <w:p>
            <w:pPr>
              <w:jc w:val="center"/>
              <w:rPr>
                <w:rFonts w:ascii="Times New Roman" w:hAnsi="Times New Roman"/>
                <w:color w:val="000000"/>
              </w:rPr>
            </w:pPr>
            <w:r>
              <w:rPr>
                <w:rFonts w:hint="eastAsia" w:ascii="Times New Roman" w:hAnsi="Times New Roman"/>
                <w:color w:val="000000"/>
              </w:rPr>
              <w:t>住房城乡建设部门</w:t>
            </w:r>
          </w:p>
        </w:tc>
        <w:tc>
          <w:tcPr>
            <w:tcW w:w="2563" w:type="pct"/>
            <w:noWrap w:val="0"/>
            <w:vAlign w:val="center"/>
          </w:tcPr>
          <w:p>
            <w:pPr>
              <w:spacing w:line="300" w:lineRule="exact"/>
              <w:rPr>
                <w:rFonts w:ascii="Times New Roman" w:hAnsi="Times New Roman"/>
                <w:color w:val="000000"/>
              </w:rPr>
            </w:pPr>
            <w:r>
              <w:rPr>
                <w:rFonts w:ascii="Times New Roman" w:hAnsi="Times New Roman"/>
                <w:color w:val="000000"/>
              </w:rPr>
              <w:t>【地方性法规】</w:t>
            </w:r>
            <w:r>
              <w:rPr>
                <w:rFonts w:hint="eastAsia" w:ascii="Times New Roman" w:hAnsi="Times New Roman"/>
                <w:color w:val="000000"/>
              </w:rPr>
              <w:t>《常州市租赁住房安全管理条例》第十四条第二款：住房按间出租的，每间房间内人均使用面积不得低于六平方米，厨房、卫生间、阳台、储藏室以及其他非居住空间的使用面积不计入其中。</w:t>
            </w:r>
          </w:p>
          <w:p>
            <w:pPr>
              <w:spacing w:line="300" w:lineRule="exact"/>
              <w:rPr>
                <w:rFonts w:ascii="Times New Roman" w:hAnsi="Times New Roman"/>
                <w:color w:val="000000"/>
              </w:rPr>
            </w:pPr>
            <w:r>
              <w:rPr>
                <w:rFonts w:hint="eastAsia" w:ascii="Times New Roman" w:hAnsi="Times New Roman"/>
                <w:color w:val="000000"/>
              </w:rPr>
              <w:t>第十四条第三款：住房按间出租的，每间房间内居住人数不得超过两人，但具有法定赡养、扶养、抚养关系以及医疗护理等特殊情况的除外。</w:t>
            </w:r>
          </w:p>
          <w:p>
            <w:pPr>
              <w:spacing w:line="300" w:lineRule="exact"/>
              <w:rPr>
                <w:rFonts w:ascii="Times New Roman" w:hAnsi="Times New Roman"/>
                <w:color w:val="000000"/>
              </w:rPr>
            </w:pPr>
            <w:r>
              <w:rPr>
                <w:rFonts w:hint="eastAsia" w:ascii="Times New Roman" w:hAnsi="Times New Roman"/>
                <w:color w:val="000000"/>
              </w:rPr>
              <w:t>第三十六条：违反本条例第十三条，第十四条第二款、第三款规定，由住房城乡建设主管部门责令限期改正；逾期未改正的，可以处五千元以上三万元以下罚款。</w:t>
            </w:r>
          </w:p>
        </w:tc>
        <w:tc>
          <w:tcPr>
            <w:tcW w:w="524" w:type="pct"/>
            <w:noWrap w:val="0"/>
            <w:vAlign w:val="center"/>
          </w:tcPr>
          <w:p>
            <w:pPr>
              <w:jc w:val="center"/>
              <w:rPr>
                <w:rFonts w:ascii="Times New Roman" w:hAnsi="Times New Roman"/>
                <w:color w:val="000000"/>
              </w:rPr>
            </w:pPr>
            <w:r>
              <w:rPr>
                <w:rFonts w:ascii="Times New Roman" w:hAnsi="Times New Roman"/>
                <w:color w:val="000000"/>
              </w:rPr>
              <w:t>罚款</w:t>
            </w:r>
          </w:p>
        </w:tc>
        <w:tc>
          <w:tcPr>
            <w:tcW w:w="540" w:type="pct"/>
            <w:noWrap w:val="0"/>
            <w:vAlign w:val="center"/>
          </w:tcPr>
          <w:p>
            <w:pPr>
              <w:jc w:val="center"/>
              <w:rPr>
                <w:rFonts w:ascii="Times New Roman" w:hAnsi="Times New Roman"/>
                <w:color w:val="000000"/>
              </w:rPr>
            </w:pPr>
            <w:r>
              <w:rPr>
                <w:rFonts w:ascii="Times New Roman" w:hAnsi="Times New Roman"/>
                <w:color w:val="000000"/>
              </w:rPr>
              <w:t>罚款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0" w:hRule="atLeast"/>
          <w:jc w:val="center"/>
        </w:trPr>
        <w:tc>
          <w:tcPr>
            <w:tcW w:w="206" w:type="pct"/>
            <w:noWrap w:val="0"/>
            <w:vAlign w:val="center"/>
          </w:tcPr>
          <w:p>
            <w:pPr>
              <w:jc w:val="center"/>
              <w:rPr>
                <w:rFonts w:ascii="Times New Roman" w:hAnsi="Times New Roman"/>
                <w:color w:val="000000"/>
              </w:rPr>
            </w:pPr>
            <w:r>
              <w:rPr>
                <w:rFonts w:ascii="Times New Roman" w:hAnsi="Times New Roman"/>
                <w:color w:val="000000"/>
              </w:rPr>
              <w:t>5</w:t>
            </w:r>
          </w:p>
        </w:tc>
        <w:tc>
          <w:tcPr>
            <w:tcW w:w="262" w:type="pct"/>
            <w:noWrap w:val="0"/>
            <w:vAlign w:val="center"/>
          </w:tcPr>
          <w:p>
            <w:pPr>
              <w:jc w:val="center"/>
              <w:rPr>
                <w:rFonts w:ascii="Times New Roman" w:hAnsi="Times New Roman"/>
                <w:color w:val="000000"/>
              </w:rPr>
            </w:pPr>
            <w:r>
              <w:rPr>
                <w:rFonts w:ascii="Times New Roman" w:hAnsi="Times New Roman"/>
                <w:color w:val="000000"/>
              </w:rPr>
              <w:t>行政处罚</w:t>
            </w:r>
          </w:p>
        </w:tc>
        <w:tc>
          <w:tcPr>
            <w:tcW w:w="635" w:type="pct"/>
            <w:noWrap w:val="0"/>
            <w:vAlign w:val="center"/>
          </w:tcPr>
          <w:p>
            <w:pPr>
              <w:rPr>
                <w:rFonts w:ascii="Times New Roman" w:hAnsi="Times New Roman"/>
                <w:color w:val="000000"/>
              </w:rPr>
            </w:pPr>
            <w:r>
              <w:rPr>
                <w:rFonts w:hint="eastAsia" w:ascii="Times New Roman" w:hAnsi="Times New Roman"/>
                <w:color w:val="000000"/>
              </w:rPr>
              <w:t>对房地产经纪机构为不符合出租条件的房屋提供租赁中介、代理服务的处罚</w:t>
            </w:r>
          </w:p>
        </w:tc>
        <w:tc>
          <w:tcPr>
            <w:tcW w:w="270" w:type="pct"/>
            <w:noWrap w:val="0"/>
            <w:vAlign w:val="center"/>
          </w:tcPr>
          <w:p>
            <w:pPr>
              <w:jc w:val="center"/>
              <w:rPr>
                <w:rFonts w:ascii="Times New Roman" w:hAnsi="Times New Roman"/>
                <w:color w:val="000000"/>
              </w:rPr>
            </w:pPr>
            <w:r>
              <w:rPr>
                <w:rFonts w:hint="eastAsia" w:ascii="Times New Roman" w:hAnsi="Times New Roman"/>
                <w:color w:val="000000"/>
              </w:rPr>
              <w:t>住房城乡建设部门</w:t>
            </w:r>
          </w:p>
        </w:tc>
        <w:tc>
          <w:tcPr>
            <w:tcW w:w="2563" w:type="pct"/>
            <w:noWrap w:val="0"/>
            <w:vAlign w:val="center"/>
          </w:tcPr>
          <w:p>
            <w:pPr>
              <w:spacing w:line="300" w:lineRule="exact"/>
              <w:rPr>
                <w:rFonts w:ascii="Times New Roman" w:hAnsi="Times New Roman"/>
                <w:color w:val="000000"/>
              </w:rPr>
            </w:pPr>
            <w:r>
              <w:rPr>
                <w:rFonts w:ascii="Times New Roman" w:hAnsi="Times New Roman"/>
                <w:color w:val="000000"/>
              </w:rPr>
              <w:t>【地方性法规】</w:t>
            </w:r>
            <w:r>
              <w:rPr>
                <w:rFonts w:hint="eastAsia" w:ascii="Times New Roman" w:hAnsi="Times New Roman"/>
                <w:color w:val="000000"/>
              </w:rPr>
              <w:t>《常州市租赁住房安全管理条例》第十一条：有下列情形之一的房屋，不得出租：（一）属于违法建筑的；（二）违反规定改变房屋使用性质的；（三）不符合安全、防灾等工程建设强制性标准的；（四）经鉴定属于危险房屋不能用于居住的；（五）法律、法规禁止出租的其他情形。村（居）民自建住宅出租用于居住的，出租人应当在出租前按照规定进行房屋安全鉴定。</w:t>
            </w:r>
          </w:p>
          <w:p>
            <w:pPr>
              <w:spacing w:line="300" w:lineRule="exact"/>
              <w:rPr>
                <w:rFonts w:ascii="Times New Roman" w:hAnsi="Times New Roman"/>
                <w:color w:val="000000"/>
              </w:rPr>
            </w:pPr>
            <w:r>
              <w:rPr>
                <w:rFonts w:hint="eastAsia" w:ascii="Times New Roman" w:hAnsi="Times New Roman"/>
                <w:color w:val="000000"/>
              </w:rPr>
              <w:t>第十三条：用于出租的住房，应当以原始设计的房间为最小出租单位，不得将房间分隔后出租用于居住。住房原始设计的起居室（厅）确需分隔出租用于居住的，住房所有权人应当按照装饰装修管理有关规定办理相关手续，并同时符合下列要求：（一）只能分隔出一间房间用于居住；（二）分隔出房间后，原起居室（厅）还应当保留不少于十平方米使用面积的公共空间，且不得影响人员疏散、逃生和消防救援；（三）采用轻质不燃材料分隔；（四）分隔出的房间具备直接天然采光和自然通风条件；（五）法律、法规、规章的其他规定。禁止将房间、阳台的整体或者局部改为卫生间、厨房。原始设计为厨房、卫生间、阳台、储藏室、车库等非居住空间的，不得出租用于居住。</w:t>
            </w:r>
          </w:p>
          <w:p>
            <w:pPr>
              <w:spacing w:line="300" w:lineRule="exact"/>
              <w:rPr>
                <w:rFonts w:ascii="Times New Roman" w:hAnsi="Times New Roman"/>
                <w:color w:val="000000"/>
              </w:rPr>
            </w:pPr>
            <w:r>
              <w:rPr>
                <w:rFonts w:hint="eastAsia" w:ascii="Times New Roman" w:hAnsi="Times New Roman"/>
                <w:color w:val="000000"/>
              </w:rPr>
              <w:t>第三十七条：房地产经纪机构为本条例第十一条、第十三条规定的不符合出租条件的房屋提供租赁中介、代理服务的，由住房城乡建设主管部门责令限期改正，处三万元罚款。</w:t>
            </w:r>
          </w:p>
        </w:tc>
        <w:tc>
          <w:tcPr>
            <w:tcW w:w="524" w:type="pct"/>
            <w:noWrap w:val="0"/>
            <w:vAlign w:val="center"/>
          </w:tcPr>
          <w:p>
            <w:pPr>
              <w:jc w:val="center"/>
              <w:rPr>
                <w:rFonts w:ascii="Times New Roman" w:hAnsi="Times New Roman"/>
                <w:color w:val="000000"/>
              </w:rPr>
            </w:pPr>
            <w:r>
              <w:rPr>
                <w:rFonts w:ascii="Times New Roman" w:hAnsi="Times New Roman"/>
                <w:color w:val="000000"/>
              </w:rPr>
              <w:t>罚款</w:t>
            </w:r>
          </w:p>
        </w:tc>
        <w:tc>
          <w:tcPr>
            <w:tcW w:w="540" w:type="pct"/>
            <w:noWrap w:val="0"/>
            <w:vAlign w:val="center"/>
          </w:tcPr>
          <w:p>
            <w:pPr>
              <w:jc w:val="center"/>
              <w:rPr>
                <w:rFonts w:ascii="Times New Roman" w:hAnsi="Times New Roman"/>
                <w:color w:val="000000"/>
              </w:rPr>
            </w:pPr>
            <w:r>
              <w:rPr>
                <w:rFonts w:ascii="Times New Roman" w:hAnsi="Times New Roman"/>
                <w:color w:val="000000"/>
              </w:rPr>
              <w:t>罚款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69" w:hRule="atLeast"/>
          <w:jc w:val="center"/>
        </w:trPr>
        <w:tc>
          <w:tcPr>
            <w:tcW w:w="206" w:type="pct"/>
            <w:noWrap w:val="0"/>
            <w:vAlign w:val="center"/>
          </w:tcPr>
          <w:p>
            <w:pPr>
              <w:jc w:val="center"/>
              <w:rPr>
                <w:rFonts w:ascii="Times New Roman" w:hAnsi="Times New Roman"/>
                <w:color w:val="000000"/>
              </w:rPr>
            </w:pPr>
            <w:r>
              <w:rPr>
                <w:rFonts w:ascii="Times New Roman" w:hAnsi="Times New Roman"/>
                <w:color w:val="000000"/>
              </w:rPr>
              <w:t>6</w:t>
            </w:r>
          </w:p>
        </w:tc>
        <w:tc>
          <w:tcPr>
            <w:tcW w:w="262" w:type="pct"/>
            <w:noWrap w:val="0"/>
            <w:vAlign w:val="center"/>
          </w:tcPr>
          <w:p>
            <w:pPr>
              <w:jc w:val="center"/>
              <w:rPr>
                <w:rFonts w:ascii="Times New Roman" w:hAnsi="Times New Roman"/>
                <w:color w:val="000000"/>
              </w:rPr>
            </w:pPr>
            <w:r>
              <w:rPr>
                <w:rFonts w:ascii="Times New Roman" w:hAnsi="Times New Roman"/>
                <w:color w:val="000000"/>
              </w:rPr>
              <w:t>行政处罚</w:t>
            </w:r>
          </w:p>
        </w:tc>
        <w:tc>
          <w:tcPr>
            <w:tcW w:w="635" w:type="pct"/>
            <w:noWrap w:val="0"/>
            <w:vAlign w:val="center"/>
          </w:tcPr>
          <w:p>
            <w:pPr>
              <w:rPr>
                <w:rFonts w:ascii="Times New Roman" w:hAnsi="Times New Roman"/>
                <w:color w:val="000000"/>
              </w:rPr>
            </w:pPr>
            <w:r>
              <w:rPr>
                <w:rFonts w:hint="eastAsia" w:ascii="Times New Roman" w:hAnsi="Times New Roman"/>
                <w:color w:val="000000"/>
              </w:rPr>
              <w:t>对按间出租的出租人未向物业服务企业、业主委员会或者村（居）民委员会提供联络人员联系方式的处罚</w:t>
            </w:r>
          </w:p>
        </w:tc>
        <w:tc>
          <w:tcPr>
            <w:tcW w:w="270" w:type="pct"/>
            <w:noWrap w:val="0"/>
            <w:vAlign w:val="center"/>
          </w:tcPr>
          <w:p>
            <w:pPr>
              <w:jc w:val="center"/>
              <w:rPr>
                <w:rFonts w:ascii="Times New Roman" w:hAnsi="Times New Roman"/>
                <w:color w:val="000000"/>
              </w:rPr>
            </w:pPr>
            <w:r>
              <w:rPr>
                <w:rFonts w:ascii="Times New Roman" w:hAnsi="Times New Roman"/>
                <w:color w:val="000000"/>
              </w:rPr>
              <w:t>公安机关</w:t>
            </w:r>
          </w:p>
        </w:tc>
        <w:tc>
          <w:tcPr>
            <w:tcW w:w="2563" w:type="pct"/>
            <w:noWrap w:val="0"/>
            <w:vAlign w:val="center"/>
          </w:tcPr>
          <w:p>
            <w:pPr>
              <w:rPr>
                <w:rFonts w:ascii="Times New Roman" w:hAnsi="Times New Roman"/>
                <w:color w:val="000000"/>
              </w:rPr>
            </w:pPr>
            <w:r>
              <w:rPr>
                <w:rFonts w:ascii="Times New Roman" w:hAnsi="Times New Roman"/>
                <w:color w:val="000000"/>
              </w:rPr>
              <w:t>【地方性法规】</w:t>
            </w:r>
            <w:r>
              <w:rPr>
                <w:rFonts w:hint="eastAsia" w:ascii="Times New Roman" w:hAnsi="Times New Roman"/>
                <w:color w:val="000000"/>
              </w:rPr>
              <w:t>《常州市租赁住房安全管理条例》第二十二条第一款：住房按间出租的，出租人除应当遵守本条例第二十一条规定外，还应当确定联络人员，并向物业服务企业或者业主委员会提供联络人员的联系方式；未委托物业服务企业实施物业管理且未成立业主委员会的，向村（居）民委员会提供联系方式。联络人员应当配合相关部门和单位的管理。</w:t>
            </w:r>
          </w:p>
          <w:p>
            <w:pPr>
              <w:rPr>
                <w:rFonts w:ascii="Times New Roman" w:hAnsi="Times New Roman"/>
                <w:color w:val="000000"/>
              </w:rPr>
            </w:pPr>
            <w:r>
              <w:rPr>
                <w:rFonts w:hint="eastAsia" w:ascii="Times New Roman" w:hAnsi="Times New Roman"/>
                <w:color w:val="000000"/>
              </w:rPr>
              <w:t>第三十九第一款：违反本条例第二十二条第一款规定，出租人未向物业服务企业、业主委员会或者村（居）民委员会提供联络人员联系方式的，由公安机关责令限期改正；逾期未改正的，处二百元以上五百元以下罚款。</w:t>
            </w:r>
          </w:p>
        </w:tc>
        <w:tc>
          <w:tcPr>
            <w:tcW w:w="524" w:type="pct"/>
            <w:noWrap w:val="0"/>
            <w:vAlign w:val="center"/>
          </w:tcPr>
          <w:p>
            <w:pPr>
              <w:jc w:val="center"/>
              <w:rPr>
                <w:rFonts w:ascii="Times New Roman" w:hAnsi="Times New Roman"/>
                <w:color w:val="000000"/>
              </w:rPr>
            </w:pPr>
            <w:r>
              <w:rPr>
                <w:rFonts w:ascii="Times New Roman" w:hAnsi="Times New Roman"/>
                <w:color w:val="000000"/>
              </w:rPr>
              <w:t>罚款</w:t>
            </w:r>
          </w:p>
        </w:tc>
        <w:tc>
          <w:tcPr>
            <w:tcW w:w="540" w:type="pct"/>
            <w:noWrap w:val="0"/>
            <w:vAlign w:val="center"/>
          </w:tcPr>
          <w:p>
            <w:pPr>
              <w:jc w:val="center"/>
              <w:rPr>
                <w:rFonts w:ascii="Times New Roman" w:hAnsi="Times New Roman"/>
                <w:color w:val="000000"/>
              </w:rPr>
            </w:pPr>
            <w:r>
              <w:rPr>
                <w:rFonts w:ascii="Times New Roman" w:hAnsi="Times New Roman"/>
                <w:color w:val="000000"/>
              </w:rPr>
              <w:t>罚款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160" w:hRule="atLeast"/>
          <w:jc w:val="center"/>
        </w:trPr>
        <w:tc>
          <w:tcPr>
            <w:tcW w:w="206" w:type="pct"/>
            <w:noWrap w:val="0"/>
            <w:vAlign w:val="center"/>
          </w:tcPr>
          <w:p>
            <w:pPr>
              <w:jc w:val="center"/>
              <w:rPr>
                <w:rFonts w:ascii="Times New Roman" w:hAnsi="Times New Roman"/>
                <w:color w:val="000000"/>
              </w:rPr>
            </w:pPr>
            <w:r>
              <w:rPr>
                <w:rFonts w:ascii="Times New Roman" w:hAnsi="Times New Roman"/>
                <w:color w:val="000000"/>
              </w:rPr>
              <w:t>7</w:t>
            </w:r>
          </w:p>
        </w:tc>
        <w:tc>
          <w:tcPr>
            <w:tcW w:w="262" w:type="pct"/>
            <w:noWrap w:val="0"/>
            <w:vAlign w:val="center"/>
          </w:tcPr>
          <w:p>
            <w:pPr>
              <w:jc w:val="center"/>
              <w:rPr>
                <w:rFonts w:ascii="Times New Roman" w:hAnsi="Times New Roman"/>
                <w:color w:val="000000"/>
              </w:rPr>
            </w:pPr>
            <w:r>
              <w:rPr>
                <w:rFonts w:ascii="Times New Roman" w:hAnsi="Times New Roman"/>
                <w:color w:val="000000"/>
              </w:rPr>
              <w:t>行政处罚</w:t>
            </w:r>
          </w:p>
        </w:tc>
        <w:tc>
          <w:tcPr>
            <w:tcW w:w="635" w:type="pct"/>
            <w:noWrap w:val="0"/>
            <w:vAlign w:val="center"/>
          </w:tcPr>
          <w:p>
            <w:pPr>
              <w:rPr>
                <w:rFonts w:ascii="Times New Roman" w:hAnsi="Times New Roman"/>
                <w:color w:val="000000"/>
              </w:rPr>
            </w:pPr>
            <w:r>
              <w:rPr>
                <w:rFonts w:hint="eastAsia" w:ascii="Times New Roman" w:hAnsi="Times New Roman"/>
                <w:color w:val="000000"/>
              </w:rPr>
              <w:t>对集中居住规模较大的出租人未履行安全管理责任的处罚</w:t>
            </w:r>
          </w:p>
        </w:tc>
        <w:tc>
          <w:tcPr>
            <w:tcW w:w="270" w:type="pct"/>
            <w:noWrap w:val="0"/>
            <w:vAlign w:val="center"/>
          </w:tcPr>
          <w:p>
            <w:pPr>
              <w:jc w:val="center"/>
              <w:rPr>
                <w:rFonts w:ascii="Times New Roman" w:hAnsi="Times New Roman"/>
                <w:color w:val="000000"/>
              </w:rPr>
            </w:pPr>
            <w:r>
              <w:rPr>
                <w:rFonts w:ascii="Times New Roman" w:hAnsi="Times New Roman"/>
                <w:color w:val="000000"/>
              </w:rPr>
              <w:t>公安机关</w:t>
            </w:r>
          </w:p>
        </w:tc>
        <w:tc>
          <w:tcPr>
            <w:tcW w:w="2563" w:type="pct"/>
            <w:noWrap w:val="0"/>
            <w:vAlign w:val="center"/>
          </w:tcPr>
          <w:p>
            <w:pPr>
              <w:rPr>
                <w:rFonts w:ascii="Times New Roman" w:hAnsi="Times New Roman"/>
                <w:color w:val="000000"/>
              </w:rPr>
            </w:pPr>
            <w:r>
              <w:rPr>
                <w:rFonts w:ascii="Times New Roman" w:hAnsi="Times New Roman"/>
                <w:color w:val="000000"/>
              </w:rPr>
              <w:t>【地方性法规】</w:t>
            </w:r>
            <w:r>
              <w:rPr>
                <w:rFonts w:hint="eastAsia" w:ascii="Times New Roman" w:hAnsi="Times New Roman"/>
                <w:color w:val="000000"/>
              </w:rPr>
              <w:t>《常州市租赁住房安全管理条例》第二十二条第二款第一项：集中居住规模较大的，出租人除应当遵守前款规定外，还应当遵守下列规定：（一）建立相应的管理制度，配备管理人员，落实安全管理责任，建立信息登记簿或者登记系统。</w:t>
            </w:r>
          </w:p>
          <w:p>
            <w:pPr>
              <w:rPr>
                <w:rFonts w:ascii="Times New Roman" w:hAnsi="Times New Roman"/>
                <w:color w:val="000000"/>
              </w:rPr>
            </w:pPr>
            <w:r>
              <w:rPr>
                <w:rFonts w:hint="eastAsia" w:ascii="Times New Roman" w:hAnsi="Times New Roman"/>
                <w:color w:val="000000"/>
              </w:rPr>
              <w:t>第三十九条第二款：违反本条例第二十二条第二款第一项规定，出租人未履行安全管理责任的，由公安机关责令限期改正；逾期未改正的，处二百元以上二千元以下罚款。</w:t>
            </w:r>
          </w:p>
        </w:tc>
        <w:tc>
          <w:tcPr>
            <w:tcW w:w="524" w:type="pct"/>
            <w:noWrap w:val="0"/>
            <w:vAlign w:val="center"/>
          </w:tcPr>
          <w:p>
            <w:pPr>
              <w:jc w:val="center"/>
              <w:rPr>
                <w:rFonts w:ascii="Times New Roman" w:hAnsi="Times New Roman"/>
                <w:color w:val="000000"/>
              </w:rPr>
            </w:pPr>
            <w:r>
              <w:rPr>
                <w:rFonts w:ascii="Times New Roman" w:hAnsi="Times New Roman"/>
                <w:color w:val="000000"/>
              </w:rPr>
              <w:t>罚款</w:t>
            </w:r>
          </w:p>
        </w:tc>
        <w:tc>
          <w:tcPr>
            <w:tcW w:w="540" w:type="pct"/>
            <w:noWrap w:val="0"/>
            <w:vAlign w:val="center"/>
          </w:tcPr>
          <w:p>
            <w:pPr>
              <w:jc w:val="center"/>
              <w:rPr>
                <w:rFonts w:ascii="Times New Roman" w:hAnsi="Times New Roman"/>
                <w:color w:val="000000"/>
              </w:rPr>
            </w:pPr>
            <w:r>
              <w:rPr>
                <w:rFonts w:ascii="Times New Roman" w:hAnsi="Times New Roman"/>
                <w:color w:val="000000"/>
              </w:rPr>
              <w:t>罚款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60" w:hRule="atLeast"/>
          <w:jc w:val="center"/>
        </w:trPr>
        <w:tc>
          <w:tcPr>
            <w:tcW w:w="206" w:type="pct"/>
            <w:noWrap w:val="0"/>
            <w:vAlign w:val="center"/>
          </w:tcPr>
          <w:p>
            <w:pPr>
              <w:jc w:val="center"/>
              <w:rPr>
                <w:rFonts w:ascii="Times New Roman" w:hAnsi="Times New Roman"/>
                <w:color w:val="000000"/>
              </w:rPr>
            </w:pPr>
            <w:r>
              <w:rPr>
                <w:rFonts w:ascii="Times New Roman" w:hAnsi="Times New Roman"/>
                <w:color w:val="000000"/>
              </w:rPr>
              <w:t>8</w:t>
            </w:r>
          </w:p>
        </w:tc>
        <w:tc>
          <w:tcPr>
            <w:tcW w:w="262" w:type="pct"/>
            <w:noWrap w:val="0"/>
            <w:vAlign w:val="center"/>
          </w:tcPr>
          <w:p>
            <w:pPr>
              <w:jc w:val="center"/>
              <w:rPr>
                <w:rFonts w:ascii="Times New Roman" w:hAnsi="Times New Roman"/>
                <w:color w:val="000000"/>
              </w:rPr>
            </w:pPr>
            <w:r>
              <w:rPr>
                <w:rFonts w:ascii="Times New Roman" w:hAnsi="Times New Roman"/>
                <w:color w:val="000000"/>
              </w:rPr>
              <w:t>行政处罚</w:t>
            </w:r>
          </w:p>
        </w:tc>
        <w:tc>
          <w:tcPr>
            <w:tcW w:w="635" w:type="pct"/>
            <w:noWrap w:val="0"/>
            <w:vAlign w:val="center"/>
          </w:tcPr>
          <w:p>
            <w:pPr>
              <w:rPr>
                <w:rFonts w:ascii="Times New Roman" w:hAnsi="Times New Roman"/>
                <w:color w:val="000000"/>
              </w:rPr>
            </w:pPr>
            <w:r>
              <w:rPr>
                <w:rFonts w:hint="eastAsia" w:ascii="Times New Roman" w:hAnsi="Times New Roman"/>
                <w:color w:val="000000"/>
              </w:rPr>
              <w:t>对集中居住规模较大的出租人未按照规定安装视频监控等安全技术防范设施、保证设施正常运行、留存监控录像资料的处罚</w:t>
            </w:r>
          </w:p>
        </w:tc>
        <w:tc>
          <w:tcPr>
            <w:tcW w:w="270" w:type="pct"/>
            <w:noWrap w:val="0"/>
            <w:vAlign w:val="center"/>
          </w:tcPr>
          <w:p>
            <w:pPr>
              <w:jc w:val="center"/>
              <w:rPr>
                <w:rFonts w:ascii="Times New Roman" w:hAnsi="Times New Roman"/>
                <w:color w:val="000000"/>
              </w:rPr>
            </w:pPr>
            <w:r>
              <w:rPr>
                <w:rFonts w:ascii="Times New Roman" w:hAnsi="Times New Roman"/>
                <w:color w:val="000000"/>
              </w:rPr>
              <w:t>公安机关</w:t>
            </w:r>
          </w:p>
        </w:tc>
        <w:tc>
          <w:tcPr>
            <w:tcW w:w="2563" w:type="pct"/>
            <w:noWrap w:val="0"/>
            <w:vAlign w:val="center"/>
          </w:tcPr>
          <w:p>
            <w:pPr>
              <w:rPr>
                <w:rFonts w:ascii="Times New Roman" w:hAnsi="Times New Roman"/>
                <w:color w:val="000000"/>
              </w:rPr>
            </w:pPr>
            <w:r>
              <w:rPr>
                <w:rFonts w:ascii="Times New Roman" w:hAnsi="Times New Roman"/>
                <w:color w:val="000000"/>
              </w:rPr>
              <w:t>【地方性法规】</w:t>
            </w:r>
            <w:r>
              <w:rPr>
                <w:rFonts w:hint="eastAsia" w:ascii="Times New Roman" w:hAnsi="Times New Roman"/>
                <w:color w:val="000000"/>
              </w:rPr>
              <w:t>《常州市租赁住房安全管理条例》第二十二条第二款第二项：集中居住规模较大的，出租人除应当遵守前款规定外，还应当遵守下列规定：（二）在租赁住房的出入口、主要通道等公共区域安装视频监控等安全技术防范设施，并保证设施正常运行；留存监控录像资料连续时长不低于三十日，且留存期间不得删改、非法挪作他用。</w:t>
            </w:r>
          </w:p>
          <w:p>
            <w:pPr>
              <w:rPr>
                <w:rFonts w:ascii="Times New Roman" w:hAnsi="Times New Roman"/>
                <w:color w:val="000000"/>
              </w:rPr>
            </w:pPr>
            <w:r>
              <w:rPr>
                <w:rFonts w:hint="eastAsia" w:ascii="Times New Roman" w:hAnsi="Times New Roman"/>
                <w:color w:val="000000"/>
              </w:rPr>
              <w:t>第三十九条第三款：违反本条例第二十二条第二款第二项规定，出租人未按照规定安装视频监控等安全技术防范设施、保证设施正常运行、留存监控录像资料的，由公安机关责令改正，可以处二百元以上一千元以下罚款。</w:t>
            </w:r>
          </w:p>
        </w:tc>
        <w:tc>
          <w:tcPr>
            <w:tcW w:w="524" w:type="pct"/>
            <w:noWrap w:val="0"/>
            <w:vAlign w:val="center"/>
          </w:tcPr>
          <w:p>
            <w:pPr>
              <w:jc w:val="center"/>
              <w:rPr>
                <w:rFonts w:ascii="Times New Roman" w:hAnsi="Times New Roman"/>
                <w:color w:val="000000"/>
              </w:rPr>
            </w:pPr>
            <w:r>
              <w:rPr>
                <w:rFonts w:ascii="Times New Roman" w:hAnsi="Times New Roman"/>
                <w:color w:val="000000"/>
              </w:rPr>
              <w:t>罚款</w:t>
            </w:r>
          </w:p>
        </w:tc>
        <w:tc>
          <w:tcPr>
            <w:tcW w:w="540" w:type="pct"/>
            <w:noWrap w:val="0"/>
            <w:vAlign w:val="center"/>
          </w:tcPr>
          <w:p>
            <w:pPr>
              <w:jc w:val="center"/>
              <w:rPr>
                <w:rFonts w:ascii="Times New Roman" w:hAnsi="Times New Roman"/>
                <w:color w:val="000000"/>
              </w:rPr>
            </w:pPr>
            <w:r>
              <w:rPr>
                <w:rFonts w:ascii="Times New Roman" w:hAnsi="Times New Roman"/>
                <w:color w:val="000000"/>
              </w:rPr>
              <w:t>罚款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10" w:hRule="atLeast"/>
          <w:jc w:val="center"/>
        </w:trPr>
        <w:tc>
          <w:tcPr>
            <w:tcW w:w="206" w:type="pct"/>
            <w:noWrap w:val="0"/>
            <w:vAlign w:val="center"/>
          </w:tcPr>
          <w:p>
            <w:pPr>
              <w:jc w:val="center"/>
              <w:rPr>
                <w:rFonts w:ascii="Times New Roman" w:hAnsi="Times New Roman"/>
                <w:color w:val="000000"/>
              </w:rPr>
            </w:pPr>
            <w:r>
              <w:rPr>
                <w:rFonts w:ascii="Times New Roman" w:hAnsi="Times New Roman"/>
                <w:color w:val="000000"/>
              </w:rPr>
              <w:t>9</w:t>
            </w:r>
          </w:p>
        </w:tc>
        <w:tc>
          <w:tcPr>
            <w:tcW w:w="262" w:type="pct"/>
            <w:noWrap w:val="0"/>
            <w:vAlign w:val="center"/>
          </w:tcPr>
          <w:p>
            <w:pPr>
              <w:jc w:val="center"/>
              <w:rPr>
                <w:rFonts w:ascii="Times New Roman" w:hAnsi="Times New Roman"/>
                <w:color w:val="000000"/>
              </w:rPr>
            </w:pPr>
            <w:r>
              <w:rPr>
                <w:rFonts w:hint="eastAsia" w:ascii="Times New Roman" w:hAnsi="Times New Roman"/>
                <w:color w:val="000000"/>
              </w:rPr>
              <w:t>其他</w:t>
            </w:r>
          </w:p>
        </w:tc>
        <w:tc>
          <w:tcPr>
            <w:tcW w:w="635" w:type="pct"/>
            <w:noWrap w:val="0"/>
            <w:vAlign w:val="center"/>
          </w:tcPr>
          <w:p>
            <w:pPr>
              <w:rPr>
                <w:rFonts w:ascii="Times New Roman" w:hAnsi="Times New Roman"/>
                <w:color w:val="000000"/>
              </w:rPr>
            </w:pPr>
            <w:r>
              <w:rPr>
                <w:rFonts w:hint="eastAsia" w:ascii="Times New Roman" w:hAnsi="Times New Roman"/>
                <w:color w:val="000000"/>
              </w:rPr>
              <w:t>公共停车场备案</w:t>
            </w:r>
          </w:p>
        </w:tc>
        <w:tc>
          <w:tcPr>
            <w:tcW w:w="270" w:type="pct"/>
            <w:noWrap w:val="0"/>
            <w:vAlign w:val="center"/>
          </w:tcPr>
          <w:p>
            <w:pPr>
              <w:jc w:val="center"/>
              <w:rPr>
                <w:rFonts w:ascii="Times New Roman" w:hAnsi="Times New Roman"/>
                <w:color w:val="000000"/>
              </w:rPr>
            </w:pPr>
            <w:r>
              <w:rPr>
                <w:rFonts w:ascii="Times New Roman" w:hAnsi="Times New Roman"/>
                <w:color w:val="000000"/>
              </w:rPr>
              <w:t>公安机关</w:t>
            </w:r>
          </w:p>
        </w:tc>
        <w:tc>
          <w:tcPr>
            <w:tcW w:w="2563" w:type="pct"/>
            <w:noWrap w:val="0"/>
            <w:vAlign w:val="center"/>
          </w:tcPr>
          <w:p>
            <w:pPr>
              <w:spacing w:line="290" w:lineRule="exact"/>
              <w:rPr>
                <w:rFonts w:ascii="Times New Roman" w:hAnsi="Times New Roman"/>
                <w:color w:val="000000"/>
              </w:rPr>
            </w:pPr>
            <w:r>
              <w:rPr>
                <w:rFonts w:ascii="Times New Roman" w:hAnsi="Times New Roman"/>
                <w:color w:val="000000"/>
              </w:rPr>
              <w:t>【</w:t>
            </w:r>
            <w:r>
              <w:rPr>
                <w:rFonts w:hint="eastAsia" w:ascii="Times New Roman" w:hAnsi="Times New Roman"/>
                <w:color w:val="000000"/>
              </w:rPr>
              <w:t>政府规章</w:t>
            </w:r>
            <w:r>
              <w:rPr>
                <w:rFonts w:ascii="Times New Roman" w:hAnsi="Times New Roman"/>
                <w:color w:val="000000"/>
              </w:rPr>
              <w:t>】</w:t>
            </w:r>
            <w:r>
              <w:rPr>
                <w:rFonts w:hint="eastAsia" w:ascii="Times New Roman" w:hAnsi="Times New Roman"/>
                <w:color w:val="000000"/>
              </w:rPr>
              <w:t>《常州市机动车停车场管理办法》第二十二条第一款：公共停车场经营者应当依法办理工商登记、税务、价格等手续，并在停车场使用前十五日内，持停车场平面图、停车设施设备清单和安全管理制度等材料向公安机关交通管理部门备案。</w:t>
            </w:r>
          </w:p>
        </w:tc>
        <w:tc>
          <w:tcPr>
            <w:tcW w:w="524" w:type="pct"/>
            <w:noWrap w:val="0"/>
            <w:vAlign w:val="center"/>
          </w:tcPr>
          <w:p>
            <w:pPr>
              <w:jc w:val="center"/>
              <w:rPr>
                <w:rFonts w:ascii="Times New Roman" w:hAnsi="Times New Roman"/>
                <w:color w:val="000000"/>
              </w:rPr>
            </w:pPr>
            <w:r>
              <w:rPr>
                <w:rFonts w:hint="eastAsia" w:ascii="Times New Roman" w:hAnsi="Times New Roman"/>
                <w:color w:val="000000"/>
              </w:rPr>
              <w:t>备案</w:t>
            </w:r>
          </w:p>
        </w:tc>
        <w:tc>
          <w:tcPr>
            <w:tcW w:w="540" w:type="pct"/>
            <w:noWrap w:val="0"/>
            <w:vAlign w:val="center"/>
          </w:tcPr>
          <w:p>
            <w:pPr>
              <w:jc w:val="center"/>
              <w:rPr>
                <w:rFonts w:ascii="Times New Roman" w:hAnsi="Times New Roman"/>
                <w:color w:val="000000"/>
              </w:rPr>
            </w:pPr>
            <w:r>
              <w:rPr>
                <w:rFonts w:hint="eastAsia" w:ascii="Times New Roman" w:hAnsi="Times New Roman"/>
                <w:color w:val="000000"/>
              </w:rPr>
              <w:t>备案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9" w:hRule="atLeast"/>
          <w:jc w:val="center"/>
        </w:trPr>
        <w:tc>
          <w:tcPr>
            <w:tcW w:w="206" w:type="pct"/>
            <w:noWrap w:val="0"/>
            <w:vAlign w:val="center"/>
          </w:tcPr>
          <w:p>
            <w:pPr>
              <w:jc w:val="center"/>
              <w:rPr>
                <w:rFonts w:ascii="Times New Roman" w:hAnsi="Times New Roman"/>
                <w:color w:val="000000"/>
              </w:rPr>
            </w:pPr>
            <w:r>
              <w:rPr>
                <w:rFonts w:ascii="Times New Roman" w:hAnsi="Times New Roman"/>
                <w:color w:val="000000"/>
              </w:rPr>
              <w:t>10</w:t>
            </w:r>
          </w:p>
        </w:tc>
        <w:tc>
          <w:tcPr>
            <w:tcW w:w="262" w:type="pct"/>
            <w:noWrap w:val="0"/>
            <w:vAlign w:val="center"/>
          </w:tcPr>
          <w:p>
            <w:pPr>
              <w:jc w:val="center"/>
              <w:rPr>
                <w:rFonts w:ascii="Times New Roman" w:hAnsi="Times New Roman"/>
                <w:color w:val="000000"/>
              </w:rPr>
            </w:pPr>
            <w:r>
              <w:rPr>
                <w:rFonts w:ascii="Times New Roman" w:hAnsi="Times New Roman"/>
                <w:color w:val="000000"/>
              </w:rPr>
              <w:t>行政处罚</w:t>
            </w:r>
          </w:p>
        </w:tc>
        <w:tc>
          <w:tcPr>
            <w:tcW w:w="635" w:type="pct"/>
            <w:noWrap w:val="0"/>
            <w:vAlign w:val="center"/>
          </w:tcPr>
          <w:p>
            <w:pPr>
              <w:spacing w:line="290" w:lineRule="exact"/>
              <w:rPr>
                <w:rFonts w:ascii="Times New Roman" w:hAnsi="Times New Roman"/>
                <w:color w:val="000000"/>
              </w:rPr>
            </w:pPr>
            <w:r>
              <w:rPr>
                <w:rFonts w:hint="eastAsia" w:ascii="Times New Roman" w:hAnsi="Times New Roman"/>
                <w:color w:val="000000"/>
              </w:rPr>
              <w:t>对游泳场所的原水、游泳池水、沐浴用水水质不符合国家卫生标准的处罚</w:t>
            </w:r>
          </w:p>
        </w:tc>
        <w:tc>
          <w:tcPr>
            <w:tcW w:w="270" w:type="pct"/>
            <w:noWrap w:val="0"/>
            <w:vAlign w:val="center"/>
          </w:tcPr>
          <w:p>
            <w:pPr>
              <w:jc w:val="center"/>
              <w:rPr>
                <w:rFonts w:ascii="Times New Roman" w:hAnsi="Times New Roman"/>
                <w:color w:val="000000"/>
              </w:rPr>
            </w:pPr>
            <w:r>
              <w:rPr>
                <w:rFonts w:hint="eastAsia" w:ascii="Times New Roman" w:hAnsi="Times New Roman"/>
                <w:color w:val="000000"/>
              </w:rPr>
              <w:t>卫生健康主管部门</w:t>
            </w:r>
          </w:p>
        </w:tc>
        <w:tc>
          <w:tcPr>
            <w:tcW w:w="2563" w:type="pct"/>
            <w:noWrap w:val="0"/>
            <w:vAlign w:val="center"/>
          </w:tcPr>
          <w:p>
            <w:pPr>
              <w:spacing w:line="290" w:lineRule="exact"/>
              <w:rPr>
                <w:rFonts w:ascii="Times New Roman" w:hAnsi="Times New Roman"/>
                <w:color w:val="000000"/>
              </w:rPr>
            </w:pPr>
            <w:r>
              <w:rPr>
                <w:rFonts w:ascii="Times New Roman" w:hAnsi="Times New Roman"/>
                <w:color w:val="000000"/>
              </w:rPr>
              <w:t>【</w:t>
            </w:r>
            <w:r>
              <w:rPr>
                <w:rFonts w:hint="eastAsia" w:ascii="Times New Roman" w:hAnsi="Times New Roman"/>
                <w:color w:val="000000"/>
              </w:rPr>
              <w:t>政府规章</w:t>
            </w:r>
            <w:r>
              <w:rPr>
                <w:rFonts w:ascii="Times New Roman" w:hAnsi="Times New Roman"/>
                <w:color w:val="000000"/>
              </w:rPr>
              <w:t>】</w:t>
            </w:r>
            <w:r>
              <w:rPr>
                <w:rFonts w:hint="eastAsia" w:ascii="Times New Roman" w:hAnsi="Times New Roman"/>
                <w:color w:val="000000"/>
              </w:rPr>
              <w:t>《常州市游泳场所卫生管理办法》第十四条第一款：游泳场所的原水、游泳池水以及沐浴用水水质应当符合国家卫生标准。</w:t>
            </w:r>
          </w:p>
          <w:p>
            <w:pPr>
              <w:spacing w:line="290" w:lineRule="exact"/>
              <w:rPr>
                <w:rFonts w:ascii="Times New Roman" w:hAnsi="Times New Roman"/>
                <w:color w:val="000000"/>
              </w:rPr>
            </w:pPr>
            <w:r>
              <w:rPr>
                <w:rFonts w:hint="eastAsia" w:ascii="Times New Roman" w:hAnsi="Times New Roman"/>
                <w:color w:val="000000"/>
              </w:rPr>
              <w:t>第二十二条：违反本办法第十四条第一款规定，游泳场所的原水、游泳池水、沐浴用水水质不符合国家卫生标准的，由卫生健康主管部门责令限期改正，给予警告，可以并处一千元以上一万元以下罚款。</w:t>
            </w:r>
          </w:p>
        </w:tc>
        <w:tc>
          <w:tcPr>
            <w:tcW w:w="524" w:type="pct"/>
            <w:noWrap w:val="0"/>
            <w:vAlign w:val="center"/>
          </w:tcPr>
          <w:p>
            <w:pPr>
              <w:rPr>
                <w:rFonts w:ascii="Times New Roman" w:hAnsi="Times New Roman"/>
                <w:color w:val="000000"/>
              </w:rPr>
            </w:pPr>
          </w:p>
        </w:tc>
        <w:tc>
          <w:tcPr>
            <w:tcW w:w="540" w:type="pct"/>
            <w:noWrap w:val="0"/>
            <w:vAlign w:val="center"/>
          </w:tcPr>
          <w:p>
            <w:pPr>
              <w:jc w:val="center"/>
              <w:rPr>
                <w:rFonts w:ascii="Times New Roman" w:hAnsi="Times New Roman"/>
                <w:color w:val="000000"/>
              </w:rPr>
            </w:pPr>
            <w:r>
              <w:rPr>
                <w:rFonts w:hint="eastAsia" w:ascii="Times New Roman" w:hAnsi="Times New Roman"/>
                <w:color w:val="000000"/>
              </w:rPr>
              <w:t>警告、罚款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80" w:hRule="atLeast"/>
          <w:jc w:val="center"/>
        </w:trPr>
        <w:tc>
          <w:tcPr>
            <w:tcW w:w="206" w:type="pct"/>
            <w:noWrap w:val="0"/>
            <w:vAlign w:val="center"/>
          </w:tcPr>
          <w:p>
            <w:pPr>
              <w:jc w:val="center"/>
              <w:rPr>
                <w:rFonts w:ascii="Times New Roman" w:hAnsi="Times New Roman"/>
                <w:color w:val="000000"/>
              </w:rPr>
            </w:pPr>
            <w:r>
              <w:rPr>
                <w:rFonts w:ascii="Times New Roman" w:hAnsi="Times New Roman"/>
                <w:color w:val="000000"/>
              </w:rPr>
              <w:t>11</w:t>
            </w:r>
          </w:p>
        </w:tc>
        <w:tc>
          <w:tcPr>
            <w:tcW w:w="262" w:type="pct"/>
            <w:noWrap w:val="0"/>
            <w:vAlign w:val="center"/>
          </w:tcPr>
          <w:p>
            <w:pPr>
              <w:jc w:val="center"/>
              <w:rPr>
                <w:rFonts w:ascii="Times New Roman" w:hAnsi="Times New Roman"/>
                <w:color w:val="000000"/>
              </w:rPr>
            </w:pPr>
            <w:r>
              <w:rPr>
                <w:rFonts w:ascii="Times New Roman" w:hAnsi="Times New Roman"/>
                <w:color w:val="000000"/>
              </w:rPr>
              <w:t>行政处罚</w:t>
            </w:r>
          </w:p>
        </w:tc>
        <w:tc>
          <w:tcPr>
            <w:tcW w:w="635" w:type="pct"/>
            <w:noWrap w:val="0"/>
            <w:vAlign w:val="center"/>
          </w:tcPr>
          <w:p>
            <w:pPr>
              <w:rPr>
                <w:rFonts w:ascii="Times New Roman" w:hAnsi="Times New Roman"/>
                <w:color w:val="000000"/>
              </w:rPr>
            </w:pPr>
            <w:r>
              <w:rPr>
                <w:rFonts w:hint="eastAsia" w:ascii="Times New Roman" w:hAnsi="Times New Roman"/>
                <w:color w:val="000000"/>
              </w:rPr>
              <w:t>对游泳场所室内空气、微小气候、采光、照明、噪声、集中空调通风系统以及公共用品用具等卫生质量不符合国家卫生标准的处罚</w:t>
            </w:r>
          </w:p>
        </w:tc>
        <w:tc>
          <w:tcPr>
            <w:tcW w:w="270" w:type="pct"/>
            <w:noWrap w:val="0"/>
            <w:vAlign w:val="center"/>
          </w:tcPr>
          <w:p>
            <w:pPr>
              <w:jc w:val="center"/>
              <w:rPr>
                <w:rFonts w:ascii="Times New Roman" w:hAnsi="Times New Roman"/>
                <w:color w:val="000000"/>
              </w:rPr>
            </w:pPr>
            <w:r>
              <w:rPr>
                <w:rFonts w:hint="eastAsia" w:ascii="Times New Roman" w:hAnsi="Times New Roman"/>
                <w:color w:val="000000"/>
              </w:rPr>
              <w:t>卫生健康主管部门</w:t>
            </w:r>
          </w:p>
        </w:tc>
        <w:tc>
          <w:tcPr>
            <w:tcW w:w="2563" w:type="pct"/>
            <w:noWrap w:val="0"/>
            <w:vAlign w:val="center"/>
          </w:tcPr>
          <w:p>
            <w:pPr>
              <w:spacing w:line="290" w:lineRule="exact"/>
              <w:rPr>
                <w:rFonts w:ascii="Times New Roman" w:hAnsi="Times New Roman"/>
                <w:color w:val="000000"/>
              </w:rPr>
            </w:pPr>
            <w:r>
              <w:rPr>
                <w:rFonts w:ascii="Times New Roman" w:hAnsi="Times New Roman"/>
                <w:color w:val="000000"/>
              </w:rPr>
              <w:t>【</w:t>
            </w:r>
            <w:r>
              <w:rPr>
                <w:rFonts w:hint="eastAsia" w:ascii="Times New Roman" w:hAnsi="Times New Roman"/>
                <w:color w:val="000000"/>
              </w:rPr>
              <w:t>政府规章</w:t>
            </w:r>
            <w:r>
              <w:rPr>
                <w:rFonts w:ascii="Times New Roman" w:hAnsi="Times New Roman"/>
                <w:color w:val="000000"/>
              </w:rPr>
              <w:t>】</w:t>
            </w:r>
            <w:r>
              <w:rPr>
                <w:rFonts w:hint="eastAsia" w:ascii="Times New Roman" w:hAnsi="Times New Roman"/>
                <w:color w:val="000000"/>
              </w:rPr>
              <w:t>《常州市游泳场所卫生管理办法》第十五条第一款：游泳场所应当按照国家卫生标准和卫生规范，对游泳场所的水质、室内空气、微小气候、采光、照明、噪声、集中空调通风系统以及公共用品用具等进行卫生检测并出具检测报告，检测每年不得少于一次；检测结果不符合国家卫生标准、规范的应当及时整改。游泳场所不具备检测能力的，可以委托检测。季节性开放的游泳场所应当在开放前进行卫生检测，检测合格后方可开放。</w:t>
            </w:r>
          </w:p>
          <w:p>
            <w:pPr>
              <w:spacing w:line="290" w:lineRule="exact"/>
              <w:rPr>
                <w:rFonts w:ascii="Times New Roman" w:hAnsi="Times New Roman"/>
                <w:color w:val="000000"/>
              </w:rPr>
            </w:pPr>
            <w:r>
              <w:rPr>
                <w:rFonts w:hint="eastAsia" w:ascii="Times New Roman" w:hAnsi="Times New Roman"/>
                <w:color w:val="000000"/>
              </w:rPr>
              <w:t>第二十三条第一款：违反本办法第十五条第一款规定，游泳场所室内空气、微小气候、采光、照明、噪声、集中空调通风系统以及公共用品用具等卫生质量不符合国家卫生标准的，由卫生健康主管部门责令限期改正，给予警告，可以并处一千元以上一万元以下罚款。</w:t>
            </w:r>
          </w:p>
        </w:tc>
        <w:tc>
          <w:tcPr>
            <w:tcW w:w="524" w:type="pct"/>
            <w:noWrap w:val="0"/>
            <w:vAlign w:val="center"/>
          </w:tcPr>
          <w:p>
            <w:pPr>
              <w:rPr>
                <w:rFonts w:ascii="Times New Roman" w:hAnsi="Times New Roman"/>
                <w:color w:val="000000"/>
              </w:rPr>
            </w:pPr>
          </w:p>
        </w:tc>
        <w:tc>
          <w:tcPr>
            <w:tcW w:w="540" w:type="pct"/>
            <w:noWrap w:val="0"/>
            <w:vAlign w:val="center"/>
          </w:tcPr>
          <w:p>
            <w:pPr>
              <w:jc w:val="center"/>
              <w:rPr>
                <w:rFonts w:ascii="Times New Roman" w:hAnsi="Times New Roman"/>
                <w:color w:val="000000"/>
              </w:rPr>
            </w:pPr>
            <w:r>
              <w:rPr>
                <w:rFonts w:hint="eastAsia" w:ascii="Times New Roman" w:hAnsi="Times New Roman"/>
                <w:color w:val="000000"/>
              </w:rPr>
              <w:t>警告、罚款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0" w:hRule="atLeast"/>
          <w:jc w:val="center"/>
        </w:trPr>
        <w:tc>
          <w:tcPr>
            <w:tcW w:w="206" w:type="pct"/>
            <w:noWrap w:val="0"/>
            <w:vAlign w:val="center"/>
          </w:tcPr>
          <w:p>
            <w:pPr>
              <w:jc w:val="center"/>
              <w:rPr>
                <w:rFonts w:ascii="Times New Roman" w:hAnsi="Times New Roman"/>
                <w:color w:val="000000"/>
              </w:rPr>
            </w:pPr>
            <w:r>
              <w:rPr>
                <w:rFonts w:ascii="Times New Roman" w:hAnsi="Times New Roman"/>
                <w:color w:val="000000"/>
              </w:rPr>
              <w:t>12</w:t>
            </w:r>
          </w:p>
        </w:tc>
        <w:tc>
          <w:tcPr>
            <w:tcW w:w="262" w:type="pct"/>
            <w:noWrap w:val="0"/>
            <w:vAlign w:val="center"/>
          </w:tcPr>
          <w:p>
            <w:pPr>
              <w:jc w:val="center"/>
              <w:rPr>
                <w:rFonts w:ascii="Times New Roman" w:hAnsi="Times New Roman"/>
                <w:color w:val="000000"/>
              </w:rPr>
            </w:pPr>
            <w:r>
              <w:rPr>
                <w:rFonts w:ascii="Times New Roman" w:hAnsi="Times New Roman"/>
                <w:color w:val="000000"/>
              </w:rPr>
              <w:t>行政处罚</w:t>
            </w:r>
          </w:p>
        </w:tc>
        <w:tc>
          <w:tcPr>
            <w:tcW w:w="635" w:type="pct"/>
            <w:noWrap w:val="0"/>
            <w:vAlign w:val="center"/>
          </w:tcPr>
          <w:p>
            <w:pPr>
              <w:rPr>
                <w:rFonts w:ascii="Times New Roman" w:hAnsi="Times New Roman"/>
                <w:color w:val="000000"/>
              </w:rPr>
            </w:pPr>
            <w:r>
              <w:rPr>
                <w:rFonts w:hint="eastAsia" w:ascii="Times New Roman" w:hAnsi="Times New Roman"/>
                <w:color w:val="000000"/>
              </w:rPr>
              <w:t>对游泳场所未开展日常检测并公示检测结果的处罚</w:t>
            </w:r>
          </w:p>
        </w:tc>
        <w:tc>
          <w:tcPr>
            <w:tcW w:w="270" w:type="pct"/>
            <w:noWrap w:val="0"/>
            <w:vAlign w:val="center"/>
          </w:tcPr>
          <w:p>
            <w:pPr>
              <w:jc w:val="center"/>
              <w:rPr>
                <w:rFonts w:ascii="Times New Roman" w:hAnsi="Times New Roman"/>
                <w:color w:val="000000"/>
              </w:rPr>
            </w:pPr>
            <w:r>
              <w:rPr>
                <w:rFonts w:hint="eastAsia" w:ascii="Times New Roman" w:hAnsi="Times New Roman"/>
                <w:color w:val="000000"/>
              </w:rPr>
              <w:t>卫生健康主管部门</w:t>
            </w:r>
          </w:p>
        </w:tc>
        <w:tc>
          <w:tcPr>
            <w:tcW w:w="2563" w:type="pct"/>
            <w:noWrap w:val="0"/>
            <w:vAlign w:val="center"/>
          </w:tcPr>
          <w:p>
            <w:pPr>
              <w:spacing w:line="290" w:lineRule="exact"/>
              <w:rPr>
                <w:rFonts w:ascii="Times New Roman" w:hAnsi="Times New Roman"/>
                <w:color w:val="000000"/>
              </w:rPr>
            </w:pPr>
            <w:r>
              <w:rPr>
                <w:rFonts w:ascii="Times New Roman" w:hAnsi="Times New Roman"/>
                <w:color w:val="000000"/>
              </w:rPr>
              <w:t>【</w:t>
            </w:r>
            <w:r>
              <w:rPr>
                <w:rFonts w:hint="eastAsia" w:ascii="Times New Roman" w:hAnsi="Times New Roman"/>
                <w:color w:val="000000"/>
              </w:rPr>
              <w:t>政府规章</w:t>
            </w:r>
            <w:r>
              <w:rPr>
                <w:rFonts w:ascii="Times New Roman" w:hAnsi="Times New Roman"/>
                <w:color w:val="000000"/>
              </w:rPr>
              <w:t>】</w:t>
            </w:r>
            <w:r>
              <w:rPr>
                <w:rFonts w:hint="eastAsia" w:ascii="Times New Roman" w:hAnsi="Times New Roman"/>
                <w:color w:val="000000"/>
              </w:rPr>
              <w:t>《常州市游泳场所卫生管理办法》第十五条第二款：游泳场所应当配备水质检测设备，在开放期间组织开展游离性余氯、pH值、温度等水质指标日常检测，检测频次应当符合卫生规范要求，检测结果应当在游泳场所显著位置公示并及时更新。</w:t>
            </w:r>
          </w:p>
          <w:p>
            <w:pPr>
              <w:spacing w:line="290" w:lineRule="exact"/>
              <w:rPr>
                <w:rFonts w:ascii="Times New Roman" w:hAnsi="Times New Roman"/>
                <w:color w:val="000000"/>
              </w:rPr>
            </w:pPr>
            <w:r>
              <w:rPr>
                <w:rFonts w:hint="eastAsia" w:ascii="Times New Roman" w:hAnsi="Times New Roman"/>
                <w:color w:val="000000"/>
              </w:rPr>
              <w:t>第二十三条第二款：违反本办法第十五条第二款规定，游泳场所未开展日常检测并公示检测结果的，由卫生健康主管部门责令限期改正；逾期不改正的，给予警告，并处一千元以上一万元以下罚款。</w:t>
            </w:r>
          </w:p>
        </w:tc>
        <w:tc>
          <w:tcPr>
            <w:tcW w:w="524" w:type="pct"/>
            <w:noWrap w:val="0"/>
            <w:vAlign w:val="center"/>
          </w:tcPr>
          <w:p>
            <w:pPr>
              <w:rPr>
                <w:rFonts w:ascii="Times New Roman" w:hAnsi="Times New Roman"/>
                <w:color w:val="000000"/>
              </w:rPr>
            </w:pPr>
          </w:p>
        </w:tc>
        <w:tc>
          <w:tcPr>
            <w:tcW w:w="540" w:type="pct"/>
            <w:noWrap w:val="0"/>
            <w:vAlign w:val="center"/>
          </w:tcPr>
          <w:p>
            <w:pPr>
              <w:jc w:val="center"/>
              <w:rPr>
                <w:rFonts w:ascii="Times New Roman" w:hAnsi="Times New Roman"/>
                <w:color w:val="000000"/>
              </w:rPr>
            </w:pPr>
            <w:r>
              <w:rPr>
                <w:rFonts w:hint="eastAsia" w:ascii="Times New Roman" w:hAnsi="Times New Roman"/>
                <w:color w:val="000000"/>
              </w:rPr>
              <w:t>警告、罚款</w:t>
            </w:r>
          </w:p>
        </w:tc>
      </w:tr>
    </w:tbl>
    <w:p>
      <w:pPr>
        <w:spacing w:line="200" w:lineRule="exact"/>
        <w:rPr>
          <w:rFonts w:ascii="Times New Roman" w:hAnsi="Times New Roman"/>
          <w:color w:val="000000"/>
        </w:rPr>
        <w:sectPr>
          <w:pgSz w:w="16838" w:h="11906" w:orient="landscape"/>
          <w:pgMar w:top="1531" w:right="1418" w:bottom="1531" w:left="1418" w:header="709" w:footer="1361" w:gutter="0"/>
          <w:cols w:space="425" w:num="1"/>
          <w:docGrid w:type="lines" w:linePitch="312" w:charSpace="0"/>
        </w:sectPr>
      </w:pPr>
    </w:p>
    <w:p>
      <w:pPr>
        <w:overflowPunct w:val="0"/>
        <w:autoSpaceDE w:val="0"/>
        <w:autoSpaceDN w:val="0"/>
        <w:adjustRightInd w:val="0"/>
        <w:snapToGrid w:val="0"/>
        <w:spacing w:before="120" w:after="120" w:line="570" w:lineRule="exact"/>
        <w:jc w:val="center"/>
        <w:rPr>
          <w:rFonts w:ascii="Times New Roman" w:hAnsi="Times New Roman" w:eastAsia="方正黑体_GBK"/>
          <w:color w:val="000000"/>
          <w:sz w:val="32"/>
          <w:szCs w:val="32"/>
        </w:rPr>
      </w:pPr>
      <w:r>
        <w:rPr>
          <w:rFonts w:ascii="Times New Roman" w:hAnsi="Times New Roman" w:eastAsia="方正黑体_GBK"/>
          <w:color w:val="000000"/>
          <w:sz w:val="32"/>
          <w:szCs w:val="32"/>
        </w:rPr>
        <w:t>（二）取消权力事项（3项）</w:t>
      </w:r>
    </w:p>
    <w:tbl>
      <w:tblPr>
        <w:tblStyle w:val="3"/>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58"/>
        <w:gridCol w:w="2268"/>
        <w:gridCol w:w="5814"/>
        <w:gridCol w:w="2693"/>
        <w:gridCol w:w="244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9" w:hRule="atLeast"/>
          <w:jc w:val="center"/>
        </w:trPr>
        <w:tc>
          <w:tcPr>
            <w:tcW w:w="338" w:type="pct"/>
            <w:noWrap w:val="0"/>
            <w:vAlign w:val="center"/>
          </w:tcPr>
          <w:p>
            <w:pPr>
              <w:jc w:val="center"/>
              <w:rPr>
                <w:rFonts w:ascii="Times New Roman" w:hAnsi="Times New Roman" w:eastAsia="方正黑体_GBK"/>
                <w:color w:val="000000"/>
                <w:szCs w:val="21"/>
              </w:rPr>
            </w:pPr>
            <w:r>
              <w:rPr>
                <w:rFonts w:ascii="Times New Roman" w:hAnsi="Times New Roman" w:eastAsia="方正黑体_GBK"/>
                <w:color w:val="000000"/>
                <w:szCs w:val="21"/>
              </w:rPr>
              <w:t>序号</w:t>
            </w:r>
          </w:p>
        </w:tc>
        <w:tc>
          <w:tcPr>
            <w:tcW w:w="800" w:type="pct"/>
            <w:noWrap w:val="0"/>
            <w:vAlign w:val="center"/>
          </w:tcPr>
          <w:p>
            <w:pPr>
              <w:jc w:val="center"/>
              <w:rPr>
                <w:rFonts w:ascii="Times New Roman" w:hAnsi="Times New Roman" w:eastAsia="方正黑体_GBK"/>
                <w:color w:val="000000"/>
                <w:szCs w:val="21"/>
              </w:rPr>
            </w:pPr>
            <w:r>
              <w:rPr>
                <w:rFonts w:ascii="Times New Roman" w:hAnsi="Times New Roman" w:eastAsia="方正黑体_GBK"/>
                <w:color w:val="000000"/>
                <w:szCs w:val="21"/>
              </w:rPr>
              <w:t>权力类型</w:t>
            </w:r>
          </w:p>
        </w:tc>
        <w:tc>
          <w:tcPr>
            <w:tcW w:w="2051" w:type="pct"/>
            <w:noWrap w:val="0"/>
            <w:vAlign w:val="center"/>
          </w:tcPr>
          <w:p>
            <w:pPr>
              <w:jc w:val="center"/>
              <w:rPr>
                <w:rFonts w:ascii="Times New Roman" w:hAnsi="Times New Roman" w:eastAsia="方正黑体_GBK"/>
                <w:color w:val="000000"/>
                <w:szCs w:val="21"/>
              </w:rPr>
            </w:pPr>
            <w:r>
              <w:rPr>
                <w:rFonts w:ascii="Times New Roman" w:hAnsi="Times New Roman" w:eastAsia="方正黑体_GBK"/>
                <w:color w:val="000000"/>
                <w:szCs w:val="21"/>
              </w:rPr>
              <w:t>权力事项名称</w:t>
            </w:r>
          </w:p>
        </w:tc>
        <w:tc>
          <w:tcPr>
            <w:tcW w:w="950" w:type="pct"/>
            <w:noWrap w:val="0"/>
            <w:vAlign w:val="center"/>
          </w:tcPr>
          <w:p>
            <w:pPr>
              <w:jc w:val="center"/>
              <w:rPr>
                <w:rFonts w:ascii="Times New Roman" w:hAnsi="Times New Roman" w:eastAsia="方正黑体_GBK"/>
                <w:color w:val="000000"/>
                <w:szCs w:val="21"/>
              </w:rPr>
            </w:pPr>
            <w:r>
              <w:rPr>
                <w:rFonts w:ascii="Times New Roman" w:hAnsi="Times New Roman" w:eastAsia="方正黑体_GBK"/>
                <w:color w:val="000000"/>
                <w:szCs w:val="21"/>
              </w:rPr>
              <w:t>原权力部门</w:t>
            </w:r>
          </w:p>
        </w:tc>
        <w:tc>
          <w:tcPr>
            <w:tcW w:w="861" w:type="pct"/>
            <w:noWrap w:val="0"/>
            <w:vAlign w:val="center"/>
          </w:tcPr>
          <w:p>
            <w:pPr>
              <w:jc w:val="center"/>
              <w:rPr>
                <w:rFonts w:ascii="Times New Roman" w:hAnsi="Times New Roman" w:eastAsia="方正黑体_GBK"/>
                <w:color w:val="000000"/>
                <w:szCs w:val="21"/>
              </w:rPr>
            </w:pPr>
            <w:r>
              <w:rPr>
                <w:rFonts w:ascii="Times New Roman" w:hAnsi="Times New Roman" w:eastAsia="方正黑体_GBK"/>
                <w:color w:val="000000"/>
                <w:szCs w:val="21"/>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28" w:hRule="atLeast"/>
          <w:jc w:val="center"/>
        </w:trPr>
        <w:tc>
          <w:tcPr>
            <w:tcW w:w="338" w:type="pct"/>
            <w:noWrap w:val="0"/>
            <w:vAlign w:val="center"/>
          </w:tcPr>
          <w:p>
            <w:pPr>
              <w:jc w:val="center"/>
              <w:rPr>
                <w:rFonts w:ascii="Times New Roman" w:hAnsi="Times New Roman"/>
                <w:color w:val="000000"/>
              </w:rPr>
            </w:pPr>
            <w:r>
              <w:rPr>
                <w:rFonts w:ascii="Times New Roman" w:hAnsi="Times New Roman"/>
                <w:color w:val="000000"/>
              </w:rPr>
              <w:t>1</w:t>
            </w:r>
          </w:p>
        </w:tc>
        <w:tc>
          <w:tcPr>
            <w:tcW w:w="800" w:type="pct"/>
            <w:noWrap w:val="0"/>
            <w:vAlign w:val="center"/>
          </w:tcPr>
          <w:p>
            <w:pPr>
              <w:jc w:val="center"/>
              <w:rPr>
                <w:rFonts w:ascii="Times New Roman" w:hAnsi="Times New Roman"/>
                <w:color w:val="000000"/>
              </w:rPr>
            </w:pPr>
            <w:r>
              <w:rPr>
                <w:rFonts w:hint="eastAsia" w:ascii="Times New Roman" w:hAnsi="Times New Roman"/>
                <w:color w:val="000000"/>
              </w:rPr>
              <w:t>其他</w:t>
            </w:r>
          </w:p>
        </w:tc>
        <w:tc>
          <w:tcPr>
            <w:tcW w:w="2051" w:type="pct"/>
            <w:noWrap w:val="0"/>
            <w:vAlign w:val="center"/>
          </w:tcPr>
          <w:p>
            <w:pPr>
              <w:rPr>
                <w:rFonts w:ascii="Times New Roman" w:hAnsi="Times New Roman"/>
                <w:color w:val="000000"/>
              </w:rPr>
            </w:pPr>
            <w:r>
              <w:rPr>
                <w:rFonts w:hint="eastAsia" w:ascii="Times New Roman" w:hAnsi="Times New Roman"/>
                <w:color w:val="000000"/>
              </w:rPr>
              <w:t>住宅小区业主大会和业主委员会备案</w:t>
            </w:r>
          </w:p>
        </w:tc>
        <w:tc>
          <w:tcPr>
            <w:tcW w:w="950" w:type="pct"/>
            <w:noWrap w:val="0"/>
            <w:vAlign w:val="center"/>
          </w:tcPr>
          <w:p>
            <w:pPr>
              <w:jc w:val="center"/>
              <w:rPr>
                <w:rFonts w:ascii="Times New Roman" w:hAnsi="Times New Roman"/>
                <w:color w:val="000000"/>
              </w:rPr>
            </w:pPr>
            <w:r>
              <w:rPr>
                <w:rFonts w:hint="eastAsia" w:ascii="Times New Roman" w:hAnsi="Times New Roman"/>
                <w:color w:val="000000"/>
              </w:rPr>
              <w:t>物业管理主管部门</w:t>
            </w:r>
          </w:p>
        </w:tc>
        <w:tc>
          <w:tcPr>
            <w:tcW w:w="861" w:type="pct"/>
            <w:noWrap w:val="0"/>
            <w:vAlign w:val="center"/>
          </w:tcPr>
          <w:p>
            <w:pPr>
              <w:rPr>
                <w:rFonts w:ascii="Times New Roman" w:hAnsi="Times New Roman"/>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85" w:hRule="atLeast"/>
          <w:jc w:val="center"/>
        </w:trPr>
        <w:tc>
          <w:tcPr>
            <w:tcW w:w="338" w:type="pct"/>
            <w:noWrap w:val="0"/>
            <w:vAlign w:val="center"/>
          </w:tcPr>
          <w:p>
            <w:pPr>
              <w:jc w:val="center"/>
              <w:rPr>
                <w:rFonts w:ascii="Times New Roman" w:hAnsi="Times New Roman"/>
                <w:color w:val="000000"/>
              </w:rPr>
            </w:pPr>
            <w:r>
              <w:rPr>
                <w:rFonts w:hint="eastAsia" w:ascii="Times New Roman" w:hAnsi="Times New Roman"/>
                <w:color w:val="000000"/>
              </w:rPr>
              <w:t>2</w:t>
            </w:r>
          </w:p>
        </w:tc>
        <w:tc>
          <w:tcPr>
            <w:tcW w:w="800" w:type="pct"/>
            <w:noWrap w:val="0"/>
            <w:vAlign w:val="center"/>
          </w:tcPr>
          <w:p>
            <w:pPr>
              <w:jc w:val="center"/>
              <w:rPr>
                <w:rFonts w:ascii="Times New Roman" w:hAnsi="Times New Roman"/>
                <w:color w:val="000000"/>
              </w:rPr>
            </w:pPr>
            <w:r>
              <w:rPr>
                <w:rFonts w:hint="eastAsia" w:ascii="Times New Roman" w:hAnsi="Times New Roman"/>
                <w:color w:val="000000"/>
              </w:rPr>
              <w:t>其他</w:t>
            </w:r>
          </w:p>
        </w:tc>
        <w:tc>
          <w:tcPr>
            <w:tcW w:w="2051" w:type="pct"/>
            <w:noWrap w:val="0"/>
            <w:vAlign w:val="center"/>
          </w:tcPr>
          <w:p>
            <w:pPr>
              <w:rPr>
                <w:rFonts w:ascii="Times New Roman" w:hAnsi="Times New Roman"/>
                <w:color w:val="000000"/>
              </w:rPr>
            </w:pPr>
            <w:r>
              <w:rPr>
                <w:rFonts w:hint="eastAsia" w:ascii="Times New Roman" w:hAnsi="Times New Roman"/>
                <w:color w:val="000000"/>
              </w:rPr>
              <w:t>前期物业服务合同和临时管理规约备案</w:t>
            </w:r>
          </w:p>
        </w:tc>
        <w:tc>
          <w:tcPr>
            <w:tcW w:w="950" w:type="pct"/>
            <w:noWrap w:val="0"/>
            <w:vAlign w:val="center"/>
          </w:tcPr>
          <w:p>
            <w:pPr>
              <w:jc w:val="center"/>
              <w:rPr>
                <w:rFonts w:ascii="Times New Roman" w:hAnsi="Times New Roman"/>
                <w:color w:val="000000"/>
              </w:rPr>
            </w:pPr>
            <w:r>
              <w:rPr>
                <w:rFonts w:hint="eastAsia" w:ascii="Times New Roman" w:hAnsi="Times New Roman"/>
                <w:color w:val="000000"/>
              </w:rPr>
              <w:t>物业管理主管部门</w:t>
            </w:r>
          </w:p>
        </w:tc>
        <w:tc>
          <w:tcPr>
            <w:tcW w:w="861" w:type="pct"/>
            <w:noWrap w:val="0"/>
            <w:vAlign w:val="center"/>
          </w:tcPr>
          <w:p>
            <w:pPr>
              <w:rPr>
                <w:rFonts w:ascii="Times New Roman" w:hAnsi="Times New Roman"/>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13" w:hRule="atLeast"/>
          <w:jc w:val="center"/>
        </w:trPr>
        <w:tc>
          <w:tcPr>
            <w:tcW w:w="338" w:type="pct"/>
            <w:noWrap w:val="0"/>
            <w:vAlign w:val="center"/>
          </w:tcPr>
          <w:p>
            <w:pPr>
              <w:jc w:val="center"/>
              <w:rPr>
                <w:rFonts w:ascii="Times New Roman" w:hAnsi="Times New Roman"/>
                <w:color w:val="000000"/>
              </w:rPr>
            </w:pPr>
            <w:r>
              <w:rPr>
                <w:rFonts w:hint="eastAsia" w:ascii="Times New Roman" w:hAnsi="Times New Roman"/>
                <w:color w:val="000000"/>
              </w:rPr>
              <w:t>3</w:t>
            </w:r>
          </w:p>
        </w:tc>
        <w:tc>
          <w:tcPr>
            <w:tcW w:w="800" w:type="pct"/>
            <w:noWrap w:val="0"/>
            <w:vAlign w:val="center"/>
          </w:tcPr>
          <w:p>
            <w:pPr>
              <w:jc w:val="center"/>
              <w:rPr>
                <w:rFonts w:ascii="Times New Roman" w:hAnsi="Times New Roman"/>
                <w:color w:val="000000"/>
              </w:rPr>
            </w:pPr>
            <w:r>
              <w:rPr>
                <w:rFonts w:hint="eastAsia" w:ascii="Times New Roman" w:hAnsi="Times New Roman"/>
                <w:color w:val="000000"/>
              </w:rPr>
              <w:t>行政许可</w:t>
            </w:r>
          </w:p>
        </w:tc>
        <w:tc>
          <w:tcPr>
            <w:tcW w:w="2051" w:type="pct"/>
            <w:noWrap w:val="0"/>
            <w:vAlign w:val="center"/>
          </w:tcPr>
          <w:p>
            <w:pPr>
              <w:rPr>
                <w:rFonts w:ascii="Times New Roman" w:hAnsi="Times New Roman"/>
                <w:color w:val="000000"/>
              </w:rPr>
            </w:pPr>
            <w:r>
              <w:rPr>
                <w:rFonts w:hint="eastAsia" w:ascii="Times New Roman" w:hAnsi="Times New Roman"/>
                <w:color w:val="000000"/>
              </w:rPr>
              <w:t>养犬登记许可</w:t>
            </w:r>
          </w:p>
        </w:tc>
        <w:tc>
          <w:tcPr>
            <w:tcW w:w="950" w:type="pct"/>
            <w:noWrap w:val="0"/>
            <w:vAlign w:val="center"/>
          </w:tcPr>
          <w:p>
            <w:pPr>
              <w:jc w:val="center"/>
              <w:rPr>
                <w:rFonts w:ascii="Times New Roman" w:hAnsi="Times New Roman"/>
                <w:color w:val="000000"/>
              </w:rPr>
            </w:pPr>
            <w:r>
              <w:rPr>
                <w:rFonts w:hint="eastAsia" w:ascii="Times New Roman" w:hAnsi="Times New Roman"/>
                <w:color w:val="000000"/>
              </w:rPr>
              <w:t>公安机关</w:t>
            </w:r>
          </w:p>
        </w:tc>
        <w:tc>
          <w:tcPr>
            <w:tcW w:w="861" w:type="pct"/>
            <w:noWrap w:val="0"/>
            <w:vAlign w:val="center"/>
          </w:tcPr>
          <w:p>
            <w:pPr>
              <w:rPr>
                <w:rFonts w:ascii="Times New Roman" w:hAnsi="Times New Roman"/>
                <w:color w:val="000000"/>
              </w:rPr>
            </w:pPr>
            <w:r>
              <w:rPr>
                <w:rFonts w:hint="eastAsia" w:ascii="Times New Roman" w:hAnsi="Times New Roman"/>
                <w:color w:val="000000"/>
              </w:rPr>
              <w:t>与上级设定的行政许可事项“犬类准养证核发”重复，不再作为市设行政权力事项。</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Arial Unicode MS"/>
    <w:panose1 w:val="03000509000000000000"/>
    <w:charset w:val="86"/>
    <w:family w:val="script"/>
    <w:pitch w:val="default"/>
    <w:sig w:usb0="00000000" w:usb1="00000000" w:usb2="00000010" w:usb3="00000000" w:csb0="00040000" w:csb1="00000000"/>
  </w:font>
  <w:font w:name="方正小标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5NWQ2OTU1OGVjMGY1ODg1NzM3NDc2ZDYxMjhkZTIifQ=="/>
  </w:docVars>
  <w:rsids>
    <w:rsidRoot w:val="0207215C"/>
    <w:rsid w:val="020721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2023-08-31T03:04:00Z</dcterms:created>
  <dc:creator>未遂</dc:creator>
  <cp:lastModifiedBy>未遂</cp:lastModifiedBy>
  <dcterms:modified xsi:type="dcterms:W3CDTF">2023-08-31T03:04:19Z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AA7D7A69BB344838AA970FF06DEB2D5E_11</vt:lpwstr>
  </property>
</Properties>
</file>