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蒲高锋</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W19D*(车辆识别代号：</w:t>
      </w:r>
      <w:r>
        <w:rPr>
          <w:rFonts w:ascii="Times New Roman" w:hAnsi="Times New Roman" w:eastAsia="仿宋_GB2312"/>
          <w:snapToGrid w:val="0"/>
          <w:sz w:val="28"/>
          <w:szCs w:val="28"/>
        </w:rPr>
        <w:t>LBECFAHB6GZ351733</w:t>
      </w:r>
      <w:r>
        <w:rPr>
          <w:rFonts w:hint="eastAsia" w:ascii="Times New Roman" w:hAnsi="Times New Roman" w:eastAsia="仿宋_GB2312"/>
          <w:snapToGrid w:val="0"/>
          <w:sz w:val="28"/>
          <w:szCs w:val="28"/>
        </w:rPr>
        <w:t>)的北京现代牌小型轿车，已有12起未处理道路交通安全违法行为。本大队于2023年9月6日作出的编号为320401600000171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小湖路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小湖路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小湖路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小湖路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小湖路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北海路（龙江路至长江路）段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泰山路太湖路路口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竹林南路口至新堂路口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50</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关河东路丹青路口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凤苑路（武进西太湖）</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清潭路木梳路路口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千岛湖路(千岛湖路（通江路至衡山路）)</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10月8日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251FF"/>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92B2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452D9"/>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770A4"/>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22EF"/>
    <w:rsid w:val="00FA4237"/>
    <w:rsid w:val="00FE2144"/>
    <w:rsid w:val="00FE3CE4"/>
    <w:rsid w:val="47F65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412</Words>
  <Characters>2354</Characters>
  <Lines>19</Lines>
  <Paragraphs>5</Paragraphs>
  <TotalTime>173</TotalTime>
  <ScaleCrop>false</ScaleCrop>
  <LinksUpToDate>false</LinksUpToDate>
  <CharactersWithSpaces>2761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2023-10-08T06:10:52Z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D59D7982E9324AD1AE44DAFBD9A63167_13</vt:lpwstr>
  </property>
</Properties>
</file>