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hint="eastAsia" w:ascii="Times New Roman" w:hAnsi="Times New Roman" w:eastAsia="黑体" w:cs="黑体"/>
          <w:w w:val="90"/>
          <w:kern w:val="0"/>
          <w:sz w:val="32"/>
          <w:szCs w:val="32"/>
        </w:rPr>
        <w:t>附件</w:t>
      </w:r>
      <w:r>
        <w:rPr>
          <w:rFonts w:ascii="Times New Roman" w:hAnsi="Times New Roman" w:eastAsia="黑体" w:cs="Times New Roman"/>
          <w:w w:val="90"/>
          <w:kern w:val="0"/>
          <w:sz w:val="32"/>
          <w:szCs w:val="32"/>
        </w:rPr>
        <w:t>1</w:t>
      </w:r>
    </w:p>
    <w:p>
      <w:pPr>
        <w:adjustRightInd w:val="0"/>
        <w:snapToGrid w:val="0"/>
        <w:spacing w:line="56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</w:p>
    <w:p>
      <w:pPr>
        <w:adjustRightInd w:val="0"/>
        <w:snapToGrid w:val="0"/>
        <w:spacing w:line="700" w:lineRule="exact"/>
        <w:ind w:firstLine="880" w:firstLineChars="200"/>
        <w:jc w:val="center"/>
        <w:rPr>
          <w:rFonts w:ascii="Times New Roman" w:hAnsi="Times New Roman" w:eastAsia="方正小标宋_GBK" w:cs="黑体"/>
          <w:sz w:val="44"/>
          <w:szCs w:val="44"/>
        </w:rPr>
      </w:pPr>
      <w:r>
        <w:rPr>
          <w:rFonts w:hint="eastAsia" w:ascii="Times New Roman" w:hAnsi="Times New Roman" w:eastAsia="方正小标宋_GBK" w:cs="黑体"/>
          <w:sz w:val="44"/>
          <w:szCs w:val="44"/>
        </w:rPr>
        <w:t>2023年挂牌整治道路交通事故多发路段清单</w:t>
      </w:r>
    </w:p>
    <w:p>
      <w:pPr>
        <w:adjustRightInd w:val="0"/>
        <w:snapToGrid w:val="0"/>
        <w:rPr>
          <w:rFonts w:ascii="Times New Roman" w:hAnsi="Times New Roman" w:eastAsia="仿宋_GB2312" w:cs="黑体"/>
          <w:sz w:val="32"/>
          <w:szCs w:val="32"/>
        </w:rPr>
      </w:pPr>
    </w:p>
    <w:tbl>
      <w:tblPr>
        <w:tblStyle w:val="4"/>
        <w:tblW w:w="1244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979"/>
        <w:gridCol w:w="1231"/>
        <w:gridCol w:w="780"/>
        <w:gridCol w:w="851"/>
        <w:gridCol w:w="850"/>
        <w:gridCol w:w="3827"/>
        <w:gridCol w:w="32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tblHeader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b/>
                <w:szCs w:val="21"/>
              </w:rPr>
            </w:pPr>
            <w:r>
              <w:rPr>
                <w:rFonts w:hint="eastAsia" w:ascii="Times New Roman" w:hAnsi="Times New Roman" w:eastAsia="宋体" w:cs="黑体"/>
                <w:b/>
                <w:kern w:val="0"/>
                <w:szCs w:val="21"/>
              </w:rPr>
              <w:t>序号</w:t>
            </w:r>
          </w:p>
        </w:tc>
        <w:tc>
          <w:tcPr>
            <w:tcW w:w="97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b/>
                <w:szCs w:val="21"/>
              </w:rPr>
            </w:pPr>
            <w:r>
              <w:rPr>
                <w:rFonts w:hint="eastAsia" w:ascii="Times New Roman" w:hAnsi="Times New Roman" w:eastAsia="宋体" w:cs="黑体"/>
                <w:b/>
                <w:kern w:val="0"/>
                <w:szCs w:val="21"/>
              </w:rPr>
              <w:t>辖市、区</w:t>
            </w:r>
          </w:p>
        </w:tc>
        <w:tc>
          <w:tcPr>
            <w:tcW w:w="123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b/>
                <w:szCs w:val="21"/>
              </w:rPr>
            </w:pPr>
            <w:r>
              <w:rPr>
                <w:rFonts w:hint="eastAsia" w:ascii="Times New Roman" w:hAnsi="Times New Roman" w:eastAsia="宋体" w:cs="黑体"/>
                <w:b/>
                <w:kern w:val="0"/>
                <w:szCs w:val="21"/>
              </w:rPr>
              <w:t>道路名称</w:t>
            </w:r>
          </w:p>
        </w:tc>
        <w:tc>
          <w:tcPr>
            <w:tcW w:w="78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b/>
                <w:szCs w:val="21"/>
              </w:rPr>
            </w:pPr>
            <w:r>
              <w:rPr>
                <w:rFonts w:hint="eastAsia" w:ascii="Times New Roman" w:hAnsi="Times New Roman" w:eastAsia="宋体" w:cs="黑体"/>
                <w:b/>
                <w:kern w:val="0"/>
                <w:szCs w:val="21"/>
              </w:rPr>
              <w:t>道路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b/>
                <w:szCs w:val="21"/>
              </w:rPr>
            </w:pPr>
            <w:r>
              <w:rPr>
                <w:rFonts w:hint="eastAsia" w:ascii="Times New Roman" w:hAnsi="Times New Roman" w:eastAsia="宋体" w:cs="黑体"/>
                <w:b/>
                <w:kern w:val="0"/>
                <w:szCs w:val="21"/>
              </w:rPr>
              <w:t>等级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b/>
                <w:szCs w:val="21"/>
              </w:rPr>
            </w:pPr>
            <w:r>
              <w:rPr>
                <w:rFonts w:hint="eastAsia" w:ascii="Times New Roman" w:hAnsi="Times New Roman" w:eastAsia="宋体" w:cs="黑体"/>
                <w:b/>
                <w:kern w:val="0"/>
                <w:szCs w:val="21"/>
              </w:rPr>
              <w:t>路段桩号区间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b/>
                <w:szCs w:val="21"/>
              </w:rPr>
            </w:pPr>
            <w:r>
              <w:rPr>
                <w:rFonts w:hint="eastAsia" w:ascii="Times New Roman" w:hAnsi="Times New Roman" w:eastAsia="宋体" w:cs="黑体"/>
                <w:b/>
                <w:kern w:val="0"/>
                <w:szCs w:val="21"/>
              </w:rPr>
              <w:t>安全隐患类型及事故多发原因</w:t>
            </w:r>
          </w:p>
        </w:tc>
        <w:tc>
          <w:tcPr>
            <w:tcW w:w="326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b/>
                <w:szCs w:val="21"/>
              </w:rPr>
            </w:pPr>
            <w:r>
              <w:rPr>
                <w:rFonts w:hint="eastAsia" w:ascii="Times New Roman" w:hAnsi="Times New Roman" w:eastAsia="宋体" w:cs="黑体"/>
                <w:b/>
                <w:kern w:val="0"/>
                <w:szCs w:val="21"/>
              </w:rPr>
              <w:t>整治措施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tblHeader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szCs w:val="21"/>
              </w:rPr>
            </w:pPr>
          </w:p>
        </w:tc>
        <w:tc>
          <w:tcPr>
            <w:tcW w:w="97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szCs w:val="21"/>
              </w:rPr>
            </w:pPr>
          </w:p>
        </w:tc>
        <w:tc>
          <w:tcPr>
            <w:tcW w:w="123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szCs w:val="21"/>
              </w:rPr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b/>
                <w:szCs w:val="21"/>
              </w:rPr>
            </w:pPr>
            <w:r>
              <w:rPr>
                <w:rFonts w:hint="eastAsia" w:ascii="Times New Roman" w:hAnsi="Times New Roman" w:eastAsia="宋体" w:cs="黑体"/>
                <w:b/>
                <w:kern w:val="0"/>
                <w:szCs w:val="21"/>
              </w:rPr>
              <w:t>起点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b/>
                <w:szCs w:val="21"/>
              </w:rPr>
            </w:pPr>
            <w:r>
              <w:rPr>
                <w:rFonts w:hint="eastAsia" w:ascii="Times New Roman" w:hAnsi="Times New Roman" w:eastAsia="宋体" w:cs="黑体"/>
                <w:b/>
                <w:kern w:val="0"/>
                <w:szCs w:val="21"/>
              </w:rPr>
              <w:t>桩号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b/>
                <w:szCs w:val="21"/>
              </w:rPr>
            </w:pPr>
            <w:r>
              <w:rPr>
                <w:rFonts w:hint="eastAsia" w:ascii="Times New Roman" w:hAnsi="Times New Roman" w:eastAsia="宋体" w:cs="黑体"/>
                <w:b/>
                <w:kern w:val="0"/>
                <w:szCs w:val="21"/>
              </w:rPr>
              <w:t>终点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b/>
                <w:szCs w:val="21"/>
              </w:rPr>
            </w:pPr>
            <w:r>
              <w:rPr>
                <w:rFonts w:hint="eastAsia" w:ascii="Times New Roman" w:hAnsi="Times New Roman" w:eastAsia="宋体" w:cs="黑体"/>
                <w:b/>
                <w:kern w:val="0"/>
                <w:szCs w:val="21"/>
              </w:rPr>
              <w:t>桩号</w:t>
            </w:r>
          </w:p>
        </w:tc>
        <w:tc>
          <w:tcPr>
            <w:tcW w:w="382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szCs w:val="21"/>
              </w:rPr>
            </w:pPr>
          </w:p>
        </w:tc>
        <w:tc>
          <w:tcPr>
            <w:tcW w:w="326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  <w:jc w:val="center"/>
        </w:trPr>
        <w:tc>
          <w:tcPr>
            <w:tcW w:w="662" w:type="dxa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1</w:t>
            </w:r>
          </w:p>
        </w:tc>
        <w:tc>
          <w:tcPr>
            <w:tcW w:w="979" w:type="dxa"/>
            <w:vMerge w:val="restart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溧  阳</w:t>
            </w:r>
          </w:p>
        </w:tc>
        <w:tc>
          <w:tcPr>
            <w:tcW w:w="123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S239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省道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K84+500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K87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该段道路全长2.5公里，中分开口多，缺少信号灯等交通设施，安全隐患突出。</w:t>
            </w:r>
          </w:p>
        </w:tc>
        <w:tc>
          <w:tcPr>
            <w:tcW w:w="3261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归并中分开口，在符合要求的主要道口增设信号灯和监控设备。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662" w:type="dxa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2</w:t>
            </w:r>
          </w:p>
        </w:tc>
        <w:tc>
          <w:tcPr>
            <w:tcW w:w="979" w:type="dxa"/>
            <w:vMerge w:val="continue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123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南山大道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县道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K9+600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K16+400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该段道路全长6.8公里，贯穿古县街道辖区及工业园区，沿线两侧村庄、企业密布，交通流量大，周边居民随意横穿公路现象突出，存在较大安全风险。</w:t>
            </w:r>
          </w:p>
        </w:tc>
        <w:tc>
          <w:tcPr>
            <w:tcW w:w="3261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改善交通组织、改造交通节点、完善交通安全设施。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662" w:type="dxa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3</w:t>
            </w:r>
          </w:p>
        </w:tc>
        <w:tc>
          <w:tcPr>
            <w:tcW w:w="979" w:type="dxa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金  坛</w:t>
            </w:r>
          </w:p>
        </w:tc>
        <w:tc>
          <w:tcPr>
            <w:tcW w:w="123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S239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省道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K50+100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K59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该段道路全长9公里，贯穿儒林集镇，沿线企业日益增多，现有平交路口点位设置，不符合道路交通安全管理规划，致使交通事故频发。</w:t>
            </w:r>
          </w:p>
        </w:tc>
        <w:tc>
          <w:tcPr>
            <w:tcW w:w="3261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合理归并中央隔离带开口，规范设置交叉口交安设施，重新渠化S239与S240交叉口并进行拓宽改造，修剪沿线绿化，保障安全行车视距。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662" w:type="dxa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4</w:t>
            </w:r>
          </w:p>
        </w:tc>
        <w:tc>
          <w:tcPr>
            <w:tcW w:w="979" w:type="dxa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武  进</w:t>
            </w:r>
          </w:p>
        </w:tc>
        <w:tc>
          <w:tcPr>
            <w:tcW w:w="123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武进大道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县道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K12+800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K19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该路段全长6.2公里，沿线工厂企业、村庄较多，道路中央有绿化带及隔离护栏分隔，但行人尤其是老年人随意横穿公路现象突出，易发事故。</w:t>
            </w:r>
          </w:p>
        </w:tc>
        <w:tc>
          <w:tcPr>
            <w:tcW w:w="3261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在村庄密集、行人易翻越路段，加装隔离网进行硬隔离。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662" w:type="dxa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5</w:t>
            </w:r>
          </w:p>
        </w:tc>
        <w:tc>
          <w:tcPr>
            <w:tcW w:w="979" w:type="dxa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武  进</w:t>
            </w:r>
          </w:p>
        </w:tc>
        <w:tc>
          <w:tcPr>
            <w:tcW w:w="123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前黄镇</w:t>
            </w:r>
          </w:p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邵谢线</w:t>
            </w:r>
          </w:p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杨桥牌楼西侧道路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乡道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3827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该路段全长1公里，缺少交通标志标线，车辆混行易发生事故。</w:t>
            </w:r>
          </w:p>
        </w:tc>
        <w:tc>
          <w:tcPr>
            <w:tcW w:w="3261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施划道路中心线，两侧施划非机动车道。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662" w:type="dxa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6</w:t>
            </w:r>
          </w:p>
        </w:tc>
        <w:tc>
          <w:tcPr>
            <w:tcW w:w="979" w:type="dxa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武  进</w:t>
            </w:r>
          </w:p>
        </w:tc>
        <w:tc>
          <w:tcPr>
            <w:tcW w:w="123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南环线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县道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苏家桥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湖滨路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该路段全长8.5公里，沿线村庄支小交汇口和中央隔离带开口较多，部分标线磨损严重，过境货车流较大，进出村庄电动自行车与主路车辆冲突点较多，易发事故。</w:t>
            </w:r>
          </w:p>
        </w:tc>
        <w:tc>
          <w:tcPr>
            <w:tcW w:w="3261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1．完善沿线标志、标线，对车流量相对较大，交汇冲突点较大的路口、开口段，采用硬隔离、增设爆闪灯。</w:t>
            </w:r>
          </w:p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2．加强对沿线货运车辆超载、超速，电动自行车不戴头盔，违法载人等违法行为的查处．</w:t>
            </w:r>
          </w:p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3．会同属地政府、村委做好沿线村庄居民的交通安全宣传教育工作。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662" w:type="dxa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7</w:t>
            </w:r>
          </w:p>
        </w:tc>
        <w:tc>
          <w:tcPr>
            <w:tcW w:w="979" w:type="dxa"/>
            <w:vMerge w:val="restart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新  北</w:t>
            </w:r>
          </w:p>
        </w:tc>
        <w:tc>
          <w:tcPr>
            <w:tcW w:w="123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S239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省道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K3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K9+500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该路段全长6.3公里，沿途村庄较多，车流量大特别是大货车较多，加之农村群众安全意识淡薄，极易发生交通事故。</w:t>
            </w:r>
          </w:p>
        </w:tc>
        <w:tc>
          <w:tcPr>
            <w:tcW w:w="3261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在村道与省道衔接路口建设“电子哨兵”，强化对支路上主路车辆、人员的安全提示。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6" w:hRule="atLeast"/>
          <w:jc w:val="center"/>
        </w:trPr>
        <w:tc>
          <w:tcPr>
            <w:tcW w:w="662" w:type="dxa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8</w:t>
            </w:r>
          </w:p>
        </w:tc>
        <w:tc>
          <w:tcPr>
            <w:tcW w:w="979" w:type="dxa"/>
            <w:vMerge w:val="continue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123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长江路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城市道路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北海路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圩塘</w:t>
            </w:r>
          </w:p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渡口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该路段全长8公里，沿线平交路口多、往来车速快，行人、非机动车横穿现象突出，存在较大交通安全隐患。</w:t>
            </w:r>
          </w:p>
        </w:tc>
        <w:tc>
          <w:tcPr>
            <w:tcW w:w="3261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1．针对行人横穿多发区域，对中分带进行物理隔离。</w:t>
            </w:r>
          </w:p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2．复新道路标线，确保道路标线清晰可辨，机非、行人通行路权明确。</w:t>
            </w:r>
          </w:p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3．科学合理渠化交叉口，保证路口通行秩序安全有序。</w:t>
            </w:r>
          </w:p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4．延长路口绿化带，防止非机动车横穿、逆行。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662" w:type="dxa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9</w:t>
            </w:r>
          </w:p>
        </w:tc>
        <w:tc>
          <w:tcPr>
            <w:tcW w:w="979" w:type="dxa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天  宁</w:t>
            </w:r>
          </w:p>
        </w:tc>
        <w:tc>
          <w:tcPr>
            <w:tcW w:w="123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朝阳路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县道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江阴</w:t>
            </w:r>
          </w:p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交界处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常州</w:t>
            </w:r>
          </w:p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经开区交界处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该路段全长6公里，无中央隔离带，沿线相交小路口多，缺少减速标志和警示标志等，部分标线陈旧、模糊不清，存在较大安全隐患。</w:t>
            </w:r>
          </w:p>
        </w:tc>
        <w:tc>
          <w:tcPr>
            <w:tcW w:w="3261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1．全路段增设中央隔离护栏</w:t>
            </w:r>
          </w:p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2．平交路口按照规范增设电子哨兵、爆闪灯、减速带、让行标志等交通安全设施。</w:t>
            </w:r>
          </w:p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3．复新道路标线，交叉路口科学合理渠化。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662" w:type="dxa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10</w:t>
            </w:r>
          </w:p>
        </w:tc>
        <w:tc>
          <w:tcPr>
            <w:tcW w:w="979" w:type="dxa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钟  楼</w:t>
            </w:r>
          </w:p>
        </w:tc>
        <w:tc>
          <w:tcPr>
            <w:tcW w:w="123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振邹路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农村道路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殷村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新阳光食品城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该路段全长10.7公里，沿线平交路口多，机动车车速快，存在较大安全隐患，易发生伤亡事故。</w:t>
            </w:r>
          </w:p>
        </w:tc>
        <w:tc>
          <w:tcPr>
            <w:tcW w:w="3261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在事故多发路口增设信号灯1组，电子哨兵系统2套，增补沿线交叉路口震荡线、减速带等交通设施。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  <w:jc w:val="center"/>
        </w:trPr>
        <w:tc>
          <w:tcPr>
            <w:tcW w:w="662" w:type="dxa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11</w:t>
            </w:r>
          </w:p>
        </w:tc>
        <w:tc>
          <w:tcPr>
            <w:tcW w:w="979" w:type="dxa"/>
            <w:shd w:val="solid" w:color="FFFFFF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szCs w:val="21"/>
                <w:shd w:val="clear" w:color="auto" w:fill="FFFFFF"/>
              </w:rPr>
              <w:t>经开区</w:t>
            </w:r>
          </w:p>
        </w:tc>
        <w:tc>
          <w:tcPr>
            <w:tcW w:w="123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延陵东路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城市道路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三号桥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大明路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该路段全长3公里，作为常州经开区东西向主干道，日常交通流量较大；沿线交通设施陈旧，支路村道搭接不规范，未设置隔离带；道路两侧梧桐树树冠广茂、绿荫如盖，极易遮挡照明，行车视线不良，加之周边居民交通安全意识淡薄，横穿马路现象突出，存在较大安全风险。</w:t>
            </w:r>
          </w:p>
        </w:tc>
        <w:tc>
          <w:tcPr>
            <w:tcW w:w="3261" w:type="dxa"/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1．复新道路标线，增设减速带、让行标志、爆闪灯等交通安全设施，重点在徐窑村路口及常钢厂宿舍路口增设信号灯。</w:t>
            </w:r>
          </w:p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2．修剪道路两侧树木，改善路灯照明条件。</w:t>
            </w:r>
          </w:p>
          <w:p>
            <w:pPr>
              <w:jc w:val="left"/>
              <w:textAlignment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3．加强道路周边居民，特别是老年人的交通安全宣传力度，提高交通安全意识。</w:t>
            </w:r>
            <w:bookmarkStart w:id="0" w:name="_GoBack"/>
            <w:bookmarkEnd w:id="0"/>
          </w:p>
        </w:tc>
      </w:tr>
    </w:tbl>
    <w:p>
      <w:pPr>
        <w:widowControl/>
        <w:jc w:val="left"/>
        <w:rPr>
          <w:rFonts w:ascii="Times New Roman" w:hAnsi="Times New Roman" w:eastAsia="仿宋_GB2312" w:cs="黑体"/>
          <w:sz w:val="32"/>
          <w:szCs w:val="32"/>
        </w:rPr>
        <w:sectPr>
          <w:footerReference r:id="rId3" w:type="default"/>
          <w:pgSz w:w="16838" w:h="11906" w:orient="landscape"/>
          <w:pgMar w:top="1134" w:right="1531" w:bottom="709" w:left="1531" w:header="709" w:footer="340" w:gutter="0"/>
          <w:cols w:space="720" w:num="1"/>
          <w:docGrid w:linePitch="312" w:charSpace="0"/>
        </w:sectPr>
      </w:pPr>
    </w:p>
    <w:p>
      <w:pPr>
        <w:adjustRightInd w:val="0"/>
        <w:snapToGrid w:val="0"/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sectPr>
      <w:pgSz w:w="11906" w:h="16838"/>
      <w:pgMar w:top="2098" w:right="1531" w:bottom="1985" w:left="1531" w:header="709" w:footer="1361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75115710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2"/>
          <w:jc w:val="center"/>
        </w:pPr>
        <w:r>
          <w:rPr>
            <w:rFonts w:hint="eastAsia" w:ascii="宋体" w:hAnsi="宋体" w:eastAsia="宋体"/>
            <w:sz w:val="28"/>
            <w:szCs w:val="28"/>
          </w:rPr>
          <w:t xml:space="preserve">—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1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674960"/>
    <w:rsid w:val="00153D61"/>
    <w:rsid w:val="001577AA"/>
    <w:rsid w:val="0045264A"/>
    <w:rsid w:val="00626924"/>
    <w:rsid w:val="00674960"/>
    <w:rsid w:val="006D65ED"/>
    <w:rsid w:val="00704530"/>
    <w:rsid w:val="007D5639"/>
    <w:rsid w:val="00855FA1"/>
    <w:rsid w:val="00866CF9"/>
    <w:rsid w:val="008C48FE"/>
    <w:rsid w:val="00A2490E"/>
    <w:rsid w:val="00A523D3"/>
    <w:rsid w:val="00A86FCA"/>
    <w:rsid w:val="00B1357A"/>
    <w:rsid w:val="00B46122"/>
    <w:rsid w:val="00E81D01"/>
    <w:rsid w:val="00F27128"/>
    <w:rsid w:val="180A4B8D"/>
    <w:rsid w:val="5A443D50"/>
    <w:rsid w:val="796C6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381</Words>
  <Characters>2173</Characters>
  <Lines>18</Lines>
  <Paragraphs>5</Paragraphs>
  <TotalTime>321</TotalTime>
  <ScaleCrop>false</ScaleCrop>
  <LinksUpToDate>false</LinksUpToDate>
  <CharactersWithSpaces>2549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2023-11-08T01:18:00Z</dcterms:created>
  <dc:creator>艾青</dc:creator>
  <cp:lastModifiedBy>丫丫</cp:lastModifiedBy>
  <cp:lastPrinted>2023-11-08T03:09:00Z</cp:lastPrinted>
  <dcterms:modified xsi:type="dcterms:W3CDTF">2023-11-09T07:03:48Z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0279763D65BC4DBA879323413BC737D2_13</vt:lpwstr>
  </property>
</Properties>
</file>