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djustRightInd w:val="0"/>
        <w:snapToGrid w:val="0"/>
        <w:spacing w:line="500" w:lineRule="exact"/>
        <w:rPr>
          <w:rFonts w:eastAsia="黑体"/>
          <w:sz w:val="32"/>
          <w:szCs w:val="32"/>
        </w:rPr>
      </w:pPr>
      <w:r>
        <w:rPr>
          <w:rFonts w:hint="eastAsia" w:hAnsi="黑体" w:eastAsia="黑体"/>
          <w:sz w:val="32"/>
          <w:szCs w:val="32"/>
        </w:rPr>
        <w:t>附件</w:t>
      </w:r>
      <w:r>
        <w:rPr>
          <w:rFonts w:eastAsia="黑体"/>
          <w:sz w:val="32"/>
          <w:szCs w:val="32"/>
        </w:rPr>
        <w:t>1</w:t>
      </w:r>
    </w:p>
    <w:p>
      <w:pPr>
        <w:overflowPunct w:val="0"/>
        <w:adjustRightInd w:val="0"/>
        <w:snapToGrid w:val="0"/>
        <w:spacing w:before="240" w:after="240" w:line="500" w:lineRule="exact"/>
        <w:jc w:val="center"/>
        <w:rPr>
          <w:rFonts w:ascii="方正小标宋简体" w:eastAsia="方正小标宋简体"/>
          <w:sz w:val="44"/>
          <w:szCs w:val="44"/>
        </w:rPr>
      </w:pPr>
      <w:r>
        <w:rPr>
          <w:rFonts w:hint="eastAsia" w:ascii="方正小标宋简体" w:hAnsi="方正小标宋简体" w:eastAsia="方正小标宋简体"/>
          <w:sz w:val="44"/>
          <w:szCs w:val="44"/>
        </w:rPr>
        <w:t>2024年度常州市</w:t>
      </w:r>
      <w:r>
        <w:rPr>
          <w:rFonts w:hint="eastAsia" w:ascii="方正小标宋简体" w:eastAsia="方正小标宋简体"/>
          <w:kern w:val="0"/>
          <w:sz w:val="44"/>
          <w:szCs w:val="44"/>
        </w:rPr>
        <w:t>合成生物学领域</w:t>
      </w:r>
      <w:r>
        <w:rPr>
          <w:rFonts w:hint="eastAsia" w:ascii="方正小标宋简体" w:eastAsia="方正小标宋简体"/>
          <w:sz w:val="44"/>
          <w:szCs w:val="44"/>
        </w:rPr>
        <w:t>“</w:t>
      </w:r>
      <w:r>
        <w:rPr>
          <w:rFonts w:hint="eastAsia" w:ascii="方正小标宋简体" w:hAnsi="方正小标宋简体" w:eastAsia="方正小标宋简体"/>
          <w:sz w:val="44"/>
          <w:szCs w:val="44"/>
        </w:rPr>
        <w:t>揭榜挂帅</w:t>
      </w:r>
      <w:r>
        <w:rPr>
          <w:rFonts w:hint="eastAsia" w:ascii="方正小标宋简体" w:eastAsia="方正小标宋简体"/>
          <w:sz w:val="44"/>
          <w:szCs w:val="44"/>
        </w:rPr>
        <w:t>”</w:t>
      </w:r>
      <w:r>
        <w:rPr>
          <w:rFonts w:hint="eastAsia" w:ascii="方正小标宋简体" w:hAnsi="方正小标宋简体" w:eastAsia="方正小标宋简体"/>
          <w:sz w:val="44"/>
          <w:szCs w:val="44"/>
        </w:rPr>
        <w:t>重大技术需求榜单</w:t>
      </w:r>
    </w:p>
    <w:tbl>
      <w:tblPr>
        <w:tblStyle w:val="23"/>
        <w:tblW w:w="4995"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05"/>
        <w:gridCol w:w="1383"/>
        <w:gridCol w:w="1984"/>
        <w:gridCol w:w="851"/>
        <w:gridCol w:w="4678"/>
        <w:gridCol w:w="460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1" w:hRule="atLeast"/>
          <w:tblHeader/>
          <w:jc w:val="center"/>
        </w:trPr>
        <w:tc>
          <w:tcPr>
            <w:tcW w:w="704" w:type="dxa"/>
            <w:vAlign w:val="center"/>
          </w:tcPr>
          <w:p>
            <w:pPr>
              <w:overflowPunct w:val="0"/>
              <w:adjustRightInd w:val="0"/>
              <w:snapToGrid w:val="0"/>
              <w:spacing w:line="300" w:lineRule="exact"/>
              <w:jc w:val="center"/>
              <w:rPr>
                <w:rFonts w:ascii="黑体" w:hAnsi="黑体" w:eastAsia="黑体"/>
                <w:color w:val="000000"/>
                <w:kern w:val="0"/>
                <w:szCs w:val="21"/>
              </w:rPr>
            </w:pPr>
            <w:r>
              <w:rPr>
                <w:rFonts w:hint="eastAsia" w:ascii="黑体" w:hAnsi="黑体" w:eastAsia="黑体"/>
                <w:color w:val="000000"/>
                <w:kern w:val="0"/>
                <w:szCs w:val="21"/>
              </w:rPr>
              <w:t>序号</w:t>
            </w:r>
          </w:p>
        </w:tc>
        <w:tc>
          <w:tcPr>
            <w:tcW w:w="1382" w:type="dxa"/>
            <w:vAlign w:val="center"/>
          </w:tcPr>
          <w:p>
            <w:pPr>
              <w:overflowPunct w:val="0"/>
              <w:adjustRightInd w:val="0"/>
              <w:snapToGrid w:val="0"/>
              <w:spacing w:line="300" w:lineRule="exact"/>
              <w:jc w:val="center"/>
              <w:rPr>
                <w:rFonts w:ascii="黑体" w:hAnsi="黑体" w:eastAsia="黑体"/>
                <w:color w:val="000000"/>
                <w:kern w:val="0"/>
                <w:szCs w:val="21"/>
              </w:rPr>
            </w:pPr>
            <w:r>
              <w:rPr>
                <w:rFonts w:hint="eastAsia" w:ascii="黑体" w:hAnsi="黑体" w:eastAsia="黑体"/>
                <w:color w:val="000000"/>
                <w:kern w:val="0"/>
                <w:szCs w:val="21"/>
              </w:rPr>
              <w:t>单位名称</w:t>
            </w:r>
          </w:p>
        </w:tc>
        <w:tc>
          <w:tcPr>
            <w:tcW w:w="1984" w:type="dxa"/>
            <w:vAlign w:val="center"/>
          </w:tcPr>
          <w:p>
            <w:pPr>
              <w:overflowPunct w:val="0"/>
              <w:adjustRightInd w:val="0"/>
              <w:snapToGrid w:val="0"/>
              <w:spacing w:line="300" w:lineRule="exact"/>
              <w:jc w:val="center"/>
              <w:rPr>
                <w:rFonts w:ascii="黑体" w:hAnsi="黑体" w:eastAsia="黑体"/>
                <w:color w:val="000000"/>
                <w:kern w:val="0"/>
                <w:szCs w:val="21"/>
              </w:rPr>
            </w:pPr>
            <w:r>
              <w:rPr>
                <w:rFonts w:hint="eastAsia" w:ascii="黑体" w:hAnsi="黑体" w:eastAsia="黑体"/>
                <w:color w:val="000000"/>
                <w:kern w:val="0"/>
                <w:szCs w:val="21"/>
              </w:rPr>
              <w:t>技术需求名称</w:t>
            </w:r>
          </w:p>
        </w:tc>
        <w:tc>
          <w:tcPr>
            <w:tcW w:w="851" w:type="dxa"/>
            <w:vAlign w:val="center"/>
          </w:tcPr>
          <w:p>
            <w:pPr>
              <w:overflowPunct w:val="0"/>
              <w:adjustRightInd w:val="0"/>
              <w:snapToGrid w:val="0"/>
              <w:spacing w:line="300" w:lineRule="exact"/>
              <w:ind w:left="-57" w:right="-57"/>
              <w:jc w:val="center"/>
              <w:rPr>
                <w:rFonts w:ascii="黑体" w:hAnsi="黑体" w:eastAsia="黑体"/>
                <w:color w:val="000000"/>
                <w:kern w:val="0"/>
                <w:szCs w:val="21"/>
              </w:rPr>
            </w:pPr>
            <w:r>
              <w:rPr>
                <w:rFonts w:hint="eastAsia" w:ascii="黑体" w:hAnsi="黑体" w:eastAsia="黑体"/>
                <w:color w:val="000000"/>
                <w:kern w:val="0"/>
                <w:szCs w:val="21"/>
              </w:rPr>
              <w:t>榜额</w:t>
            </w:r>
          </w:p>
          <w:p>
            <w:pPr>
              <w:overflowPunct w:val="0"/>
              <w:adjustRightInd w:val="0"/>
              <w:snapToGrid w:val="0"/>
              <w:spacing w:line="300" w:lineRule="exact"/>
              <w:ind w:left="-57" w:right="-57"/>
              <w:jc w:val="center"/>
              <w:rPr>
                <w:rFonts w:ascii="黑体" w:hAnsi="黑体" w:eastAsia="黑体"/>
                <w:color w:val="000000"/>
                <w:kern w:val="0"/>
                <w:szCs w:val="21"/>
              </w:rPr>
            </w:pPr>
            <w:r>
              <w:rPr>
                <w:rFonts w:hint="eastAsia" w:ascii="黑体" w:hAnsi="黑体" w:eastAsia="黑体"/>
                <w:color w:val="000000"/>
                <w:kern w:val="0"/>
                <w:szCs w:val="21"/>
              </w:rPr>
              <w:t>（万元）</w:t>
            </w:r>
          </w:p>
        </w:tc>
        <w:tc>
          <w:tcPr>
            <w:tcW w:w="4678" w:type="dxa"/>
            <w:vAlign w:val="center"/>
          </w:tcPr>
          <w:p>
            <w:pPr>
              <w:overflowPunct w:val="0"/>
              <w:adjustRightInd w:val="0"/>
              <w:snapToGrid w:val="0"/>
              <w:spacing w:line="300" w:lineRule="exact"/>
              <w:jc w:val="center"/>
              <w:rPr>
                <w:rFonts w:ascii="黑体" w:hAnsi="黑体" w:eastAsia="黑体"/>
                <w:color w:val="000000"/>
                <w:kern w:val="0"/>
                <w:szCs w:val="21"/>
              </w:rPr>
            </w:pPr>
            <w:r>
              <w:rPr>
                <w:rFonts w:hint="eastAsia" w:ascii="黑体" w:hAnsi="黑体" w:eastAsia="黑体"/>
                <w:color w:val="000000"/>
                <w:kern w:val="0"/>
                <w:szCs w:val="21"/>
              </w:rPr>
              <w:t>技术需求</w:t>
            </w:r>
          </w:p>
        </w:tc>
        <w:tc>
          <w:tcPr>
            <w:tcW w:w="4605" w:type="dxa"/>
            <w:vAlign w:val="center"/>
          </w:tcPr>
          <w:p>
            <w:pPr>
              <w:overflowPunct w:val="0"/>
              <w:adjustRightInd w:val="0"/>
              <w:snapToGrid w:val="0"/>
              <w:spacing w:line="300" w:lineRule="exact"/>
              <w:jc w:val="center"/>
              <w:rPr>
                <w:rFonts w:ascii="黑体" w:hAnsi="黑体" w:eastAsia="黑体"/>
                <w:color w:val="000000"/>
                <w:kern w:val="0"/>
                <w:szCs w:val="21"/>
              </w:rPr>
            </w:pPr>
            <w:r>
              <w:rPr>
                <w:rFonts w:hint="eastAsia" w:ascii="黑体" w:hAnsi="黑体" w:eastAsia="黑体"/>
                <w:color w:val="000000"/>
                <w:kern w:val="0"/>
                <w:szCs w:val="21"/>
              </w:rPr>
              <w:t>考核的关键技术指标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49" w:hRule="atLeast"/>
          <w:jc w:val="center"/>
        </w:trPr>
        <w:tc>
          <w:tcPr>
            <w:tcW w:w="704" w:type="dxa"/>
            <w:vAlign w:val="center"/>
          </w:tcPr>
          <w:p>
            <w:pPr>
              <w:overflowPunct w:val="0"/>
              <w:adjustRightInd w:val="0"/>
              <w:snapToGrid w:val="0"/>
              <w:spacing w:line="300" w:lineRule="exact"/>
              <w:jc w:val="center"/>
              <w:rPr>
                <w:color w:val="000000"/>
                <w:kern w:val="0"/>
                <w:szCs w:val="21"/>
              </w:rPr>
            </w:pPr>
            <w:r>
              <w:rPr>
                <w:color w:val="000000"/>
                <w:kern w:val="0"/>
                <w:szCs w:val="21"/>
              </w:rPr>
              <w:t>1</w:t>
            </w:r>
          </w:p>
        </w:tc>
        <w:tc>
          <w:tcPr>
            <w:tcW w:w="1382" w:type="dxa"/>
            <w:vAlign w:val="center"/>
          </w:tcPr>
          <w:p>
            <w:pPr>
              <w:widowControl/>
              <w:spacing w:line="300" w:lineRule="exact"/>
              <w:jc w:val="center"/>
              <w:rPr>
                <w:color w:val="000000"/>
                <w:szCs w:val="21"/>
              </w:rPr>
            </w:pPr>
            <w:r>
              <w:rPr>
                <w:rFonts w:hint="eastAsia"/>
                <w:color w:val="000000"/>
                <w:szCs w:val="21"/>
              </w:rPr>
              <w:t>江苏创健医疗科技股份有限公司</w:t>
            </w:r>
          </w:p>
        </w:tc>
        <w:tc>
          <w:tcPr>
            <w:tcW w:w="1984" w:type="dxa"/>
            <w:vAlign w:val="center"/>
          </w:tcPr>
          <w:p>
            <w:pPr>
              <w:spacing w:line="300" w:lineRule="exact"/>
              <w:jc w:val="center"/>
              <w:rPr>
                <w:color w:val="000000"/>
                <w:szCs w:val="21"/>
              </w:rPr>
            </w:pPr>
            <w:r>
              <w:rPr>
                <w:rFonts w:hint="eastAsia"/>
                <w:color w:val="000000"/>
                <w:szCs w:val="21"/>
              </w:rPr>
              <w:t>类人翻译后修饰模式毕氏酵母底盘宿主菌株的研究</w:t>
            </w:r>
          </w:p>
        </w:tc>
        <w:tc>
          <w:tcPr>
            <w:tcW w:w="851" w:type="dxa"/>
            <w:vAlign w:val="center"/>
          </w:tcPr>
          <w:p>
            <w:pPr>
              <w:widowControl/>
              <w:spacing w:line="300" w:lineRule="exact"/>
              <w:jc w:val="center"/>
              <w:rPr>
                <w:color w:val="000000"/>
                <w:szCs w:val="21"/>
              </w:rPr>
            </w:pPr>
            <w:r>
              <w:rPr>
                <w:rFonts w:hint="eastAsia"/>
                <w:color w:val="000000"/>
                <w:szCs w:val="21"/>
              </w:rPr>
              <w:t>500</w:t>
            </w:r>
          </w:p>
        </w:tc>
        <w:tc>
          <w:tcPr>
            <w:tcW w:w="4678" w:type="dxa"/>
            <w:vAlign w:val="center"/>
          </w:tcPr>
          <w:p>
            <w:pPr>
              <w:overflowPunct w:val="0"/>
              <w:adjustRightInd w:val="0"/>
              <w:snapToGrid w:val="0"/>
              <w:spacing w:line="260" w:lineRule="exact"/>
              <w:rPr>
                <w:color w:val="000000"/>
                <w:szCs w:val="21"/>
              </w:rPr>
            </w:pPr>
            <w:r>
              <w:rPr>
                <w:rFonts w:hint="eastAsia"/>
                <w:color w:val="000000"/>
                <w:szCs w:val="21"/>
              </w:rPr>
              <w:t>研究并开发人源化唾液酸修饰N-糖基化重组蛋白的自主知识产权的毕赤酵母底盘细胞，研究需求如下：</w:t>
            </w:r>
          </w:p>
          <w:p>
            <w:pPr>
              <w:overflowPunct w:val="0"/>
              <w:adjustRightInd w:val="0"/>
              <w:snapToGrid w:val="0"/>
              <w:spacing w:line="260" w:lineRule="exact"/>
              <w:rPr>
                <w:color w:val="000000"/>
                <w:szCs w:val="21"/>
              </w:rPr>
            </w:pPr>
            <w:r>
              <w:rPr>
                <w:rFonts w:hint="eastAsia"/>
                <w:color w:val="000000"/>
                <w:szCs w:val="21"/>
              </w:rPr>
              <w:t>1.在毕赤酵母基因组上重新编辑寡糖合成途径，构建双天线N-修饰寡糖链Gal2GlcNA</w:t>
            </w:r>
            <w:r>
              <w:rPr>
                <w:color w:val="000000"/>
                <w:szCs w:val="21"/>
              </w:rPr>
              <w:t xml:space="preserve"> </w:t>
            </w:r>
            <w:r>
              <w:rPr>
                <w:rFonts w:hint="eastAsia"/>
                <w:color w:val="000000"/>
                <w:szCs w:val="21"/>
              </w:rPr>
              <w:t>c2Man3GlcNAc2工程菌株；</w:t>
            </w:r>
          </w:p>
          <w:p>
            <w:pPr>
              <w:overflowPunct w:val="0"/>
              <w:adjustRightInd w:val="0"/>
              <w:snapToGrid w:val="0"/>
              <w:spacing w:line="260" w:lineRule="exact"/>
              <w:rPr>
                <w:color w:val="000000"/>
                <w:szCs w:val="21"/>
              </w:rPr>
            </w:pPr>
            <w:r>
              <w:rPr>
                <w:rFonts w:hint="eastAsia"/>
                <w:color w:val="000000"/>
                <w:szCs w:val="21"/>
              </w:rPr>
              <w:t>2.在毕赤酵母基因组上编辑唾液酸合成与修饰途径，构建可用于糖基化药物蛋白生产的双天线末端唾液酸修饰N-修饰寡糖链Sia2Gal2GlcNAc2Man3GlcNAc2工程菌株；</w:t>
            </w:r>
          </w:p>
          <w:p>
            <w:pPr>
              <w:overflowPunct w:val="0"/>
              <w:adjustRightInd w:val="0"/>
              <w:snapToGrid w:val="0"/>
              <w:spacing w:line="260" w:lineRule="exact"/>
              <w:rPr>
                <w:color w:val="000000"/>
                <w:szCs w:val="21"/>
              </w:rPr>
            </w:pPr>
            <w:r>
              <w:rPr>
                <w:rFonts w:hint="eastAsia"/>
                <w:color w:val="000000"/>
                <w:szCs w:val="21"/>
              </w:rPr>
              <w:t>3.对构建的毕赤酵母底盘细胞进行酵母生物学相关研究。</w:t>
            </w:r>
          </w:p>
        </w:tc>
        <w:tc>
          <w:tcPr>
            <w:tcW w:w="4605" w:type="dxa"/>
            <w:vAlign w:val="center"/>
          </w:tcPr>
          <w:p>
            <w:pPr>
              <w:overflowPunct w:val="0"/>
              <w:adjustRightInd w:val="0"/>
              <w:snapToGrid w:val="0"/>
              <w:spacing w:line="260" w:lineRule="exact"/>
              <w:rPr>
                <w:color w:val="000000"/>
                <w:szCs w:val="21"/>
              </w:rPr>
            </w:pPr>
            <w:r>
              <w:rPr>
                <w:rFonts w:hint="eastAsia"/>
                <w:color w:val="000000"/>
                <w:szCs w:val="21"/>
              </w:rPr>
              <w:t>1.清除原毕赤酵母原有的N-糖基化修饰机制。</w:t>
            </w:r>
          </w:p>
          <w:p>
            <w:pPr>
              <w:overflowPunct w:val="0"/>
              <w:adjustRightInd w:val="0"/>
              <w:snapToGrid w:val="0"/>
              <w:spacing w:line="260" w:lineRule="exact"/>
              <w:rPr>
                <w:color w:val="000000"/>
                <w:szCs w:val="21"/>
              </w:rPr>
            </w:pPr>
            <w:r>
              <w:rPr>
                <w:rFonts w:hint="eastAsia"/>
                <w:color w:val="000000"/>
                <w:szCs w:val="21"/>
              </w:rPr>
              <w:t>2.构建可生产双天线均质性N-修饰寡糖链Gal2GlcNAc2Man3GlcNAc2重组蛋白的毕赤酵母底盘细胞；构建可生产双天线末端唾液酸修饰N-修饰寡糖链Sia2Gal2GlcNAc2Man3GlcNAc2重组蛋白的毕赤酵母底盘细胞，唾液酸修饰效率超80%。</w:t>
            </w:r>
          </w:p>
          <w:p>
            <w:pPr>
              <w:overflowPunct w:val="0"/>
              <w:adjustRightInd w:val="0"/>
              <w:snapToGrid w:val="0"/>
              <w:spacing w:line="260" w:lineRule="exact"/>
              <w:rPr>
                <w:color w:val="000000"/>
                <w:szCs w:val="21"/>
              </w:rPr>
            </w:pPr>
            <w:r>
              <w:rPr>
                <w:rFonts w:hint="eastAsia"/>
                <w:color w:val="000000"/>
                <w:szCs w:val="21"/>
              </w:rPr>
              <w:t>3.构建毕赤酵母底盘细胞与改造前原毕赤酵母底盘细胞具有相同或类似的蛋白表达水平，并经不少于3种蛋白质重组表达的验证。</w:t>
            </w:r>
          </w:p>
          <w:p>
            <w:pPr>
              <w:overflowPunct w:val="0"/>
              <w:adjustRightInd w:val="0"/>
              <w:snapToGrid w:val="0"/>
              <w:spacing w:line="260" w:lineRule="exact"/>
              <w:rPr>
                <w:color w:val="000000"/>
                <w:szCs w:val="21"/>
              </w:rPr>
            </w:pPr>
            <w:r>
              <w:rPr>
                <w:rFonts w:hint="eastAsia"/>
                <w:color w:val="000000"/>
                <w:szCs w:val="21"/>
              </w:rPr>
              <w:t>4.共同发表1-2篇学术论文；协助发榜方申请发明专利1-2项。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31" w:hRule="atLeast"/>
          <w:jc w:val="center"/>
        </w:trPr>
        <w:tc>
          <w:tcPr>
            <w:tcW w:w="704" w:type="dxa"/>
            <w:vAlign w:val="center"/>
          </w:tcPr>
          <w:p>
            <w:pPr>
              <w:overflowPunct w:val="0"/>
              <w:adjustRightInd w:val="0"/>
              <w:snapToGrid w:val="0"/>
              <w:spacing w:line="300" w:lineRule="exact"/>
              <w:jc w:val="center"/>
              <w:rPr>
                <w:color w:val="000000"/>
                <w:kern w:val="0"/>
                <w:szCs w:val="21"/>
              </w:rPr>
            </w:pPr>
            <w:r>
              <w:rPr>
                <w:color w:val="000000"/>
                <w:kern w:val="0"/>
                <w:szCs w:val="21"/>
              </w:rPr>
              <w:t>2</w:t>
            </w:r>
          </w:p>
        </w:tc>
        <w:tc>
          <w:tcPr>
            <w:tcW w:w="1382" w:type="dxa"/>
            <w:vAlign w:val="center"/>
          </w:tcPr>
          <w:p>
            <w:pPr>
              <w:spacing w:line="300" w:lineRule="exact"/>
              <w:jc w:val="center"/>
              <w:rPr>
                <w:color w:val="000000"/>
                <w:szCs w:val="21"/>
              </w:rPr>
            </w:pPr>
            <w:r>
              <w:rPr>
                <w:rFonts w:hint="eastAsia"/>
                <w:color w:val="000000"/>
                <w:szCs w:val="21"/>
              </w:rPr>
              <w:t>惠农达生物技术（江苏）有限公司</w:t>
            </w:r>
          </w:p>
        </w:tc>
        <w:tc>
          <w:tcPr>
            <w:tcW w:w="1984" w:type="dxa"/>
            <w:vAlign w:val="center"/>
          </w:tcPr>
          <w:p>
            <w:pPr>
              <w:spacing w:line="300" w:lineRule="exact"/>
              <w:jc w:val="center"/>
              <w:rPr>
                <w:color w:val="000000"/>
                <w:szCs w:val="21"/>
              </w:rPr>
            </w:pPr>
            <w:r>
              <w:rPr>
                <w:rFonts w:hint="eastAsia"/>
                <w:color w:val="000000"/>
                <w:szCs w:val="21"/>
              </w:rPr>
              <w:t>地衣芽孢杆菌作为非洲猪瘟病毒口服疫苗递送载体的研究和应用</w:t>
            </w:r>
          </w:p>
        </w:tc>
        <w:tc>
          <w:tcPr>
            <w:tcW w:w="851" w:type="dxa"/>
            <w:vAlign w:val="center"/>
          </w:tcPr>
          <w:p>
            <w:pPr>
              <w:spacing w:line="300" w:lineRule="exact"/>
              <w:jc w:val="center"/>
              <w:rPr>
                <w:color w:val="000000"/>
                <w:szCs w:val="21"/>
              </w:rPr>
            </w:pPr>
            <w:r>
              <w:rPr>
                <w:rFonts w:hint="eastAsia"/>
                <w:color w:val="000000"/>
                <w:szCs w:val="21"/>
              </w:rPr>
              <w:t>300</w:t>
            </w:r>
          </w:p>
        </w:tc>
        <w:tc>
          <w:tcPr>
            <w:tcW w:w="4678" w:type="dxa"/>
            <w:vAlign w:val="center"/>
          </w:tcPr>
          <w:p>
            <w:pPr>
              <w:overflowPunct w:val="0"/>
              <w:adjustRightInd w:val="0"/>
              <w:snapToGrid w:val="0"/>
              <w:spacing w:line="260" w:lineRule="exact"/>
              <w:rPr>
                <w:color w:val="000000"/>
                <w:szCs w:val="21"/>
              </w:rPr>
            </w:pPr>
            <w:r>
              <w:rPr>
                <w:rFonts w:hint="eastAsia"/>
                <w:color w:val="000000"/>
                <w:szCs w:val="21"/>
              </w:rPr>
              <w:t>为应对非洲猪瘟、高致病性蓝耳病、猪圆环病毒病等危险，拟研究以基因重组芽孢杆菌为递送载体的口服黏膜疫苗制备技术。主要需求如下：</w:t>
            </w:r>
          </w:p>
          <w:p>
            <w:pPr>
              <w:overflowPunct w:val="0"/>
              <w:adjustRightInd w:val="0"/>
              <w:snapToGrid w:val="0"/>
              <w:spacing w:line="260" w:lineRule="exact"/>
              <w:rPr>
                <w:color w:val="000000"/>
                <w:szCs w:val="21"/>
              </w:rPr>
            </w:pPr>
            <w:r>
              <w:rPr>
                <w:rFonts w:hint="eastAsia"/>
                <w:color w:val="000000"/>
                <w:szCs w:val="21"/>
              </w:rPr>
              <w:t>1.非洲猪瘟病毒（ASFV）结构蛋白的免疫原性分析及表达域的筛选；</w:t>
            </w:r>
          </w:p>
          <w:p>
            <w:pPr>
              <w:overflowPunct w:val="0"/>
              <w:adjustRightInd w:val="0"/>
              <w:snapToGrid w:val="0"/>
              <w:spacing w:line="260" w:lineRule="exact"/>
              <w:rPr>
                <w:color w:val="000000"/>
                <w:szCs w:val="21"/>
              </w:rPr>
            </w:pPr>
            <w:r>
              <w:rPr>
                <w:rFonts w:hint="eastAsia"/>
                <w:color w:val="000000"/>
                <w:szCs w:val="21"/>
              </w:rPr>
              <w:t>2.重组地衣芽孢杆菌表达载体的构建及筛选；</w:t>
            </w:r>
          </w:p>
          <w:p>
            <w:pPr>
              <w:overflowPunct w:val="0"/>
              <w:adjustRightInd w:val="0"/>
              <w:snapToGrid w:val="0"/>
              <w:spacing w:line="260" w:lineRule="exact"/>
              <w:rPr>
                <w:color w:val="000000"/>
                <w:szCs w:val="21"/>
              </w:rPr>
            </w:pPr>
            <w:r>
              <w:rPr>
                <w:rFonts w:hint="eastAsia"/>
                <w:color w:val="000000"/>
                <w:szCs w:val="21"/>
              </w:rPr>
              <w:t>3.三种重组地衣芽孢杆菌表达ASFV免疫原蛋白的特征分析；</w:t>
            </w:r>
          </w:p>
          <w:p>
            <w:pPr>
              <w:overflowPunct w:val="0"/>
              <w:adjustRightInd w:val="0"/>
              <w:snapToGrid w:val="0"/>
              <w:spacing w:line="260" w:lineRule="exact"/>
              <w:rPr>
                <w:color w:val="000000"/>
                <w:szCs w:val="21"/>
              </w:rPr>
            </w:pPr>
            <w:r>
              <w:rPr>
                <w:rFonts w:hint="eastAsia"/>
                <w:color w:val="000000"/>
                <w:szCs w:val="21"/>
              </w:rPr>
              <w:t>4.ASFV重组地衣芽孢杆菌的免疫效力评价；</w:t>
            </w:r>
          </w:p>
          <w:p>
            <w:pPr>
              <w:overflowPunct w:val="0"/>
              <w:adjustRightInd w:val="0"/>
              <w:snapToGrid w:val="0"/>
              <w:spacing w:line="260" w:lineRule="exact"/>
              <w:rPr>
                <w:color w:val="000000"/>
                <w:szCs w:val="21"/>
              </w:rPr>
            </w:pPr>
            <w:r>
              <w:rPr>
                <w:rFonts w:hint="eastAsia"/>
                <w:color w:val="000000"/>
                <w:szCs w:val="21"/>
              </w:rPr>
              <w:t>5.重组地衣芽孢杆菌的发酵工艺优化；</w:t>
            </w:r>
          </w:p>
          <w:p>
            <w:pPr>
              <w:overflowPunct w:val="0"/>
              <w:adjustRightInd w:val="0"/>
              <w:snapToGrid w:val="0"/>
              <w:spacing w:line="260" w:lineRule="exact"/>
              <w:rPr>
                <w:color w:val="000000"/>
                <w:szCs w:val="21"/>
              </w:rPr>
            </w:pPr>
            <w:r>
              <w:rPr>
                <w:rFonts w:hint="eastAsia"/>
                <w:color w:val="000000"/>
                <w:szCs w:val="21"/>
              </w:rPr>
              <w:t>6.重组地衣芽孢杆菌疫苗产品的有效性及安全性评估。</w:t>
            </w:r>
          </w:p>
        </w:tc>
        <w:tc>
          <w:tcPr>
            <w:tcW w:w="4605" w:type="dxa"/>
            <w:vAlign w:val="center"/>
          </w:tcPr>
          <w:p>
            <w:pPr>
              <w:overflowPunct w:val="0"/>
              <w:adjustRightInd w:val="0"/>
              <w:snapToGrid w:val="0"/>
              <w:spacing w:line="260" w:lineRule="exact"/>
              <w:rPr>
                <w:color w:val="000000"/>
                <w:szCs w:val="21"/>
              </w:rPr>
            </w:pPr>
            <w:r>
              <w:rPr>
                <w:rFonts w:hint="eastAsia"/>
                <w:color w:val="000000"/>
                <w:szCs w:val="21"/>
              </w:rPr>
              <w:t>1.构建5种以上以重组地衣芽孢杆菌为递送载体的口服黏膜疫苗，并完成ASFV重组地衣芽孢杆菌的免疫效力评价；</w:t>
            </w:r>
          </w:p>
          <w:p>
            <w:pPr>
              <w:overflowPunct w:val="0"/>
              <w:adjustRightInd w:val="0"/>
              <w:snapToGrid w:val="0"/>
              <w:spacing w:line="260" w:lineRule="exact"/>
              <w:rPr>
                <w:color w:val="000000"/>
                <w:szCs w:val="21"/>
              </w:rPr>
            </w:pPr>
            <w:r>
              <w:rPr>
                <w:rFonts w:hint="eastAsia"/>
                <w:color w:val="000000"/>
                <w:szCs w:val="21"/>
              </w:rPr>
              <w:t>2.完成ASFV重组地衣芽孢杆菌的免疫效力评价，三种以上的ASFV重组口服疫苗可有效引起家猪免疫系统应答，并为其提供40％以上的保护效果；</w:t>
            </w:r>
          </w:p>
          <w:p>
            <w:pPr>
              <w:overflowPunct w:val="0"/>
              <w:adjustRightInd w:val="0"/>
              <w:snapToGrid w:val="0"/>
              <w:spacing w:line="260" w:lineRule="exact"/>
              <w:rPr>
                <w:color w:val="000000"/>
                <w:szCs w:val="21"/>
              </w:rPr>
            </w:pPr>
            <w:r>
              <w:rPr>
                <w:rFonts w:hint="eastAsia"/>
                <w:color w:val="000000"/>
                <w:szCs w:val="21"/>
              </w:rPr>
              <w:t>3.完成ASFV重组地衣芽孢杆菌的发酵工艺优化和稳定性研究，初步实现ASFV重组地衣芽孢杆菌口服疫苗在300L规模发酵罐上的工艺验证。</w:t>
            </w:r>
          </w:p>
          <w:p>
            <w:pPr>
              <w:overflowPunct w:val="0"/>
              <w:adjustRightInd w:val="0"/>
              <w:snapToGrid w:val="0"/>
              <w:spacing w:line="260" w:lineRule="exact"/>
              <w:rPr>
                <w:color w:val="000000"/>
                <w:szCs w:val="21"/>
              </w:rPr>
            </w:pPr>
            <w:r>
              <w:rPr>
                <w:rFonts w:hint="eastAsia"/>
                <w:color w:val="000000"/>
                <w:szCs w:val="21"/>
              </w:rPr>
              <w:t>4.为企业培养相关技术人员5人。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638" w:hRule="atLeast"/>
          <w:jc w:val="center"/>
        </w:trPr>
        <w:tc>
          <w:tcPr>
            <w:tcW w:w="704" w:type="dxa"/>
            <w:vAlign w:val="center"/>
          </w:tcPr>
          <w:p>
            <w:pPr>
              <w:overflowPunct w:val="0"/>
              <w:adjustRightInd w:val="0"/>
              <w:snapToGrid w:val="0"/>
              <w:spacing w:line="300" w:lineRule="exact"/>
              <w:jc w:val="center"/>
              <w:rPr>
                <w:color w:val="000000"/>
                <w:kern w:val="0"/>
                <w:szCs w:val="21"/>
              </w:rPr>
            </w:pPr>
            <w:r>
              <w:rPr>
                <w:color w:val="000000"/>
                <w:kern w:val="0"/>
                <w:szCs w:val="21"/>
              </w:rPr>
              <w:t>3</w:t>
            </w:r>
          </w:p>
        </w:tc>
        <w:tc>
          <w:tcPr>
            <w:tcW w:w="1382" w:type="dxa"/>
            <w:vAlign w:val="center"/>
          </w:tcPr>
          <w:p>
            <w:pPr>
              <w:spacing w:line="300" w:lineRule="exact"/>
              <w:jc w:val="center"/>
              <w:rPr>
                <w:color w:val="000000"/>
                <w:szCs w:val="21"/>
              </w:rPr>
            </w:pPr>
            <w:r>
              <w:rPr>
                <w:rFonts w:hint="eastAsia"/>
                <w:color w:val="000000"/>
                <w:szCs w:val="21"/>
              </w:rPr>
              <w:t>常州制药厂有限公司</w:t>
            </w:r>
          </w:p>
        </w:tc>
        <w:tc>
          <w:tcPr>
            <w:tcW w:w="1984" w:type="dxa"/>
            <w:vAlign w:val="center"/>
          </w:tcPr>
          <w:p>
            <w:pPr>
              <w:spacing w:line="300" w:lineRule="exact"/>
              <w:jc w:val="center"/>
              <w:rPr>
                <w:color w:val="000000"/>
                <w:szCs w:val="21"/>
              </w:rPr>
            </w:pPr>
            <w:r>
              <w:rPr>
                <w:rFonts w:hint="eastAsia"/>
                <w:color w:val="000000"/>
                <w:szCs w:val="21"/>
              </w:rPr>
              <w:t>基于合成生物学的GLP-1多肽类药物制备工艺开发</w:t>
            </w:r>
          </w:p>
        </w:tc>
        <w:tc>
          <w:tcPr>
            <w:tcW w:w="851" w:type="dxa"/>
            <w:vAlign w:val="center"/>
          </w:tcPr>
          <w:p>
            <w:pPr>
              <w:spacing w:line="300" w:lineRule="exact"/>
              <w:jc w:val="center"/>
              <w:rPr>
                <w:color w:val="000000"/>
                <w:szCs w:val="21"/>
              </w:rPr>
            </w:pPr>
            <w:r>
              <w:rPr>
                <w:rFonts w:hint="eastAsia"/>
                <w:color w:val="000000"/>
                <w:szCs w:val="21"/>
              </w:rPr>
              <w:t>600</w:t>
            </w:r>
          </w:p>
        </w:tc>
        <w:tc>
          <w:tcPr>
            <w:tcW w:w="4678" w:type="dxa"/>
            <w:vAlign w:val="center"/>
          </w:tcPr>
          <w:p>
            <w:pPr>
              <w:overflowPunct w:val="0"/>
              <w:adjustRightInd w:val="0"/>
              <w:snapToGrid w:val="0"/>
              <w:spacing w:line="300" w:lineRule="exact"/>
              <w:rPr>
                <w:color w:val="000000"/>
                <w:szCs w:val="21"/>
              </w:rPr>
            </w:pPr>
            <w:r>
              <w:rPr>
                <w:rFonts w:hint="eastAsia"/>
                <w:color w:val="000000"/>
                <w:szCs w:val="21"/>
              </w:rPr>
              <w:t>司美格鲁肽原料药有两种制备方式，生物合成法和化学合成法，总体而言，生物合成法成本相对较低，因此为降本增效，重点提出以下需求：</w:t>
            </w:r>
          </w:p>
          <w:p>
            <w:pPr>
              <w:overflowPunct w:val="0"/>
              <w:adjustRightInd w:val="0"/>
              <w:snapToGrid w:val="0"/>
              <w:spacing w:line="300" w:lineRule="exact"/>
              <w:rPr>
                <w:color w:val="000000"/>
                <w:szCs w:val="21"/>
              </w:rPr>
            </w:pPr>
            <w:r>
              <w:rPr>
                <w:rFonts w:hint="eastAsia"/>
                <w:color w:val="000000"/>
                <w:szCs w:val="21"/>
              </w:rPr>
              <w:t>1.通过合成生物学技术，开发合适的基因工程菌株来发酵制备司美格鲁肽原料药主链；</w:t>
            </w:r>
          </w:p>
          <w:p>
            <w:pPr>
              <w:overflowPunct w:val="0"/>
              <w:adjustRightInd w:val="0"/>
              <w:snapToGrid w:val="0"/>
              <w:spacing w:line="300" w:lineRule="exact"/>
              <w:rPr>
                <w:color w:val="000000"/>
                <w:szCs w:val="21"/>
              </w:rPr>
            </w:pPr>
            <w:r>
              <w:rPr>
                <w:rFonts w:hint="eastAsia"/>
                <w:color w:val="000000"/>
                <w:szCs w:val="21"/>
              </w:rPr>
              <w:t>2.通过优化发酵工艺参数，开发出稳定可中试的发酵工艺，进而制备合格的司美格鲁肽原料药。</w:t>
            </w:r>
          </w:p>
        </w:tc>
        <w:tc>
          <w:tcPr>
            <w:tcW w:w="4605" w:type="dxa"/>
            <w:vAlign w:val="center"/>
          </w:tcPr>
          <w:p>
            <w:pPr>
              <w:overflowPunct w:val="0"/>
              <w:adjustRightInd w:val="0"/>
              <w:snapToGrid w:val="0"/>
              <w:spacing w:line="300" w:lineRule="exact"/>
              <w:rPr>
                <w:color w:val="000000"/>
                <w:szCs w:val="21"/>
              </w:rPr>
            </w:pPr>
            <w:r>
              <w:rPr>
                <w:rFonts w:hint="eastAsia"/>
                <w:color w:val="000000"/>
                <w:szCs w:val="21"/>
              </w:rPr>
              <w:t>1.完成合成生物法发酵所需菌株开发；</w:t>
            </w:r>
          </w:p>
          <w:p>
            <w:pPr>
              <w:overflowPunct w:val="0"/>
              <w:adjustRightInd w:val="0"/>
              <w:snapToGrid w:val="0"/>
              <w:spacing w:line="300" w:lineRule="exact"/>
              <w:rPr>
                <w:color w:val="000000"/>
                <w:szCs w:val="21"/>
              </w:rPr>
            </w:pPr>
            <w:r>
              <w:rPr>
                <w:rFonts w:hint="eastAsia"/>
                <w:color w:val="000000"/>
                <w:szCs w:val="21"/>
              </w:rPr>
              <w:t>2.采用该技术所得产品质量符合ICH指南及国家发布的指导原则；</w:t>
            </w:r>
          </w:p>
          <w:p>
            <w:pPr>
              <w:overflowPunct w:val="0"/>
              <w:adjustRightInd w:val="0"/>
              <w:snapToGrid w:val="0"/>
              <w:spacing w:line="300" w:lineRule="exact"/>
              <w:rPr>
                <w:color w:val="000000"/>
                <w:szCs w:val="21"/>
              </w:rPr>
            </w:pPr>
            <w:r>
              <w:rPr>
                <w:rFonts w:hint="eastAsia"/>
                <w:color w:val="000000"/>
                <w:szCs w:val="21"/>
              </w:rPr>
              <w:t>3.司美格鲁肽原料药每公斤成本控制在25,000美元内或具有市场竞争力；</w:t>
            </w:r>
          </w:p>
          <w:p>
            <w:pPr>
              <w:overflowPunct w:val="0"/>
              <w:adjustRightInd w:val="0"/>
              <w:snapToGrid w:val="0"/>
              <w:spacing w:line="300" w:lineRule="exact"/>
              <w:rPr>
                <w:color w:val="000000"/>
                <w:szCs w:val="21"/>
              </w:rPr>
            </w:pPr>
            <w:r>
              <w:rPr>
                <w:rFonts w:hint="eastAsia"/>
                <w:color w:val="000000"/>
                <w:szCs w:val="21"/>
              </w:rPr>
              <w:t>4.申请至少一件发明专利。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72" w:hRule="atLeast"/>
          <w:jc w:val="center"/>
        </w:trPr>
        <w:tc>
          <w:tcPr>
            <w:tcW w:w="704" w:type="dxa"/>
            <w:vAlign w:val="center"/>
          </w:tcPr>
          <w:p>
            <w:pPr>
              <w:overflowPunct w:val="0"/>
              <w:adjustRightInd w:val="0"/>
              <w:snapToGrid w:val="0"/>
              <w:spacing w:line="300" w:lineRule="exact"/>
              <w:jc w:val="center"/>
              <w:rPr>
                <w:color w:val="000000"/>
                <w:kern w:val="0"/>
                <w:szCs w:val="21"/>
              </w:rPr>
            </w:pPr>
            <w:r>
              <w:rPr>
                <w:color w:val="000000"/>
                <w:kern w:val="0"/>
                <w:szCs w:val="21"/>
              </w:rPr>
              <w:t>4</w:t>
            </w:r>
          </w:p>
        </w:tc>
        <w:tc>
          <w:tcPr>
            <w:tcW w:w="1382" w:type="dxa"/>
            <w:vAlign w:val="center"/>
          </w:tcPr>
          <w:p>
            <w:pPr>
              <w:spacing w:line="300" w:lineRule="exact"/>
              <w:jc w:val="center"/>
              <w:rPr>
                <w:color w:val="000000"/>
                <w:szCs w:val="21"/>
              </w:rPr>
            </w:pPr>
            <w:r>
              <w:rPr>
                <w:rFonts w:hint="eastAsia"/>
                <w:color w:val="000000"/>
                <w:szCs w:val="21"/>
              </w:rPr>
              <w:t>江苏康润生物科技有限公司</w:t>
            </w:r>
          </w:p>
        </w:tc>
        <w:tc>
          <w:tcPr>
            <w:tcW w:w="1984" w:type="dxa"/>
            <w:vAlign w:val="center"/>
          </w:tcPr>
          <w:p>
            <w:pPr>
              <w:spacing w:line="300" w:lineRule="exact"/>
              <w:jc w:val="center"/>
              <w:rPr>
                <w:color w:val="000000"/>
                <w:szCs w:val="21"/>
              </w:rPr>
            </w:pPr>
            <w:r>
              <w:rPr>
                <w:rFonts w:hint="eastAsia"/>
                <w:color w:val="000000"/>
                <w:szCs w:val="21"/>
              </w:rPr>
              <w:t>基于合成生物学技术的金黄色葡萄球菌疫苗开发项目</w:t>
            </w:r>
          </w:p>
        </w:tc>
        <w:tc>
          <w:tcPr>
            <w:tcW w:w="851" w:type="dxa"/>
            <w:vAlign w:val="center"/>
          </w:tcPr>
          <w:p>
            <w:pPr>
              <w:spacing w:line="300" w:lineRule="exact"/>
              <w:jc w:val="center"/>
              <w:rPr>
                <w:color w:val="000000"/>
                <w:szCs w:val="21"/>
              </w:rPr>
            </w:pPr>
            <w:r>
              <w:rPr>
                <w:rFonts w:hint="eastAsia"/>
                <w:color w:val="000000"/>
                <w:szCs w:val="21"/>
              </w:rPr>
              <w:t>400</w:t>
            </w:r>
          </w:p>
        </w:tc>
        <w:tc>
          <w:tcPr>
            <w:tcW w:w="4678" w:type="dxa"/>
            <w:vAlign w:val="center"/>
          </w:tcPr>
          <w:p>
            <w:pPr>
              <w:overflowPunct w:val="0"/>
              <w:adjustRightInd w:val="0"/>
              <w:snapToGrid w:val="0"/>
              <w:spacing w:line="300" w:lineRule="exact"/>
              <w:rPr>
                <w:color w:val="000000"/>
                <w:szCs w:val="21"/>
              </w:rPr>
            </w:pPr>
            <w:r>
              <w:rPr>
                <w:rFonts w:hint="eastAsia"/>
                <w:color w:val="000000"/>
                <w:szCs w:val="21"/>
              </w:rPr>
              <w:t>基于合成生物学的疫苗研发路线，使用发榜单位独有的理性化设计及定向改造的全菌疫苗平台（ProBVax（Programming Bacterial cells for Vaccine））进行金葡菌疫苗的开发。该产品已完成临床前概念验证，为完成其关键的临床前动物模型评价工作，提出如下需求：</w:t>
            </w:r>
          </w:p>
          <w:p>
            <w:pPr>
              <w:overflowPunct w:val="0"/>
              <w:adjustRightInd w:val="0"/>
              <w:snapToGrid w:val="0"/>
              <w:spacing w:line="300" w:lineRule="exact"/>
              <w:rPr>
                <w:color w:val="000000"/>
                <w:szCs w:val="21"/>
              </w:rPr>
            </w:pPr>
            <w:r>
              <w:rPr>
                <w:rFonts w:hint="eastAsia"/>
                <w:color w:val="000000"/>
                <w:szCs w:val="21"/>
              </w:rPr>
              <w:t>1.安全性评价：在灵长类动物中开展拟申报产品的临床前动物安全评价，为IND申报提供毒理学研究资料；</w:t>
            </w:r>
          </w:p>
          <w:p>
            <w:pPr>
              <w:overflowPunct w:val="0"/>
              <w:adjustRightInd w:val="0"/>
              <w:snapToGrid w:val="0"/>
              <w:spacing w:line="300" w:lineRule="exact"/>
              <w:rPr>
                <w:color w:val="000000"/>
                <w:szCs w:val="21"/>
              </w:rPr>
            </w:pPr>
            <w:r>
              <w:rPr>
                <w:rFonts w:hint="eastAsia"/>
                <w:color w:val="000000"/>
                <w:szCs w:val="21"/>
              </w:rPr>
              <w:t>2.有效性评价：建立实验动物模型，进行动物免疫原性的研究，探索不同免疫剂量、免疫途径、免疫程序与免疫应答水平的关系以及免疫应答水平与免疫保护效果之间的关系，为IND申报提供药效学研究资料并为下一步临床研究提供免疫程序、剂量等方面的参考信息。</w:t>
            </w:r>
          </w:p>
        </w:tc>
        <w:tc>
          <w:tcPr>
            <w:tcW w:w="4605" w:type="dxa"/>
            <w:vAlign w:val="center"/>
          </w:tcPr>
          <w:p>
            <w:pPr>
              <w:overflowPunct w:val="0"/>
              <w:adjustRightInd w:val="0"/>
              <w:snapToGrid w:val="0"/>
              <w:spacing w:line="300" w:lineRule="exact"/>
              <w:rPr>
                <w:color w:val="000000"/>
                <w:szCs w:val="21"/>
              </w:rPr>
            </w:pPr>
            <w:r>
              <w:rPr>
                <w:rFonts w:hint="eastAsia"/>
                <w:color w:val="000000"/>
                <w:szCs w:val="21"/>
              </w:rPr>
              <w:t>1.动物安全性考察：在灵长类动物中开展拟申报产品的临床前动物安全评价，检测疫苗对动物的免疫反应以及毒副作用，获得相应报告；</w:t>
            </w:r>
          </w:p>
          <w:p>
            <w:pPr>
              <w:overflowPunct w:val="0"/>
              <w:adjustRightInd w:val="0"/>
              <w:snapToGrid w:val="0"/>
              <w:spacing w:line="300" w:lineRule="exact"/>
              <w:rPr>
                <w:color w:val="000000"/>
                <w:szCs w:val="21"/>
              </w:rPr>
            </w:pPr>
            <w:r>
              <w:rPr>
                <w:rFonts w:hint="eastAsia"/>
                <w:color w:val="000000"/>
                <w:szCs w:val="21"/>
              </w:rPr>
              <w:t>2.有效性考察：取得体内效力试验、体外效价检测结果和动物保护性试验报告，得出疫苗使用的剂量、免疫途径和免疫程序结论。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704" w:type="dxa"/>
            <w:vAlign w:val="center"/>
          </w:tcPr>
          <w:p>
            <w:pPr>
              <w:overflowPunct w:val="0"/>
              <w:adjustRightInd w:val="0"/>
              <w:snapToGrid w:val="0"/>
              <w:spacing w:line="300" w:lineRule="exact"/>
              <w:jc w:val="center"/>
              <w:rPr>
                <w:color w:val="000000"/>
                <w:kern w:val="0"/>
                <w:szCs w:val="21"/>
              </w:rPr>
            </w:pPr>
            <w:r>
              <w:rPr>
                <w:color w:val="000000"/>
                <w:kern w:val="0"/>
                <w:szCs w:val="21"/>
              </w:rPr>
              <w:t>5</w:t>
            </w:r>
          </w:p>
        </w:tc>
        <w:tc>
          <w:tcPr>
            <w:tcW w:w="1382" w:type="dxa"/>
            <w:vAlign w:val="center"/>
          </w:tcPr>
          <w:p>
            <w:pPr>
              <w:spacing w:line="300" w:lineRule="exact"/>
              <w:jc w:val="center"/>
              <w:rPr>
                <w:color w:val="000000"/>
                <w:szCs w:val="21"/>
              </w:rPr>
            </w:pPr>
            <w:r>
              <w:rPr>
                <w:rFonts w:hint="eastAsia"/>
                <w:color w:val="000000"/>
                <w:szCs w:val="21"/>
              </w:rPr>
              <w:t>江苏靶标生物医药研究所有限公司</w:t>
            </w:r>
          </w:p>
        </w:tc>
        <w:tc>
          <w:tcPr>
            <w:tcW w:w="1984" w:type="dxa"/>
            <w:vAlign w:val="center"/>
          </w:tcPr>
          <w:p>
            <w:pPr>
              <w:spacing w:line="300" w:lineRule="exact"/>
              <w:jc w:val="center"/>
              <w:rPr>
                <w:color w:val="000000"/>
                <w:szCs w:val="21"/>
              </w:rPr>
            </w:pPr>
            <w:r>
              <w:rPr>
                <w:rFonts w:hint="eastAsia"/>
                <w:color w:val="000000"/>
                <w:szCs w:val="21"/>
              </w:rPr>
              <w:t>针对放射性肠病等难治性肠炎的合成生物学活体微生物药物研发及应用</w:t>
            </w:r>
          </w:p>
        </w:tc>
        <w:tc>
          <w:tcPr>
            <w:tcW w:w="851" w:type="dxa"/>
            <w:vAlign w:val="center"/>
          </w:tcPr>
          <w:p>
            <w:pPr>
              <w:spacing w:line="300" w:lineRule="exact"/>
              <w:jc w:val="center"/>
              <w:rPr>
                <w:color w:val="000000"/>
                <w:szCs w:val="21"/>
              </w:rPr>
            </w:pPr>
            <w:r>
              <w:rPr>
                <w:rFonts w:hint="eastAsia"/>
                <w:color w:val="000000"/>
                <w:szCs w:val="21"/>
              </w:rPr>
              <w:t>220</w:t>
            </w:r>
          </w:p>
        </w:tc>
        <w:tc>
          <w:tcPr>
            <w:tcW w:w="4678" w:type="dxa"/>
            <w:vAlign w:val="center"/>
          </w:tcPr>
          <w:p>
            <w:pPr>
              <w:overflowPunct w:val="0"/>
              <w:adjustRightInd w:val="0"/>
              <w:snapToGrid w:val="0"/>
              <w:spacing w:line="280" w:lineRule="exact"/>
              <w:rPr>
                <w:color w:val="000000"/>
                <w:szCs w:val="21"/>
              </w:rPr>
            </w:pPr>
            <w:r>
              <w:rPr>
                <w:rFonts w:hint="eastAsia"/>
                <w:color w:val="000000"/>
                <w:szCs w:val="21"/>
              </w:rPr>
              <w:t>以安全性好的益生菌为底盘菌，通过合成生物学技术或者交叉生物技术，设计、改造和筛选肠炎治疗效果更好的肠炎治疗益生菌；在放射性直肠炎模型验证改造菌株对放射性直肠炎的疗效；菌株的安全性达到无毒或低毒等级；菌株的生长等性能不低于或与底盘益生菌株相当；菌株的稳定性不低于底盘菌株；建立菌株的上万剂量生产批量的生产工艺和质量控制体系。</w:t>
            </w:r>
          </w:p>
        </w:tc>
        <w:tc>
          <w:tcPr>
            <w:tcW w:w="4605" w:type="dxa"/>
            <w:vAlign w:val="center"/>
          </w:tcPr>
          <w:p>
            <w:pPr>
              <w:overflowPunct w:val="0"/>
              <w:adjustRightInd w:val="0"/>
              <w:snapToGrid w:val="0"/>
              <w:spacing w:line="280" w:lineRule="exact"/>
              <w:rPr>
                <w:color w:val="000000"/>
                <w:szCs w:val="21"/>
              </w:rPr>
            </w:pPr>
            <w:r>
              <w:rPr>
                <w:rFonts w:hint="eastAsia"/>
                <w:color w:val="000000"/>
                <w:szCs w:val="21"/>
              </w:rPr>
              <w:t>1.利用至少两种不同的技术路线(合成生物学技术或者交叉生物技术)改造和筛选治疗放射性直肠炎的益生菌株；</w:t>
            </w:r>
          </w:p>
          <w:p>
            <w:pPr>
              <w:overflowPunct w:val="0"/>
              <w:adjustRightInd w:val="0"/>
              <w:snapToGrid w:val="0"/>
              <w:spacing w:line="280" w:lineRule="exact"/>
              <w:rPr>
                <w:color w:val="000000"/>
                <w:szCs w:val="21"/>
              </w:rPr>
            </w:pPr>
            <w:r>
              <w:rPr>
                <w:rFonts w:hint="eastAsia"/>
                <w:color w:val="000000"/>
                <w:szCs w:val="21"/>
              </w:rPr>
              <w:t>2.开展体内外研究，验证其治疗放射性直肠炎的作用和功能(小鼠DSS肠炎模型上显著改善粪便成型度、便血情况和结直肠长度，DAI评分不高于2)；</w:t>
            </w:r>
          </w:p>
          <w:p>
            <w:pPr>
              <w:overflowPunct w:val="0"/>
              <w:adjustRightInd w:val="0"/>
              <w:snapToGrid w:val="0"/>
              <w:spacing w:line="280" w:lineRule="exact"/>
              <w:rPr>
                <w:color w:val="000000"/>
                <w:szCs w:val="21"/>
              </w:rPr>
            </w:pPr>
            <w:r>
              <w:rPr>
                <w:rFonts w:hint="eastAsia"/>
                <w:color w:val="000000"/>
                <w:szCs w:val="21"/>
              </w:rPr>
              <w:t>3.开展发酵工艺研究，获得稳定性的高产生产条件，活菌数不低于1.0x10</w:t>
            </w:r>
            <w:r>
              <w:rPr>
                <w:rFonts w:hint="eastAsia"/>
                <w:bCs/>
                <w:szCs w:val="21"/>
                <w:vertAlign w:val="superscript"/>
              </w:rPr>
              <w:t>10</w:t>
            </w:r>
            <w:r>
              <w:rPr>
                <w:rFonts w:hint="eastAsia"/>
                <w:color w:val="000000"/>
                <w:szCs w:val="21"/>
              </w:rPr>
              <w:t>CFU/mL；</w:t>
            </w:r>
          </w:p>
          <w:p>
            <w:pPr>
              <w:overflowPunct w:val="0"/>
              <w:adjustRightInd w:val="0"/>
              <w:snapToGrid w:val="0"/>
              <w:spacing w:line="280" w:lineRule="exact"/>
              <w:rPr>
                <w:color w:val="000000"/>
                <w:szCs w:val="21"/>
              </w:rPr>
            </w:pPr>
            <w:r>
              <w:rPr>
                <w:rFonts w:hint="eastAsia"/>
                <w:color w:val="000000"/>
                <w:szCs w:val="21"/>
              </w:rPr>
              <w:t>4.菌株的安全性达到无毒或低毒等级；</w:t>
            </w:r>
          </w:p>
          <w:p>
            <w:pPr>
              <w:overflowPunct w:val="0"/>
              <w:adjustRightInd w:val="0"/>
              <w:snapToGrid w:val="0"/>
              <w:spacing w:line="280" w:lineRule="exact"/>
              <w:rPr>
                <w:color w:val="000000"/>
                <w:szCs w:val="21"/>
              </w:rPr>
            </w:pPr>
            <w:r>
              <w:rPr>
                <w:rFonts w:hint="eastAsia"/>
                <w:color w:val="000000"/>
                <w:szCs w:val="21"/>
              </w:rPr>
              <w:t>5.建立菌株的上万剂量生产批量的生产工艺和稳定的质量控制体系；</w:t>
            </w:r>
          </w:p>
          <w:p>
            <w:pPr>
              <w:overflowPunct w:val="0"/>
              <w:adjustRightInd w:val="0"/>
              <w:snapToGrid w:val="0"/>
              <w:spacing w:line="280" w:lineRule="exact"/>
              <w:rPr>
                <w:color w:val="000000"/>
                <w:szCs w:val="21"/>
              </w:rPr>
            </w:pPr>
            <w:r>
              <w:rPr>
                <w:rFonts w:hint="eastAsia"/>
                <w:color w:val="000000"/>
                <w:szCs w:val="21"/>
              </w:rPr>
              <w:t>6.申请国内外发明专利不低于2项。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704" w:type="dxa"/>
            <w:vAlign w:val="center"/>
          </w:tcPr>
          <w:p>
            <w:pPr>
              <w:overflowPunct w:val="0"/>
              <w:adjustRightInd w:val="0"/>
              <w:snapToGrid w:val="0"/>
              <w:spacing w:line="300" w:lineRule="exact"/>
              <w:jc w:val="center"/>
              <w:rPr>
                <w:color w:val="000000"/>
                <w:kern w:val="0"/>
                <w:szCs w:val="21"/>
              </w:rPr>
            </w:pPr>
            <w:r>
              <w:rPr>
                <w:color w:val="000000"/>
                <w:kern w:val="0"/>
                <w:szCs w:val="21"/>
              </w:rPr>
              <w:t>6</w:t>
            </w:r>
          </w:p>
        </w:tc>
        <w:tc>
          <w:tcPr>
            <w:tcW w:w="1382" w:type="dxa"/>
            <w:vAlign w:val="center"/>
          </w:tcPr>
          <w:p>
            <w:pPr>
              <w:spacing w:line="300" w:lineRule="exact"/>
              <w:jc w:val="center"/>
              <w:rPr>
                <w:color w:val="000000"/>
                <w:szCs w:val="21"/>
              </w:rPr>
            </w:pPr>
            <w:r>
              <w:rPr>
                <w:rFonts w:hint="eastAsia"/>
                <w:color w:val="000000"/>
                <w:szCs w:val="21"/>
              </w:rPr>
              <w:t>常茂生物化学工程股份有限公司</w:t>
            </w:r>
          </w:p>
        </w:tc>
        <w:tc>
          <w:tcPr>
            <w:tcW w:w="1984" w:type="dxa"/>
            <w:vAlign w:val="center"/>
          </w:tcPr>
          <w:p>
            <w:pPr>
              <w:spacing w:line="300" w:lineRule="exact"/>
              <w:jc w:val="center"/>
              <w:rPr>
                <w:color w:val="000000"/>
                <w:szCs w:val="21"/>
              </w:rPr>
            </w:pPr>
            <w:r>
              <w:rPr>
                <w:rFonts w:hint="eastAsia"/>
                <w:color w:val="000000"/>
                <w:szCs w:val="21"/>
              </w:rPr>
              <w:t>顺酐为原料生物催化合成系列丙氨酸及其衍生物的全流程技术</w:t>
            </w:r>
          </w:p>
        </w:tc>
        <w:tc>
          <w:tcPr>
            <w:tcW w:w="851" w:type="dxa"/>
            <w:vAlign w:val="center"/>
          </w:tcPr>
          <w:p>
            <w:pPr>
              <w:spacing w:line="300" w:lineRule="exact"/>
              <w:jc w:val="center"/>
              <w:rPr>
                <w:color w:val="000000"/>
                <w:szCs w:val="21"/>
              </w:rPr>
            </w:pPr>
            <w:r>
              <w:rPr>
                <w:rFonts w:hint="eastAsia"/>
                <w:color w:val="000000"/>
                <w:szCs w:val="21"/>
              </w:rPr>
              <w:t>200</w:t>
            </w:r>
          </w:p>
        </w:tc>
        <w:tc>
          <w:tcPr>
            <w:tcW w:w="4678" w:type="dxa"/>
            <w:vAlign w:val="center"/>
          </w:tcPr>
          <w:p>
            <w:pPr>
              <w:overflowPunct w:val="0"/>
              <w:adjustRightInd w:val="0"/>
              <w:snapToGrid w:val="0"/>
              <w:spacing w:line="280" w:lineRule="exact"/>
              <w:rPr>
                <w:color w:val="000000"/>
                <w:szCs w:val="21"/>
              </w:rPr>
            </w:pPr>
            <w:r>
              <w:rPr>
                <w:rFonts w:hint="eastAsia"/>
                <w:color w:val="000000"/>
                <w:szCs w:val="21"/>
              </w:rPr>
              <w:t>化学法是生产丙氨酸的传统方法。由于存在原料价格高、生产工艺复杂、效率低下、产量低以及环境污染严重等问题，工业生产丙氨酸已经逐步淘汰这种方法，取而代之的是微生物发酵法和酶转化法。酶催化技术是目前工业上应用最为广泛的丙氨酸合成方法，它的优势在于采用生物酶作催化剂，反应条件温和，同时避免了化学催化剂的污染，也大大降低了成本。</w:t>
            </w:r>
          </w:p>
          <w:p>
            <w:pPr>
              <w:overflowPunct w:val="0"/>
              <w:adjustRightInd w:val="0"/>
              <w:snapToGrid w:val="0"/>
              <w:spacing w:line="280" w:lineRule="exact"/>
              <w:rPr>
                <w:color w:val="000000"/>
                <w:szCs w:val="21"/>
              </w:rPr>
            </w:pPr>
            <w:r>
              <w:rPr>
                <w:rFonts w:hint="eastAsia"/>
                <w:color w:val="000000"/>
                <w:szCs w:val="21"/>
              </w:rPr>
              <w:t>本项目对酶催化剂进一步优化，使用物美价廉的原料，利用细胞催化或酶法提升表达量及效率，进一步扩大产量，应用在工业化生产中。</w:t>
            </w:r>
          </w:p>
        </w:tc>
        <w:tc>
          <w:tcPr>
            <w:tcW w:w="4605" w:type="dxa"/>
            <w:vAlign w:val="center"/>
          </w:tcPr>
          <w:p>
            <w:pPr>
              <w:overflowPunct w:val="0"/>
              <w:adjustRightInd w:val="0"/>
              <w:snapToGrid w:val="0"/>
              <w:spacing w:line="280" w:lineRule="exact"/>
              <w:rPr>
                <w:color w:val="000000"/>
                <w:szCs w:val="21"/>
              </w:rPr>
            </w:pPr>
            <w:r>
              <w:rPr>
                <w:rFonts w:hint="eastAsia"/>
                <w:color w:val="000000"/>
                <w:szCs w:val="21"/>
              </w:rPr>
              <w:t>1.β-丙氨酸：构建具有自主知识产权的表达高活性马来酸酶、天冬氨酸酶和脱羧酶的大肠杆菌，发酵周期&lt;60 h；酶转化pH 6-8，温度30-37℃；β-丙氨酸产物浓度&gt;150 g/L，顺酐转化率94%以上；建立经济可行的下游分离工艺，分离收率&gt;90%，产物纯度99.5%以上；</w:t>
            </w:r>
          </w:p>
          <w:p>
            <w:pPr>
              <w:overflowPunct w:val="0"/>
              <w:adjustRightInd w:val="0"/>
              <w:snapToGrid w:val="0"/>
              <w:spacing w:line="280" w:lineRule="exact"/>
              <w:rPr>
                <w:color w:val="000000"/>
                <w:szCs w:val="21"/>
              </w:rPr>
            </w:pPr>
            <w:r>
              <w:rPr>
                <w:rFonts w:hint="eastAsia"/>
                <w:color w:val="000000"/>
                <w:szCs w:val="21"/>
              </w:rPr>
              <w:t>2.肌肽：构建具有自主知识产权的表达氨基酸脂酰基转移酶基因工程大肠杆菌，酶转化pH 8-9，温度30-37℃，肌肽浓度75 g/L以上，丙氨酸转化率82%以上；建立经济可行的下游分离工艺，分离收率&gt;90%，产物纯度99%以上；</w:t>
            </w:r>
          </w:p>
          <w:p>
            <w:pPr>
              <w:overflowPunct w:val="0"/>
              <w:adjustRightInd w:val="0"/>
              <w:snapToGrid w:val="0"/>
              <w:spacing w:line="280" w:lineRule="exact"/>
              <w:rPr>
                <w:color w:val="000000"/>
                <w:szCs w:val="21"/>
              </w:rPr>
            </w:pPr>
            <w:r>
              <w:rPr>
                <w:rFonts w:hint="eastAsia"/>
                <w:color w:val="000000"/>
                <w:szCs w:val="21"/>
              </w:rPr>
              <w:t>3.D-丙氨酸：构建具有自主知识产权的表达L-丙氨酸消旋酶的大肠杆菌，酶转化pH 9-10，温度30-40℃，反应时间6小时，D-丙氨酸含量占丙氨酸总量的65%以上。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741" w:hRule="atLeast"/>
          <w:jc w:val="center"/>
        </w:trPr>
        <w:tc>
          <w:tcPr>
            <w:tcW w:w="704" w:type="dxa"/>
            <w:vAlign w:val="center"/>
          </w:tcPr>
          <w:p>
            <w:pPr>
              <w:overflowPunct w:val="0"/>
              <w:adjustRightInd w:val="0"/>
              <w:snapToGrid w:val="0"/>
              <w:spacing w:line="300" w:lineRule="exact"/>
              <w:jc w:val="center"/>
              <w:rPr>
                <w:color w:val="000000"/>
                <w:kern w:val="0"/>
                <w:szCs w:val="21"/>
              </w:rPr>
            </w:pPr>
            <w:r>
              <w:rPr>
                <w:color w:val="000000"/>
                <w:kern w:val="0"/>
                <w:szCs w:val="21"/>
              </w:rPr>
              <w:t>7</w:t>
            </w:r>
          </w:p>
        </w:tc>
        <w:tc>
          <w:tcPr>
            <w:tcW w:w="1382" w:type="dxa"/>
            <w:vAlign w:val="center"/>
          </w:tcPr>
          <w:p>
            <w:pPr>
              <w:spacing w:line="300" w:lineRule="exact"/>
              <w:jc w:val="center"/>
              <w:rPr>
                <w:color w:val="000000"/>
                <w:szCs w:val="21"/>
              </w:rPr>
            </w:pPr>
            <w:r>
              <w:rPr>
                <w:rFonts w:hint="eastAsia"/>
                <w:color w:val="000000"/>
                <w:szCs w:val="21"/>
              </w:rPr>
              <w:t>德恩特（江苏）环境科技有限公司</w:t>
            </w:r>
          </w:p>
        </w:tc>
        <w:tc>
          <w:tcPr>
            <w:tcW w:w="1984" w:type="dxa"/>
            <w:vAlign w:val="center"/>
          </w:tcPr>
          <w:p>
            <w:pPr>
              <w:spacing w:line="300" w:lineRule="exact"/>
              <w:jc w:val="center"/>
              <w:rPr>
                <w:color w:val="000000"/>
                <w:szCs w:val="21"/>
              </w:rPr>
            </w:pPr>
            <w:r>
              <w:rPr>
                <w:rFonts w:hint="eastAsia"/>
                <w:color w:val="000000"/>
                <w:szCs w:val="21"/>
              </w:rPr>
              <w:t>能量高效利用的同步硝化反硝化工程菌构建及产业化应用</w:t>
            </w:r>
          </w:p>
        </w:tc>
        <w:tc>
          <w:tcPr>
            <w:tcW w:w="851" w:type="dxa"/>
            <w:vAlign w:val="center"/>
          </w:tcPr>
          <w:p>
            <w:pPr>
              <w:spacing w:line="300" w:lineRule="exact"/>
              <w:jc w:val="center"/>
              <w:rPr>
                <w:color w:val="000000"/>
                <w:szCs w:val="21"/>
              </w:rPr>
            </w:pPr>
            <w:r>
              <w:rPr>
                <w:rFonts w:hint="eastAsia"/>
                <w:color w:val="000000"/>
                <w:szCs w:val="21"/>
              </w:rPr>
              <w:t>350</w:t>
            </w:r>
          </w:p>
        </w:tc>
        <w:tc>
          <w:tcPr>
            <w:tcW w:w="4678" w:type="dxa"/>
            <w:vAlign w:val="center"/>
          </w:tcPr>
          <w:p>
            <w:pPr>
              <w:overflowPunct w:val="0"/>
              <w:adjustRightInd w:val="0"/>
              <w:snapToGrid w:val="0"/>
              <w:spacing w:line="300" w:lineRule="exact"/>
              <w:rPr>
                <w:color w:val="000000"/>
                <w:szCs w:val="21"/>
              </w:rPr>
            </w:pPr>
            <w:r>
              <w:rPr>
                <w:rFonts w:hint="eastAsia"/>
                <w:color w:val="000000"/>
                <w:szCs w:val="21"/>
              </w:rPr>
              <w:t>为实现河道水体碳氮污染物高效去除，拟构建同步硝化反硝化基因工程菌，提出如下需求：</w:t>
            </w:r>
          </w:p>
          <w:p>
            <w:pPr>
              <w:overflowPunct w:val="0"/>
              <w:adjustRightInd w:val="0"/>
              <w:snapToGrid w:val="0"/>
              <w:spacing w:line="300" w:lineRule="exact"/>
              <w:rPr>
                <w:color w:val="000000"/>
                <w:szCs w:val="21"/>
              </w:rPr>
            </w:pPr>
            <w:r>
              <w:rPr>
                <w:rFonts w:hint="eastAsia"/>
                <w:color w:val="000000"/>
                <w:szCs w:val="21"/>
              </w:rPr>
              <w:t>1</w:t>
            </w:r>
            <w:r>
              <w:rPr>
                <w:color w:val="000000"/>
                <w:szCs w:val="21"/>
              </w:rPr>
              <w:t>.</w:t>
            </w:r>
            <w:r>
              <w:rPr>
                <w:rFonts w:hint="eastAsia"/>
                <w:color w:val="000000"/>
                <w:szCs w:val="21"/>
              </w:rPr>
              <w:t>高能效同步硝化反硝化工程菌构建</w:t>
            </w:r>
          </w:p>
          <w:p>
            <w:pPr>
              <w:overflowPunct w:val="0"/>
              <w:adjustRightInd w:val="0"/>
              <w:snapToGrid w:val="0"/>
              <w:spacing w:line="300" w:lineRule="exact"/>
              <w:rPr>
                <w:color w:val="000000"/>
                <w:szCs w:val="21"/>
              </w:rPr>
            </w:pPr>
            <w:r>
              <w:rPr>
                <w:rFonts w:hint="eastAsia"/>
                <w:color w:val="000000"/>
                <w:szCs w:val="21"/>
              </w:rPr>
              <w:t>筛选高效同步硝化反硝化菌种，开发高能效同步硝化反硝化基因工程菌构建关键技术；低碳条件（COD≤100 mg/L）下，工程菌对COD、NH3-N和总氮（TN）等污染物去除效率达到95%以上；</w:t>
            </w:r>
          </w:p>
          <w:p>
            <w:pPr>
              <w:overflowPunct w:val="0"/>
              <w:adjustRightInd w:val="0"/>
              <w:snapToGrid w:val="0"/>
              <w:spacing w:line="300" w:lineRule="exact"/>
              <w:rPr>
                <w:color w:val="000000"/>
                <w:szCs w:val="21"/>
              </w:rPr>
            </w:pPr>
            <w:r>
              <w:rPr>
                <w:rFonts w:hint="eastAsia"/>
                <w:color w:val="000000"/>
                <w:szCs w:val="21"/>
              </w:rPr>
              <w:t>2</w:t>
            </w:r>
            <w:r>
              <w:rPr>
                <w:color w:val="000000"/>
                <w:szCs w:val="21"/>
              </w:rPr>
              <w:t>.</w:t>
            </w:r>
            <w:r>
              <w:rPr>
                <w:rFonts w:hint="eastAsia"/>
                <w:color w:val="000000"/>
                <w:szCs w:val="21"/>
              </w:rPr>
              <w:t>同步硝化反硝化工程菌高效固定技术开发筛选与同步硝化反硝化工程菌适配的绿色载体，开发菌体快速固定技术。工程菌固定稳定所需时间不超过7天；单位载体对工程菌负载量不低于5 g/L，连续使用周期90天以上；</w:t>
            </w:r>
          </w:p>
          <w:p>
            <w:pPr>
              <w:overflowPunct w:val="0"/>
              <w:adjustRightInd w:val="0"/>
              <w:snapToGrid w:val="0"/>
              <w:spacing w:line="300" w:lineRule="exact"/>
              <w:rPr>
                <w:color w:val="000000"/>
                <w:szCs w:val="21"/>
              </w:rPr>
            </w:pPr>
            <w:r>
              <w:rPr>
                <w:rFonts w:hint="eastAsia"/>
                <w:color w:val="000000"/>
                <w:szCs w:val="21"/>
              </w:rPr>
              <w:t>3</w:t>
            </w:r>
            <w:r>
              <w:rPr>
                <w:color w:val="000000"/>
                <w:szCs w:val="21"/>
              </w:rPr>
              <w:t>.</w:t>
            </w:r>
            <w:r>
              <w:rPr>
                <w:rFonts w:hint="eastAsia"/>
                <w:color w:val="000000"/>
                <w:szCs w:val="21"/>
              </w:rPr>
              <w:t>同步硝化反硝化菌中试应用示范产线建设开发同步硝化反硝化工程菌高密度培育不低于100 m</w:t>
            </w:r>
            <w:r>
              <w:rPr>
                <w:rFonts w:hint="eastAsia"/>
                <w:bCs/>
                <w:szCs w:val="21"/>
                <w:vertAlign w:val="superscript"/>
              </w:rPr>
              <w:t>3</w:t>
            </w:r>
            <w:r>
              <w:rPr>
                <w:rFonts w:hint="eastAsia"/>
                <w:color w:val="000000"/>
                <w:szCs w:val="21"/>
              </w:rPr>
              <w:t>中试示范技术，并提供同步硝化反硝化工程菌中试强化技术策略。实现48 h培养后菌体浓度不低于100 g /L。</w:t>
            </w:r>
          </w:p>
        </w:tc>
        <w:tc>
          <w:tcPr>
            <w:tcW w:w="4605" w:type="dxa"/>
            <w:vAlign w:val="center"/>
          </w:tcPr>
          <w:p>
            <w:pPr>
              <w:overflowPunct w:val="0"/>
              <w:adjustRightInd w:val="0"/>
              <w:snapToGrid w:val="0"/>
              <w:spacing w:line="300" w:lineRule="exact"/>
              <w:rPr>
                <w:color w:val="000000"/>
                <w:szCs w:val="21"/>
              </w:rPr>
            </w:pPr>
            <w:r>
              <w:rPr>
                <w:rFonts w:hint="eastAsia"/>
                <w:color w:val="000000"/>
                <w:szCs w:val="21"/>
              </w:rPr>
              <w:t>1.开发具有自主知识产权的高能效同步硝化反硝化且对环境友好的工程菌构建及固定化技术；</w:t>
            </w:r>
          </w:p>
          <w:p>
            <w:pPr>
              <w:overflowPunct w:val="0"/>
              <w:adjustRightInd w:val="0"/>
              <w:snapToGrid w:val="0"/>
              <w:spacing w:line="300" w:lineRule="exact"/>
              <w:rPr>
                <w:color w:val="000000"/>
                <w:szCs w:val="21"/>
              </w:rPr>
            </w:pPr>
            <w:r>
              <w:rPr>
                <w:rFonts w:hint="eastAsia"/>
                <w:color w:val="000000"/>
                <w:szCs w:val="21"/>
              </w:rPr>
              <w:t>2.工程菌对低碳氮比水质（COD（≤100 mg/L）、NH3-N（≤25 mg/L））的COD、NH3-N和TN去除效率达到95%以上；</w:t>
            </w:r>
          </w:p>
          <w:p>
            <w:pPr>
              <w:overflowPunct w:val="0"/>
              <w:adjustRightInd w:val="0"/>
              <w:snapToGrid w:val="0"/>
              <w:spacing w:line="300" w:lineRule="exact"/>
              <w:rPr>
                <w:color w:val="000000"/>
                <w:szCs w:val="21"/>
              </w:rPr>
            </w:pPr>
            <w:r>
              <w:rPr>
                <w:rFonts w:hint="eastAsia"/>
                <w:color w:val="000000"/>
                <w:szCs w:val="21"/>
              </w:rPr>
              <w:t>3.工程菌固定稳定所需时间不超过7天，且单位载体对工程菌负载量不低于5 g/L；连续使用周期90天以上；</w:t>
            </w:r>
          </w:p>
          <w:p>
            <w:pPr>
              <w:overflowPunct w:val="0"/>
              <w:adjustRightInd w:val="0"/>
              <w:snapToGrid w:val="0"/>
              <w:spacing w:line="300" w:lineRule="exact"/>
              <w:rPr>
                <w:color w:val="000000"/>
                <w:szCs w:val="21"/>
              </w:rPr>
            </w:pPr>
            <w:r>
              <w:rPr>
                <w:rFonts w:hint="eastAsia"/>
                <w:color w:val="000000"/>
                <w:szCs w:val="21"/>
              </w:rPr>
              <w:t>4.实现工程菌高密度培养，48 h培养后菌体湿重不低于100 g /L；</w:t>
            </w:r>
          </w:p>
          <w:p>
            <w:pPr>
              <w:overflowPunct w:val="0"/>
              <w:adjustRightInd w:val="0"/>
              <w:snapToGrid w:val="0"/>
              <w:spacing w:line="300" w:lineRule="exact"/>
              <w:rPr>
                <w:color w:val="000000"/>
                <w:szCs w:val="21"/>
              </w:rPr>
            </w:pPr>
            <w:r>
              <w:rPr>
                <w:rFonts w:hint="eastAsia"/>
                <w:color w:val="000000"/>
                <w:szCs w:val="21"/>
              </w:rPr>
              <w:t>5.完成工程菌中试规模不低于100 m</w:t>
            </w:r>
            <w:r>
              <w:rPr>
                <w:rFonts w:hint="eastAsia"/>
                <w:color w:val="000000"/>
                <w:szCs w:val="21"/>
                <w:vertAlign w:val="superscript"/>
              </w:rPr>
              <w:t>3</w:t>
            </w:r>
            <w:r>
              <w:rPr>
                <w:rFonts w:hint="eastAsia"/>
                <w:color w:val="000000"/>
                <w:szCs w:val="21"/>
              </w:rPr>
              <w:t>的水质处理示范应用，水质由地表水环境质量标准（GB3838-2002）中劣Ⅴ类提升为III-Ⅳ类。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898" w:hRule="atLeast"/>
          <w:jc w:val="center"/>
        </w:trPr>
        <w:tc>
          <w:tcPr>
            <w:tcW w:w="704" w:type="dxa"/>
            <w:vAlign w:val="center"/>
          </w:tcPr>
          <w:p>
            <w:pPr>
              <w:overflowPunct w:val="0"/>
              <w:adjustRightInd w:val="0"/>
              <w:snapToGrid w:val="0"/>
              <w:spacing w:line="300" w:lineRule="exact"/>
              <w:jc w:val="center"/>
              <w:rPr>
                <w:color w:val="000000"/>
                <w:kern w:val="0"/>
                <w:szCs w:val="21"/>
              </w:rPr>
            </w:pPr>
            <w:r>
              <w:rPr>
                <w:color w:val="000000"/>
                <w:kern w:val="0"/>
                <w:szCs w:val="21"/>
              </w:rPr>
              <w:t>8</w:t>
            </w:r>
          </w:p>
        </w:tc>
        <w:tc>
          <w:tcPr>
            <w:tcW w:w="1382" w:type="dxa"/>
            <w:vAlign w:val="center"/>
          </w:tcPr>
          <w:p>
            <w:pPr>
              <w:spacing w:line="300" w:lineRule="exact"/>
              <w:jc w:val="center"/>
              <w:rPr>
                <w:color w:val="000000"/>
                <w:szCs w:val="21"/>
              </w:rPr>
            </w:pPr>
            <w:r>
              <w:rPr>
                <w:rFonts w:hint="eastAsia"/>
                <w:color w:val="000000"/>
                <w:szCs w:val="21"/>
              </w:rPr>
              <w:t>常州新米生物科技有限公司</w:t>
            </w:r>
          </w:p>
        </w:tc>
        <w:tc>
          <w:tcPr>
            <w:tcW w:w="1984" w:type="dxa"/>
            <w:vAlign w:val="center"/>
          </w:tcPr>
          <w:p>
            <w:pPr>
              <w:spacing w:line="300" w:lineRule="exact"/>
              <w:jc w:val="center"/>
              <w:rPr>
                <w:color w:val="000000"/>
                <w:szCs w:val="21"/>
              </w:rPr>
            </w:pPr>
            <w:r>
              <w:rPr>
                <w:rFonts w:hint="eastAsia"/>
                <w:color w:val="000000"/>
                <w:szCs w:val="21"/>
              </w:rPr>
              <w:t>高蛋白玉米底盘品种的研发</w:t>
            </w:r>
          </w:p>
        </w:tc>
        <w:tc>
          <w:tcPr>
            <w:tcW w:w="851" w:type="dxa"/>
            <w:vAlign w:val="center"/>
          </w:tcPr>
          <w:p>
            <w:pPr>
              <w:spacing w:line="300" w:lineRule="exact"/>
              <w:jc w:val="center"/>
              <w:rPr>
                <w:color w:val="000000"/>
                <w:szCs w:val="21"/>
              </w:rPr>
            </w:pPr>
            <w:r>
              <w:rPr>
                <w:rFonts w:hint="eastAsia"/>
                <w:color w:val="000000"/>
                <w:szCs w:val="21"/>
              </w:rPr>
              <w:t>300</w:t>
            </w:r>
          </w:p>
        </w:tc>
        <w:tc>
          <w:tcPr>
            <w:tcW w:w="4678" w:type="dxa"/>
            <w:vAlign w:val="center"/>
          </w:tcPr>
          <w:p>
            <w:pPr>
              <w:overflowPunct w:val="0"/>
              <w:adjustRightInd w:val="0"/>
              <w:snapToGrid w:val="0"/>
              <w:spacing w:line="300" w:lineRule="exact"/>
              <w:rPr>
                <w:color w:val="000000"/>
                <w:szCs w:val="21"/>
              </w:rPr>
            </w:pPr>
            <w:r>
              <w:rPr>
                <w:rFonts w:hint="eastAsia"/>
                <w:color w:val="000000"/>
                <w:szCs w:val="21"/>
              </w:rPr>
              <w:t>该项目立足当前我国畜禽养殖业中需要进口大量大豆作为饲料中的蛋白来源的现实，提出如下技术需求：</w:t>
            </w:r>
          </w:p>
          <w:p>
            <w:pPr>
              <w:overflowPunct w:val="0"/>
              <w:adjustRightInd w:val="0"/>
              <w:snapToGrid w:val="0"/>
              <w:spacing w:line="300" w:lineRule="exact"/>
              <w:rPr>
                <w:color w:val="000000"/>
                <w:szCs w:val="21"/>
              </w:rPr>
            </w:pPr>
            <w:r>
              <w:rPr>
                <w:rFonts w:hint="eastAsia"/>
                <w:color w:val="000000"/>
                <w:szCs w:val="21"/>
              </w:rPr>
              <w:t>1.利用玉米现有种质资源开展高固氮高蛋白的组配和群体选育，开发具有自主知识产权的高蛋白玉米底盘品种；</w:t>
            </w:r>
          </w:p>
          <w:p>
            <w:pPr>
              <w:overflowPunct w:val="0"/>
              <w:adjustRightInd w:val="0"/>
              <w:snapToGrid w:val="0"/>
              <w:spacing w:line="300" w:lineRule="exact"/>
              <w:rPr>
                <w:color w:val="000000"/>
                <w:szCs w:val="21"/>
              </w:rPr>
            </w:pPr>
            <w:r>
              <w:rPr>
                <w:rFonts w:hint="eastAsia"/>
                <w:color w:val="000000"/>
                <w:szCs w:val="21"/>
              </w:rPr>
              <w:t>2.利用大群体通过基因克隆、分子解析、功能验证等手段对玉米蛋白含量的调控机制进行遗传分析，获得具有自主知识产权的高固氮高蛋白基因若干；</w:t>
            </w:r>
          </w:p>
          <w:p>
            <w:pPr>
              <w:overflowPunct w:val="0"/>
              <w:adjustRightInd w:val="0"/>
              <w:snapToGrid w:val="0"/>
              <w:spacing w:line="300" w:lineRule="exact"/>
              <w:rPr>
                <w:color w:val="000000"/>
                <w:szCs w:val="21"/>
              </w:rPr>
            </w:pPr>
            <w:r>
              <w:rPr>
                <w:rFonts w:hint="eastAsia"/>
                <w:color w:val="000000"/>
                <w:szCs w:val="21"/>
              </w:rPr>
              <w:t>3.开展玉米蛋白替代大豆豆粕的验证实验，确保获得的高蛋白组合能够克服我国大豆依赖进口的“卡脖子”问题；</w:t>
            </w:r>
          </w:p>
          <w:p>
            <w:pPr>
              <w:overflowPunct w:val="0"/>
              <w:adjustRightInd w:val="0"/>
              <w:snapToGrid w:val="0"/>
              <w:spacing w:line="300" w:lineRule="exact"/>
              <w:rPr>
                <w:color w:val="000000"/>
                <w:szCs w:val="21"/>
              </w:rPr>
            </w:pPr>
            <w:r>
              <w:rPr>
                <w:rFonts w:hint="eastAsia"/>
                <w:color w:val="000000"/>
                <w:szCs w:val="21"/>
              </w:rPr>
              <w:t>4.开发切实可行的提高玉米籽粒蛋白含量的生物技术操作方案一套，改良现行主要玉米商业推广品种，对于研究中需要用到的氮水平和蛋白含量检测需求，针对性的建立高通量检测平台，确保数据获得的快捷性和准确性，助力高蛋白玉米底盘品种的研发。</w:t>
            </w:r>
          </w:p>
        </w:tc>
        <w:tc>
          <w:tcPr>
            <w:tcW w:w="4605" w:type="dxa"/>
            <w:vAlign w:val="center"/>
          </w:tcPr>
          <w:p>
            <w:pPr>
              <w:overflowPunct w:val="0"/>
              <w:adjustRightInd w:val="0"/>
              <w:snapToGrid w:val="0"/>
              <w:spacing w:line="300" w:lineRule="exact"/>
              <w:rPr>
                <w:color w:val="000000"/>
                <w:szCs w:val="21"/>
              </w:rPr>
            </w:pPr>
            <w:r>
              <w:rPr>
                <w:rFonts w:hint="eastAsia"/>
                <w:color w:val="000000"/>
                <w:szCs w:val="21"/>
              </w:rPr>
              <w:t>1.获得2个以上具有籽粒粗蛋白含量大于12%且农艺性状优良，产量不低于所在生态区主栽品种的组合，以第三方鉴定形式验收，申报新品种1个以上；</w:t>
            </w:r>
          </w:p>
          <w:p>
            <w:pPr>
              <w:overflowPunct w:val="0"/>
              <w:adjustRightInd w:val="0"/>
              <w:snapToGrid w:val="0"/>
              <w:spacing w:line="300" w:lineRule="exact"/>
              <w:rPr>
                <w:color w:val="000000"/>
                <w:szCs w:val="21"/>
              </w:rPr>
            </w:pPr>
            <w:r>
              <w:rPr>
                <w:rFonts w:hint="eastAsia"/>
                <w:color w:val="000000"/>
                <w:szCs w:val="21"/>
              </w:rPr>
              <w:t>2.获得自主知识产权的高固氮高蛋白基因不少于3个，申请专利2项以上；</w:t>
            </w:r>
          </w:p>
          <w:p>
            <w:pPr>
              <w:overflowPunct w:val="0"/>
              <w:adjustRightInd w:val="0"/>
              <w:snapToGrid w:val="0"/>
              <w:spacing w:line="300" w:lineRule="exact"/>
              <w:rPr>
                <w:color w:val="000000"/>
                <w:szCs w:val="21"/>
              </w:rPr>
            </w:pPr>
            <w:r>
              <w:rPr>
                <w:rFonts w:hint="eastAsia"/>
                <w:color w:val="000000"/>
                <w:szCs w:val="21"/>
              </w:rPr>
              <w:t>3.建立玉米品种筛选的高通量氮水平和蛋白含量检测平台。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704" w:type="dxa"/>
            <w:vAlign w:val="center"/>
          </w:tcPr>
          <w:p>
            <w:pPr>
              <w:overflowPunct w:val="0"/>
              <w:adjustRightInd w:val="0"/>
              <w:snapToGrid w:val="0"/>
              <w:spacing w:line="300" w:lineRule="exact"/>
              <w:jc w:val="center"/>
              <w:rPr>
                <w:color w:val="000000"/>
                <w:kern w:val="0"/>
                <w:szCs w:val="21"/>
              </w:rPr>
            </w:pPr>
            <w:r>
              <w:rPr>
                <w:color w:val="000000"/>
                <w:kern w:val="0"/>
                <w:szCs w:val="21"/>
              </w:rPr>
              <w:t>9</w:t>
            </w:r>
          </w:p>
        </w:tc>
        <w:tc>
          <w:tcPr>
            <w:tcW w:w="1382" w:type="dxa"/>
            <w:vAlign w:val="center"/>
          </w:tcPr>
          <w:p>
            <w:pPr>
              <w:spacing w:line="300" w:lineRule="exact"/>
              <w:ind w:left="-57" w:right="-57"/>
              <w:jc w:val="center"/>
              <w:rPr>
                <w:color w:val="000000"/>
                <w:spacing w:val="-6"/>
                <w:szCs w:val="21"/>
              </w:rPr>
            </w:pPr>
            <w:r>
              <w:rPr>
                <w:rFonts w:hint="eastAsia"/>
                <w:color w:val="000000"/>
                <w:spacing w:val="-6"/>
                <w:szCs w:val="21"/>
              </w:rPr>
              <w:t>常州三高生物技术工程设备有限公司</w:t>
            </w:r>
          </w:p>
        </w:tc>
        <w:tc>
          <w:tcPr>
            <w:tcW w:w="1984" w:type="dxa"/>
            <w:vAlign w:val="center"/>
          </w:tcPr>
          <w:p>
            <w:pPr>
              <w:spacing w:line="300" w:lineRule="exact"/>
              <w:jc w:val="center"/>
              <w:rPr>
                <w:color w:val="000000"/>
                <w:szCs w:val="21"/>
              </w:rPr>
            </w:pPr>
            <w:r>
              <w:rPr>
                <w:rFonts w:hint="eastAsia"/>
                <w:color w:val="000000"/>
                <w:szCs w:val="21"/>
              </w:rPr>
              <w:t>果胶酶高产细胞工厂创制及高效生物制造</w:t>
            </w:r>
          </w:p>
        </w:tc>
        <w:tc>
          <w:tcPr>
            <w:tcW w:w="851" w:type="dxa"/>
            <w:vAlign w:val="center"/>
          </w:tcPr>
          <w:p>
            <w:pPr>
              <w:spacing w:line="300" w:lineRule="exact"/>
              <w:jc w:val="center"/>
              <w:rPr>
                <w:color w:val="000000"/>
                <w:szCs w:val="21"/>
              </w:rPr>
            </w:pPr>
            <w:r>
              <w:rPr>
                <w:rFonts w:hint="eastAsia"/>
                <w:color w:val="000000"/>
                <w:szCs w:val="21"/>
              </w:rPr>
              <w:t>300</w:t>
            </w:r>
          </w:p>
        </w:tc>
        <w:tc>
          <w:tcPr>
            <w:tcW w:w="4678" w:type="dxa"/>
            <w:vAlign w:val="center"/>
          </w:tcPr>
          <w:p>
            <w:pPr>
              <w:overflowPunct w:val="0"/>
              <w:adjustRightInd w:val="0"/>
              <w:snapToGrid w:val="0"/>
              <w:spacing w:line="300" w:lineRule="exact"/>
              <w:rPr>
                <w:color w:val="000000"/>
                <w:szCs w:val="21"/>
              </w:rPr>
            </w:pPr>
            <w:r>
              <w:rPr>
                <w:rFonts w:hint="eastAsia"/>
                <w:color w:val="000000"/>
                <w:szCs w:val="21"/>
              </w:rPr>
              <w:t>为创造果胶酶高产黑曲霉细胞株并进行高效生产，本项目拟开展以下研究：</w:t>
            </w:r>
          </w:p>
          <w:p>
            <w:pPr>
              <w:overflowPunct w:val="0"/>
              <w:adjustRightInd w:val="0"/>
              <w:snapToGrid w:val="0"/>
              <w:spacing w:line="300" w:lineRule="exact"/>
              <w:rPr>
                <w:color w:val="000000"/>
                <w:szCs w:val="21"/>
              </w:rPr>
            </w:pPr>
            <w:r>
              <w:rPr>
                <w:rFonts w:hint="eastAsia"/>
                <w:color w:val="000000"/>
                <w:szCs w:val="21"/>
              </w:rPr>
              <w:t>1</w:t>
            </w:r>
            <w:r>
              <w:rPr>
                <w:color w:val="000000"/>
                <w:szCs w:val="21"/>
              </w:rPr>
              <w:t>.</w:t>
            </w:r>
            <w:r>
              <w:rPr>
                <w:rFonts w:hint="eastAsia"/>
                <w:color w:val="000000"/>
                <w:szCs w:val="21"/>
              </w:rPr>
              <w:t>改造CRISPR-Cas9系统，提高基因编辑效率；</w:t>
            </w:r>
          </w:p>
          <w:p>
            <w:pPr>
              <w:overflowPunct w:val="0"/>
              <w:adjustRightInd w:val="0"/>
              <w:snapToGrid w:val="0"/>
              <w:spacing w:line="300" w:lineRule="exact"/>
              <w:rPr>
                <w:color w:val="000000"/>
                <w:szCs w:val="21"/>
              </w:rPr>
            </w:pPr>
            <w:r>
              <w:rPr>
                <w:rFonts w:hint="eastAsia"/>
                <w:color w:val="000000"/>
                <w:szCs w:val="21"/>
              </w:rPr>
              <w:t>2</w:t>
            </w:r>
            <w:r>
              <w:rPr>
                <w:color w:val="000000"/>
                <w:szCs w:val="21"/>
              </w:rPr>
              <w:t>.</w:t>
            </w:r>
            <w:r>
              <w:rPr>
                <w:rFonts w:hint="eastAsia"/>
                <w:color w:val="000000"/>
                <w:szCs w:val="21"/>
              </w:rPr>
              <w:t>稳定、高产果胶酶的黑曲霉基因编辑细胞株的构建及酶的分子改造；</w:t>
            </w:r>
          </w:p>
          <w:p>
            <w:pPr>
              <w:overflowPunct w:val="0"/>
              <w:adjustRightInd w:val="0"/>
              <w:snapToGrid w:val="0"/>
              <w:spacing w:line="300" w:lineRule="exact"/>
              <w:rPr>
                <w:color w:val="000000"/>
                <w:szCs w:val="21"/>
              </w:rPr>
            </w:pPr>
            <w:r>
              <w:rPr>
                <w:rFonts w:hint="eastAsia"/>
                <w:color w:val="000000"/>
                <w:szCs w:val="21"/>
              </w:rPr>
              <w:t>3.黑曲霉小试中试工艺优化。</w:t>
            </w:r>
          </w:p>
        </w:tc>
        <w:tc>
          <w:tcPr>
            <w:tcW w:w="4605" w:type="dxa"/>
            <w:vAlign w:val="center"/>
          </w:tcPr>
          <w:p>
            <w:pPr>
              <w:overflowPunct w:val="0"/>
              <w:adjustRightInd w:val="0"/>
              <w:snapToGrid w:val="0"/>
              <w:spacing w:line="300" w:lineRule="exact"/>
              <w:rPr>
                <w:color w:val="000000"/>
                <w:szCs w:val="21"/>
              </w:rPr>
            </w:pPr>
            <w:r>
              <w:rPr>
                <w:rFonts w:hint="eastAsia"/>
                <w:color w:val="000000"/>
                <w:szCs w:val="21"/>
              </w:rPr>
              <w:t>1.经改造优化后，CRISPR-Cas9系统的编辑效率达到95%以上；</w:t>
            </w:r>
          </w:p>
          <w:p>
            <w:pPr>
              <w:overflowPunct w:val="0"/>
              <w:adjustRightInd w:val="0"/>
              <w:snapToGrid w:val="0"/>
              <w:spacing w:line="300" w:lineRule="exact"/>
              <w:rPr>
                <w:color w:val="000000"/>
                <w:szCs w:val="21"/>
              </w:rPr>
            </w:pPr>
            <w:r>
              <w:rPr>
                <w:rFonts w:hint="eastAsia"/>
                <w:color w:val="000000"/>
                <w:szCs w:val="21"/>
              </w:rPr>
              <w:t>2.果胶酶经过分子改造和发酵优化后，酶活较原始菌株提升30%以上；小试及300 L发酵罐中试生产的酶活力达30000 U/g（粗品干粉）以上；</w:t>
            </w:r>
          </w:p>
          <w:p>
            <w:pPr>
              <w:overflowPunct w:val="0"/>
              <w:adjustRightInd w:val="0"/>
              <w:snapToGrid w:val="0"/>
              <w:spacing w:line="300" w:lineRule="exact"/>
              <w:rPr>
                <w:color w:val="000000"/>
                <w:szCs w:val="21"/>
              </w:rPr>
            </w:pPr>
            <w:r>
              <w:rPr>
                <w:rFonts w:hint="eastAsia"/>
                <w:color w:val="000000"/>
                <w:szCs w:val="21"/>
              </w:rPr>
              <w:t>3.申请国家发明专利2项。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704" w:type="dxa"/>
            <w:vAlign w:val="center"/>
          </w:tcPr>
          <w:p>
            <w:pPr>
              <w:overflowPunct w:val="0"/>
              <w:adjustRightInd w:val="0"/>
              <w:snapToGrid w:val="0"/>
              <w:spacing w:line="300" w:lineRule="exact"/>
              <w:jc w:val="center"/>
              <w:rPr>
                <w:color w:val="000000"/>
                <w:szCs w:val="21"/>
              </w:rPr>
            </w:pPr>
            <w:r>
              <w:rPr>
                <w:rFonts w:hint="eastAsia"/>
                <w:color w:val="000000"/>
                <w:kern w:val="0"/>
                <w:szCs w:val="21"/>
              </w:rPr>
              <w:t>10</w:t>
            </w:r>
          </w:p>
        </w:tc>
        <w:tc>
          <w:tcPr>
            <w:tcW w:w="1382" w:type="dxa"/>
            <w:vAlign w:val="center"/>
          </w:tcPr>
          <w:p>
            <w:pPr>
              <w:spacing w:line="300" w:lineRule="exact"/>
              <w:jc w:val="center"/>
              <w:rPr>
                <w:szCs w:val="21"/>
              </w:rPr>
            </w:pPr>
            <w:r>
              <w:rPr>
                <w:rFonts w:hint="eastAsia"/>
                <w:szCs w:val="21"/>
              </w:rPr>
              <w:t>常州伟博海泰化妆品有限公司</w:t>
            </w:r>
          </w:p>
        </w:tc>
        <w:tc>
          <w:tcPr>
            <w:tcW w:w="1984" w:type="dxa"/>
            <w:vAlign w:val="center"/>
          </w:tcPr>
          <w:p>
            <w:pPr>
              <w:spacing w:line="300" w:lineRule="exact"/>
              <w:jc w:val="center"/>
              <w:rPr>
                <w:color w:val="000000"/>
                <w:szCs w:val="21"/>
              </w:rPr>
            </w:pPr>
            <w:r>
              <w:rPr>
                <w:rFonts w:hint="eastAsia"/>
                <w:color w:val="000000"/>
                <w:szCs w:val="21"/>
              </w:rPr>
              <w:t>生物合成中草药成分</w:t>
            </w:r>
          </w:p>
        </w:tc>
        <w:tc>
          <w:tcPr>
            <w:tcW w:w="851" w:type="dxa"/>
            <w:vAlign w:val="center"/>
          </w:tcPr>
          <w:p>
            <w:pPr>
              <w:spacing w:line="300" w:lineRule="exact"/>
              <w:jc w:val="center"/>
              <w:rPr>
                <w:color w:val="000000"/>
                <w:szCs w:val="21"/>
              </w:rPr>
            </w:pPr>
            <w:r>
              <w:rPr>
                <w:rFonts w:hint="eastAsia"/>
                <w:color w:val="000000"/>
                <w:szCs w:val="21"/>
              </w:rPr>
              <w:t>480</w:t>
            </w:r>
          </w:p>
        </w:tc>
        <w:tc>
          <w:tcPr>
            <w:tcW w:w="4678" w:type="dxa"/>
            <w:vAlign w:val="center"/>
          </w:tcPr>
          <w:p>
            <w:pPr>
              <w:widowControl/>
              <w:adjustRightInd w:val="0"/>
              <w:snapToGrid w:val="0"/>
              <w:spacing w:line="300" w:lineRule="exact"/>
              <w:rPr>
                <w:color w:val="000000"/>
                <w:szCs w:val="21"/>
              </w:rPr>
            </w:pPr>
            <w:r>
              <w:rPr>
                <w:rFonts w:hint="eastAsia"/>
                <w:color w:val="000000"/>
                <w:szCs w:val="21"/>
              </w:rPr>
              <w:t>基于合成生物学技术获得药用天然产物具有绿色环保和可持续发展等优点。本项目主要通过生物合成中草药成分研究，提出如下需求：</w:t>
            </w:r>
          </w:p>
          <w:p>
            <w:pPr>
              <w:widowControl/>
              <w:numPr>
                <w:ilvl w:val="0"/>
                <w:numId w:val="1"/>
              </w:numPr>
              <w:adjustRightInd w:val="0"/>
              <w:snapToGrid w:val="0"/>
              <w:spacing w:line="300" w:lineRule="exact"/>
              <w:rPr>
                <w:color w:val="000000"/>
                <w:szCs w:val="21"/>
              </w:rPr>
            </w:pPr>
            <w:r>
              <w:rPr>
                <w:rFonts w:hint="eastAsia"/>
                <w:color w:val="000000"/>
                <w:szCs w:val="21"/>
              </w:rPr>
              <w:t>开发产酶微生物，包括克隆的工程菌，例如大肠杆菌、酵母，或野生型微生物，制备酶制剂，用来将天然的活性成分，如多糖基人参皂苷体外转化成其次级代谢产物，即低糖基人参皂苷；</w:t>
            </w:r>
          </w:p>
          <w:p>
            <w:pPr>
              <w:numPr>
                <w:ilvl w:val="0"/>
                <w:numId w:val="1"/>
              </w:numPr>
              <w:spacing w:line="300" w:lineRule="exact"/>
              <w:rPr>
                <w:color w:val="000000"/>
                <w:szCs w:val="21"/>
              </w:rPr>
            </w:pPr>
            <w:r>
              <w:rPr>
                <w:rFonts w:hint="eastAsia"/>
                <w:color w:val="000000"/>
                <w:szCs w:val="21"/>
              </w:rPr>
              <w:t>将开发出来的产酶微生物工业化发酵培养制酶，对天然的活性成分定向转化成不同的次级代谢产物，并应用于化妆品行业；</w:t>
            </w:r>
          </w:p>
          <w:p>
            <w:pPr>
              <w:numPr>
                <w:ilvl w:val="0"/>
                <w:numId w:val="1"/>
              </w:numPr>
              <w:spacing w:line="300" w:lineRule="exact"/>
              <w:rPr>
                <w:color w:val="000000"/>
                <w:szCs w:val="21"/>
              </w:rPr>
            </w:pPr>
            <w:r>
              <w:rPr>
                <w:rFonts w:hint="eastAsia"/>
                <w:color w:val="000000"/>
                <w:szCs w:val="21"/>
              </w:rPr>
              <w:t>根据对皂苷生物合成途径的解析及其关键酶功能基因研究进展，对人参、三七、丹参的愈伤组织培养、不定根培养、毛状根培养与悬浮细胞的组织培养技术进行优化；</w:t>
            </w:r>
          </w:p>
          <w:p>
            <w:pPr>
              <w:numPr>
                <w:ilvl w:val="0"/>
                <w:numId w:val="1"/>
              </w:numPr>
              <w:spacing w:line="300" w:lineRule="exact"/>
              <w:rPr>
                <w:color w:val="000000"/>
                <w:szCs w:val="21"/>
              </w:rPr>
            </w:pPr>
            <w:r>
              <w:rPr>
                <w:rFonts w:hint="eastAsia"/>
                <w:color w:val="000000"/>
                <w:szCs w:val="21"/>
              </w:rPr>
              <w:t>对糖苷酶催化合成稀有皂苷的机制进行研究，对酶进行定向进化，筛选能够同时转化多种常见皂苷的微生物糖苷酶以及水解不同糖苷键的糖苷酶组合；</w:t>
            </w:r>
          </w:p>
          <w:p>
            <w:pPr>
              <w:numPr>
                <w:ilvl w:val="0"/>
                <w:numId w:val="1"/>
              </w:numPr>
              <w:spacing w:line="280" w:lineRule="exact"/>
              <w:rPr>
                <w:color w:val="000000"/>
                <w:szCs w:val="21"/>
              </w:rPr>
            </w:pPr>
            <w:r>
              <w:rPr>
                <w:rFonts w:hint="eastAsia"/>
                <w:color w:val="000000"/>
                <w:szCs w:val="21"/>
              </w:rPr>
              <w:t>以曲霉、酵母或大肠杆菌为底盘细胞，构建稀有人参皂苷的转化、合成途径，并通过高密度发酵提升产率，实现中试及量产，以简单糖类甚至其他廉价物质为碳源，实现稀有人参皂苷的一步法全合成；</w:t>
            </w:r>
          </w:p>
          <w:p>
            <w:pPr>
              <w:widowControl/>
              <w:adjustRightInd w:val="0"/>
              <w:snapToGrid w:val="0"/>
              <w:spacing w:line="300" w:lineRule="exact"/>
              <w:rPr>
                <w:color w:val="000000"/>
                <w:szCs w:val="21"/>
              </w:rPr>
            </w:pPr>
            <w:r>
              <w:rPr>
                <w:rFonts w:hint="eastAsia"/>
                <w:color w:val="000000"/>
                <w:szCs w:val="21"/>
              </w:rPr>
              <w:t>6.通过微流控芯片技术、高通量筛选技术等检验细胞的生长代谢、生产能力等相关参数，并对稀有人参皂苷高转化率菌种的筛选、驯化、改良，选出稀有皂苷转化率最优菌株。</w:t>
            </w:r>
          </w:p>
        </w:tc>
        <w:tc>
          <w:tcPr>
            <w:tcW w:w="4605" w:type="dxa"/>
            <w:vAlign w:val="center"/>
          </w:tcPr>
          <w:p>
            <w:pPr>
              <w:widowControl/>
              <w:adjustRightInd w:val="0"/>
              <w:snapToGrid w:val="0"/>
              <w:spacing w:line="300" w:lineRule="exact"/>
              <w:rPr>
                <w:color w:val="000000"/>
                <w:szCs w:val="21"/>
              </w:rPr>
            </w:pPr>
            <w:r>
              <w:rPr>
                <w:rFonts w:hint="eastAsia"/>
                <w:color w:val="000000"/>
                <w:szCs w:val="21"/>
              </w:rPr>
              <w:t>考核的技术指标包括细胞培养人参、三七等活性成分的含量；酶的转化效率、功能，以及产业化等方面，具体如下：</w:t>
            </w:r>
          </w:p>
          <w:p>
            <w:pPr>
              <w:widowControl/>
              <w:adjustRightInd w:val="0"/>
              <w:snapToGrid w:val="0"/>
              <w:spacing w:line="300" w:lineRule="exact"/>
              <w:rPr>
                <w:color w:val="000000"/>
                <w:szCs w:val="21"/>
              </w:rPr>
            </w:pPr>
            <w:r>
              <w:rPr>
                <w:rFonts w:hint="eastAsia"/>
                <w:color w:val="000000"/>
                <w:szCs w:val="21"/>
              </w:rPr>
              <w:t>1.合成的人参、三七中的人参皂苷，其各种单体成分的纯度达到99%；</w:t>
            </w:r>
          </w:p>
          <w:p>
            <w:pPr>
              <w:widowControl/>
              <w:adjustRightInd w:val="0"/>
              <w:snapToGrid w:val="0"/>
              <w:spacing w:line="300" w:lineRule="exact"/>
              <w:rPr>
                <w:color w:val="000000"/>
                <w:szCs w:val="21"/>
              </w:rPr>
            </w:pPr>
            <w:r>
              <w:rPr>
                <w:rFonts w:hint="eastAsia"/>
                <w:color w:val="000000"/>
                <w:szCs w:val="21"/>
              </w:rPr>
              <w:t>2.定制出至少3种针对不同皂苷原料的糖苷酶组合；</w:t>
            </w:r>
          </w:p>
          <w:p>
            <w:pPr>
              <w:widowControl/>
              <w:adjustRightInd w:val="0"/>
              <w:snapToGrid w:val="0"/>
              <w:spacing w:line="300" w:lineRule="exact"/>
              <w:rPr>
                <w:color w:val="000000"/>
                <w:szCs w:val="21"/>
              </w:rPr>
            </w:pPr>
            <w:r>
              <w:rPr>
                <w:rFonts w:hint="eastAsia"/>
                <w:color w:val="000000"/>
                <w:szCs w:val="21"/>
              </w:rPr>
              <w:t>3.筛选出至少一株能实现一步法合成稀有人参皂苷的菌株，并获知识产权；</w:t>
            </w:r>
          </w:p>
          <w:p>
            <w:pPr>
              <w:widowControl/>
              <w:adjustRightInd w:val="0"/>
              <w:snapToGrid w:val="0"/>
              <w:spacing w:line="300" w:lineRule="exact"/>
              <w:rPr>
                <w:color w:val="000000"/>
                <w:szCs w:val="21"/>
              </w:rPr>
            </w:pPr>
            <w:r>
              <w:rPr>
                <w:rFonts w:hint="eastAsia"/>
                <w:color w:val="000000"/>
                <w:szCs w:val="21"/>
              </w:rPr>
              <w:t>4.优化出一套适用于该菌株的廉价培养基配方；</w:t>
            </w:r>
          </w:p>
          <w:p>
            <w:pPr>
              <w:widowControl/>
              <w:adjustRightInd w:val="0"/>
              <w:snapToGrid w:val="0"/>
              <w:spacing w:line="300" w:lineRule="exact"/>
              <w:rPr>
                <w:color w:val="000000"/>
                <w:szCs w:val="21"/>
              </w:rPr>
            </w:pPr>
            <w:r>
              <w:rPr>
                <w:rFonts w:hint="eastAsia"/>
                <w:color w:val="000000"/>
                <w:szCs w:val="21"/>
              </w:rPr>
              <w:t>5.形成最终的技术包和工艺包，能应用于生产。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704" w:type="dxa"/>
            <w:vAlign w:val="center"/>
          </w:tcPr>
          <w:p>
            <w:pPr>
              <w:overflowPunct w:val="0"/>
              <w:adjustRightInd w:val="0"/>
              <w:snapToGrid w:val="0"/>
              <w:spacing w:line="300" w:lineRule="exact"/>
              <w:jc w:val="center"/>
              <w:rPr>
                <w:color w:val="000000"/>
                <w:szCs w:val="21"/>
              </w:rPr>
            </w:pPr>
            <w:r>
              <w:rPr>
                <w:rFonts w:hint="eastAsia"/>
                <w:color w:val="000000"/>
                <w:kern w:val="0"/>
                <w:szCs w:val="21"/>
              </w:rPr>
              <w:t>11</w:t>
            </w:r>
          </w:p>
        </w:tc>
        <w:tc>
          <w:tcPr>
            <w:tcW w:w="1382" w:type="dxa"/>
            <w:vAlign w:val="center"/>
          </w:tcPr>
          <w:p>
            <w:pPr>
              <w:spacing w:line="300" w:lineRule="exact"/>
              <w:jc w:val="center"/>
              <w:rPr>
                <w:szCs w:val="21"/>
              </w:rPr>
            </w:pPr>
            <w:r>
              <w:rPr>
                <w:rFonts w:hint="eastAsia"/>
                <w:szCs w:val="21"/>
              </w:rPr>
              <w:t>江苏道宁药业有限公司</w:t>
            </w:r>
          </w:p>
        </w:tc>
        <w:tc>
          <w:tcPr>
            <w:tcW w:w="1984" w:type="dxa"/>
            <w:vAlign w:val="center"/>
          </w:tcPr>
          <w:p>
            <w:pPr>
              <w:spacing w:line="300" w:lineRule="exact"/>
              <w:jc w:val="center"/>
              <w:rPr>
                <w:color w:val="000000"/>
                <w:szCs w:val="21"/>
              </w:rPr>
            </w:pPr>
            <w:r>
              <w:rPr>
                <w:rFonts w:hint="eastAsia"/>
                <w:color w:val="000000"/>
                <w:szCs w:val="21"/>
              </w:rPr>
              <w:t>α-半乳糖苷酶的生物合成技术研发</w:t>
            </w:r>
          </w:p>
        </w:tc>
        <w:tc>
          <w:tcPr>
            <w:tcW w:w="851" w:type="dxa"/>
            <w:vAlign w:val="center"/>
          </w:tcPr>
          <w:p>
            <w:pPr>
              <w:spacing w:line="300" w:lineRule="exact"/>
              <w:jc w:val="center"/>
              <w:rPr>
                <w:color w:val="000000"/>
                <w:szCs w:val="21"/>
              </w:rPr>
            </w:pPr>
            <w:r>
              <w:rPr>
                <w:color w:val="000000"/>
                <w:szCs w:val="21"/>
              </w:rPr>
              <w:t>300</w:t>
            </w:r>
          </w:p>
        </w:tc>
        <w:tc>
          <w:tcPr>
            <w:tcW w:w="4678" w:type="dxa"/>
            <w:vAlign w:val="center"/>
          </w:tcPr>
          <w:p>
            <w:pPr>
              <w:widowControl/>
              <w:adjustRightInd w:val="0"/>
              <w:snapToGrid w:val="0"/>
              <w:spacing w:line="280" w:lineRule="exact"/>
              <w:rPr>
                <w:color w:val="000000"/>
                <w:szCs w:val="21"/>
              </w:rPr>
            </w:pPr>
            <w:r>
              <w:rPr>
                <w:rFonts w:hint="eastAsia"/>
                <w:color w:val="000000"/>
                <w:szCs w:val="21"/>
              </w:rPr>
              <w:t>天然微生物源</w:t>
            </w:r>
            <w:r>
              <w:rPr>
                <w:color w:val="000000"/>
                <w:szCs w:val="21"/>
              </w:rPr>
              <w:t>α-</w:t>
            </w:r>
            <w:r>
              <w:rPr>
                <w:rFonts w:hint="eastAsia"/>
                <w:color w:val="000000"/>
                <w:szCs w:val="21"/>
              </w:rPr>
              <w:t>半乳糖苷酶的活性和产量较低，往往不能够满足工业和医疗应用的需求。为获得高活性、高产量、低成本的</w:t>
            </w:r>
            <w:bookmarkStart w:id="0" w:name="OLE_LINK5"/>
            <w:r>
              <w:rPr>
                <w:color w:val="000000"/>
                <w:szCs w:val="21"/>
              </w:rPr>
              <w:t>α-</w:t>
            </w:r>
            <w:r>
              <w:rPr>
                <w:rFonts w:hint="eastAsia"/>
                <w:color w:val="000000"/>
                <w:szCs w:val="21"/>
              </w:rPr>
              <w:t>半乳糖苷酶</w:t>
            </w:r>
            <w:bookmarkEnd w:id="0"/>
            <w:r>
              <w:rPr>
                <w:rFonts w:hint="eastAsia"/>
                <w:color w:val="000000"/>
                <w:szCs w:val="21"/>
              </w:rPr>
              <w:t>，提出如下需求：</w:t>
            </w:r>
          </w:p>
          <w:p>
            <w:pPr>
              <w:widowControl/>
              <w:adjustRightInd w:val="0"/>
              <w:snapToGrid w:val="0"/>
              <w:spacing w:line="280" w:lineRule="exact"/>
              <w:rPr>
                <w:color w:val="000000"/>
                <w:szCs w:val="21"/>
              </w:rPr>
            </w:pPr>
            <w:r>
              <w:rPr>
                <w:color w:val="000000"/>
                <w:szCs w:val="21"/>
              </w:rPr>
              <w:t>1.</w:t>
            </w:r>
            <w:r>
              <w:rPr>
                <w:rFonts w:hint="eastAsia"/>
                <w:color w:val="000000"/>
                <w:szCs w:val="21"/>
              </w:rPr>
              <w:t>构建黑曲霉可用的</w:t>
            </w:r>
            <w:bookmarkStart w:id="1" w:name="OLE_LINK3"/>
            <w:r>
              <w:rPr>
                <w:rFonts w:hint="eastAsia"/>
                <w:color w:val="000000"/>
                <w:szCs w:val="21"/>
              </w:rPr>
              <w:t>CRISPR-Cas</w:t>
            </w:r>
            <w:r>
              <w:rPr>
                <w:color w:val="000000"/>
                <w:szCs w:val="21"/>
              </w:rPr>
              <w:t>9</w:t>
            </w:r>
            <w:r>
              <w:rPr>
                <w:rFonts w:hint="eastAsia"/>
                <w:color w:val="000000"/>
                <w:szCs w:val="21"/>
              </w:rPr>
              <w:t>系统</w:t>
            </w:r>
            <w:bookmarkEnd w:id="1"/>
            <w:r>
              <w:rPr>
                <w:rFonts w:hint="eastAsia"/>
                <w:color w:val="000000"/>
                <w:szCs w:val="21"/>
              </w:rPr>
              <w:t>：目前，已开发应用于黑曲霉的CRISPR系统包含CRISPR-Cas9和CRISPR-Cas12a两种，其中CRISPR-Cas9系统操作简单高效，已经成为了驯化非模式丝状真菌的主要工具。但是，在实际应用中仍受到序列修饰、加工等诸多限制。为了突破序列限制和基因编辑效率问题，本研究需要改进CRISPR-Cas9系统，以实现对黑曲霉基因的高效编辑；</w:t>
            </w:r>
          </w:p>
          <w:p>
            <w:pPr>
              <w:widowControl/>
              <w:adjustRightInd w:val="0"/>
              <w:snapToGrid w:val="0"/>
              <w:spacing w:line="280" w:lineRule="exact"/>
              <w:rPr>
                <w:color w:val="000000"/>
                <w:szCs w:val="21"/>
              </w:rPr>
            </w:pPr>
            <w:r>
              <w:rPr>
                <w:rFonts w:hint="eastAsia"/>
                <w:color w:val="000000"/>
                <w:szCs w:val="21"/>
              </w:rPr>
              <w:t>2</w:t>
            </w:r>
            <w:r>
              <w:rPr>
                <w:color w:val="000000"/>
                <w:szCs w:val="21"/>
              </w:rPr>
              <w:t>.</w:t>
            </w:r>
            <w:r>
              <w:rPr>
                <w:rFonts w:hint="eastAsia"/>
                <w:color w:val="000000"/>
                <w:szCs w:val="21"/>
              </w:rPr>
              <w:t>构建可逆的非同源末端重组缺陷型黑曲霉底盘菌株：黑曲霉有较强的非同源重组修复能力，导致了同源重组的低效率。然而，直接构建</w:t>
            </w:r>
            <w:bookmarkStart w:id="2" w:name="OLE_LINK4"/>
            <w:r>
              <w:rPr>
                <w:rFonts w:hint="eastAsia"/>
                <w:color w:val="000000"/>
                <w:szCs w:val="21"/>
              </w:rPr>
              <w:t>△ku70</w:t>
            </w:r>
            <w:bookmarkEnd w:id="2"/>
            <w:r>
              <w:rPr>
                <w:rFonts w:hint="eastAsia"/>
                <w:color w:val="000000"/>
                <w:szCs w:val="21"/>
              </w:rPr>
              <w:t>菌株存在底盘细胞基因组不稳定的潜在风险。因此，为了既提高同源重组效率又维持基因组的稳定性，本研究需要获得ku70基因暂时缺失的底盘细胞；</w:t>
            </w:r>
          </w:p>
          <w:p>
            <w:pPr>
              <w:widowControl/>
              <w:adjustRightInd w:val="0"/>
              <w:snapToGrid w:val="0"/>
              <w:spacing w:line="280" w:lineRule="exact"/>
              <w:rPr>
                <w:color w:val="000000"/>
                <w:szCs w:val="21"/>
              </w:rPr>
            </w:pPr>
            <w:r>
              <w:rPr>
                <w:rFonts w:hint="eastAsia"/>
                <w:color w:val="000000"/>
                <w:szCs w:val="21"/>
              </w:rPr>
              <w:t>3</w:t>
            </w:r>
            <w:r>
              <w:rPr>
                <w:color w:val="000000"/>
                <w:szCs w:val="21"/>
              </w:rPr>
              <w:t>.</w:t>
            </w:r>
            <w:r>
              <w:rPr>
                <w:rFonts w:hint="eastAsia"/>
                <w:color w:val="000000"/>
                <w:szCs w:val="21"/>
              </w:rPr>
              <w:t>构建高表达热稳定型</w:t>
            </w:r>
            <w:r>
              <w:rPr>
                <w:color w:val="000000"/>
                <w:szCs w:val="21"/>
              </w:rPr>
              <w:t>α-</w:t>
            </w:r>
            <w:r>
              <w:rPr>
                <w:rFonts w:hint="eastAsia"/>
                <w:color w:val="000000"/>
                <w:szCs w:val="21"/>
              </w:rPr>
              <w:t>半乳糖苷酶的</w:t>
            </w:r>
            <w:bookmarkStart w:id="3" w:name="OLE_LINK6"/>
            <w:r>
              <w:rPr>
                <w:rFonts w:hint="eastAsia"/>
                <w:color w:val="000000"/>
                <w:szCs w:val="21"/>
              </w:rPr>
              <w:t>黑曲霉菌株</w:t>
            </w:r>
            <w:bookmarkEnd w:id="3"/>
            <w:r>
              <w:rPr>
                <w:rFonts w:hint="eastAsia"/>
                <w:color w:val="000000"/>
                <w:szCs w:val="21"/>
              </w:rPr>
              <w:t>：目前已在许多物种中发现了</w:t>
            </w:r>
            <w:r>
              <w:rPr>
                <w:color w:val="000000"/>
                <w:szCs w:val="21"/>
              </w:rPr>
              <w:t>α-</w:t>
            </w:r>
            <w:r>
              <w:rPr>
                <w:rFonts w:hint="eastAsia"/>
                <w:color w:val="000000"/>
                <w:szCs w:val="21"/>
              </w:rPr>
              <w:t>半乳糖苷酶，本研究需要通过对比不同来源的</w:t>
            </w:r>
            <w:r>
              <w:rPr>
                <w:color w:val="000000"/>
                <w:szCs w:val="21"/>
              </w:rPr>
              <w:t>α-</w:t>
            </w:r>
            <w:r>
              <w:rPr>
                <w:rFonts w:hint="eastAsia"/>
                <w:color w:val="000000"/>
                <w:szCs w:val="21"/>
              </w:rPr>
              <w:t>半乳糖苷酶，筛选出高催化效率、热稳定性和pH稳定性的</w:t>
            </w:r>
            <w:r>
              <w:rPr>
                <w:color w:val="000000"/>
                <w:szCs w:val="21"/>
              </w:rPr>
              <w:t>α-</w:t>
            </w:r>
            <w:r>
              <w:rPr>
                <w:rFonts w:hint="eastAsia"/>
                <w:color w:val="000000"/>
                <w:szCs w:val="21"/>
              </w:rPr>
              <w:t>半乳糖苷酶基因，并利用改进的CRISPR-Cas9系统将该基因编辑进入末端重组缺陷型黑曲霉底盘菌株进行培养发酵，最终获得高活性、高产量、低成本的</w:t>
            </w:r>
            <w:r>
              <w:rPr>
                <w:color w:val="000000"/>
                <w:szCs w:val="21"/>
              </w:rPr>
              <w:t>α-</w:t>
            </w:r>
            <w:r>
              <w:rPr>
                <w:rFonts w:hint="eastAsia"/>
                <w:color w:val="000000"/>
                <w:szCs w:val="21"/>
              </w:rPr>
              <w:t>半乳糖苷酶。</w:t>
            </w:r>
          </w:p>
        </w:tc>
        <w:tc>
          <w:tcPr>
            <w:tcW w:w="4605" w:type="dxa"/>
            <w:vAlign w:val="center"/>
          </w:tcPr>
          <w:p>
            <w:pPr>
              <w:widowControl/>
              <w:adjustRightInd w:val="0"/>
              <w:snapToGrid w:val="0"/>
              <w:spacing w:line="300" w:lineRule="exact"/>
              <w:rPr>
                <w:color w:val="000000"/>
                <w:szCs w:val="21"/>
              </w:rPr>
            </w:pPr>
            <w:r>
              <w:rPr>
                <w:rFonts w:hint="eastAsia"/>
                <w:color w:val="000000"/>
                <w:szCs w:val="21"/>
              </w:rPr>
              <w:t>1.改进的CRISPR-Cas9系统对黑曲霉基因组的编辑效率达到95%以上；</w:t>
            </w:r>
          </w:p>
          <w:p>
            <w:pPr>
              <w:widowControl/>
              <w:adjustRightInd w:val="0"/>
              <w:snapToGrid w:val="0"/>
              <w:spacing w:line="300" w:lineRule="exact"/>
              <w:rPr>
                <w:color w:val="000000"/>
                <w:szCs w:val="21"/>
              </w:rPr>
            </w:pPr>
            <w:r>
              <w:rPr>
                <w:rFonts w:hint="eastAsia"/>
                <w:color w:val="000000"/>
                <w:szCs w:val="21"/>
              </w:rPr>
              <w:t>2.获得△pyrG（乳清苷-5</w:t>
            </w:r>
            <w:r>
              <w:rPr>
                <w:color w:val="000000"/>
                <w:szCs w:val="21"/>
              </w:rPr>
              <w:t>’-</w:t>
            </w:r>
            <w:r>
              <w:rPr>
                <w:rFonts w:hint="eastAsia"/>
                <w:color w:val="000000"/>
                <w:szCs w:val="21"/>
              </w:rPr>
              <w:t>磷酸脱羧酶基因）营养缺陷型筛选标记的黑曲霉底盘菌株，以及含有异源</w:t>
            </w:r>
            <w:r>
              <w:rPr>
                <w:color w:val="000000"/>
                <w:szCs w:val="21"/>
              </w:rPr>
              <w:t>α-</w:t>
            </w:r>
            <w:r>
              <w:rPr>
                <w:rFonts w:hint="eastAsia"/>
                <w:color w:val="000000"/>
                <w:szCs w:val="21"/>
              </w:rPr>
              <w:t>半乳糖苷酶基因的重组黑曲霉菌株；</w:t>
            </w:r>
          </w:p>
          <w:p>
            <w:pPr>
              <w:widowControl/>
              <w:adjustRightInd w:val="0"/>
              <w:snapToGrid w:val="0"/>
              <w:spacing w:line="300" w:lineRule="exact"/>
              <w:rPr>
                <w:color w:val="000000"/>
                <w:szCs w:val="21"/>
              </w:rPr>
            </w:pPr>
            <w:r>
              <w:rPr>
                <w:rFonts w:hint="eastAsia"/>
                <w:color w:val="000000"/>
                <w:szCs w:val="21"/>
              </w:rPr>
              <w:t>3.小试（30L发酵罐）及中试（2吨发酵罐）</w:t>
            </w:r>
            <w:r>
              <w:rPr>
                <w:color w:val="000000"/>
                <w:szCs w:val="21"/>
              </w:rPr>
              <w:t>α-半</w:t>
            </w:r>
            <w:r>
              <w:rPr>
                <w:rFonts w:hint="eastAsia"/>
                <w:color w:val="000000"/>
                <w:szCs w:val="21"/>
              </w:rPr>
              <w:t>乳糖苷酶发酵生产，固体发酵酶活达2000U/g以上；</w:t>
            </w:r>
          </w:p>
          <w:p>
            <w:pPr>
              <w:widowControl/>
              <w:adjustRightInd w:val="0"/>
              <w:snapToGrid w:val="0"/>
              <w:spacing w:line="300" w:lineRule="exact"/>
              <w:rPr>
                <w:color w:val="000000"/>
                <w:szCs w:val="21"/>
              </w:rPr>
            </w:pPr>
            <w:r>
              <w:rPr>
                <w:rFonts w:hint="eastAsia"/>
                <w:color w:val="000000"/>
                <w:szCs w:val="21"/>
              </w:rPr>
              <w:t xml:space="preserve">4. </w:t>
            </w:r>
            <w:r>
              <w:rPr>
                <w:color w:val="000000"/>
                <w:szCs w:val="21"/>
              </w:rPr>
              <w:t>α-</w:t>
            </w:r>
            <w:r>
              <w:rPr>
                <w:rFonts w:hint="eastAsia"/>
                <w:color w:val="000000"/>
                <w:szCs w:val="21"/>
              </w:rPr>
              <w:t>半乳糖苷酶产品性质：在70℃时仍有活性，在pH3～11内保持活性稳定，且在50℃-60℃孵育10小时后依旧保留90%以上的活性；</w:t>
            </w:r>
          </w:p>
          <w:p>
            <w:pPr>
              <w:widowControl/>
              <w:adjustRightInd w:val="0"/>
              <w:snapToGrid w:val="0"/>
              <w:spacing w:line="300" w:lineRule="exact"/>
              <w:rPr>
                <w:color w:val="000000"/>
                <w:szCs w:val="21"/>
              </w:rPr>
            </w:pPr>
            <w:r>
              <w:rPr>
                <w:rFonts w:hint="eastAsia"/>
                <w:color w:val="000000"/>
                <w:szCs w:val="21"/>
              </w:rPr>
              <w:t>5.道宁药业申请相关发明专利至少2件，所有权人为江苏道宁药业有限公司。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704" w:type="dxa"/>
            <w:vAlign w:val="center"/>
          </w:tcPr>
          <w:p>
            <w:pPr>
              <w:overflowPunct w:val="0"/>
              <w:adjustRightInd w:val="0"/>
              <w:snapToGrid w:val="0"/>
              <w:spacing w:line="300" w:lineRule="exact"/>
              <w:jc w:val="center"/>
              <w:rPr>
                <w:color w:val="000000"/>
                <w:szCs w:val="21"/>
              </w:rPr>
            </w:pPr>
            <w:r>
              <w:rPr>
                <w:rFonts w:hint="eastAsia"/>
                <w:color w:val="000000"/>
                <w:kern w:val="0"/>
                <w:szCs w:val="21"/>
              </w:rPr>
              <w:t>12</w:t>
            </w:r>
          </w:p>
        </w:tc>
        <w:tc>
          <w:tcPr>
            <w:tcW w:w="1382" w:type="dxa"/>
            <w:vAlign w:val="center"/>
          </w:tcPr>
          <w:p>
            <w:pPr>
              <w:spacing w:line="300" w:lineRule="exact"/>
              <w:jc w:val="center"/>
              <w:rPr>
                <w:color w:val="000000"/>
                <w:szCs w:val="21"/>
                <w:highlight w:val="yellow"/>
              </w:rPr>
            </w:pPr>
            <w:r>
              <w:rPr>
                <w:rFonts w:hint="eastAsia"/>
                <w:color w:val="000000"/>
                <w:szCs w:val="21"/>
              </w:rPr>
              <w:t>江苏知至生物科技有限公司</w:t>
            </w:r>
          </w:p>
        </w:tc>
        <w:tc>
          <w:tcPr>
            <w:tcW w:w="1984" w:type="dxa"/>
            <w:vAlign w:val="center"/>
          </w:tcPr>
          <w:p>
            <w:pPr>
              <w:spacing w:line="300" w:lineRule="exact"/>
              <w:jc w:val="center"/>
              <w:rPr>
                <w:color w:val="000000"/>
                <w:szCs w:val="21"/>
              </w:rPr>
            </w:pPr>
            <w:r>
              <w:rPr>
                <w:rFonts w:hint="eastAsia"/>
                <w:color w:val="000000"/>
                <w:szCs w:val="21"/>
              </w:rPr>
              <w:t>可用于检测疾病标志物的纳米酶传感器</w:t>
            </w:r>
          </w:p>
        </w:tc>
        <w:tc>
          <w:tcPr>
            <w:tcW w:w="851" w:type="dxa"/>
            <w:vAlign w:val="center"/>
          </w:tcPr>
          <w:p>
            <w:pPr>
              <w:spacing w:line="300" w:lineRule="exact"/>
              <w:jc w:val="center"/>
              <w:rPr>
                <w:color w:val="000000"/>
                <w:szCs w:val="21"/>
              </w:rPr>
            </w:pPr>
            <w:r>
              <w:rPr>
                <w:color w:val="000000"/>
                <w:szCs w:val="21"/>
              </w:rPr>
              <w:t>400</w:t>
            </w:r>
          </w:p>
        </w:tc>
        <w:tc>
          <w:tcPr>
            <w:tcW w:w="4678" w:type="dxa"/>
            <w:vAlign w:val="center"/>
          </w:tcPr>
          <w:p>
            <w:pPr>
              <w:widowControl/>
              <w:adjustRightInd w:val="0"/>
              <w:snapToGrid w:val="0"/>
              <w:spacing w:line="300" w:lineRule="exact"/>
              <w:rPr>
                <w:color w:val="000000"/>
                <w:szCs w:val="21"/>
              </w:rPr>
            </w:pPr>
            <w:r>
              <w:rPr>
                <w:rFonts w:hint="eastAsia"/>
                <w:color w:val="000000"/>
                <w:szCs w:val="21"/>
              </w:rPr>
              <w:t>设计、合成一种生物蛋白作为骨架，并包载具有类葡萄糖氧化酶催化活性金属纳米颗粒形成复合体，该复合体能有效催化葡萄糖氧化生成葡萄糖酸。基于该复合体可组装成传感器，实现对</w:t>
            </w:r>
            <w:r>
              <w:rPr>
                <w:color w:val="000000"/>
                <w:szCs w:val="21"/>
              </w:rPr>
              <w:t>葡萄糖的超灵敏检测</w:t>
            </w:r>
            <w:r>
              <w:rPr>
                <w:rFonts w:hint="eastAsia"/>
                <w:color w:val="000000"/>
                <w:szCs w:val="21"/>
              </w:rPr>
              <w:t>。</w:t>
            </w:r>
          </w:p>
          <w:p>
            <w:pPr>
              <w:widowControl/>
              <w:adjustRightInd w:val="0"/>
              <w:snapToGrid w:val="0"/>
              <w:spacing w:line="300" w:lineRule="exact"/>
              <w:rPr>
                <w:bCs/>
                <w:szCs w:val="21"/>
              </w:rPr>
            </w:pPr>
            <w:r>
              <w:rPr>
                <w:rFonts w:hint="eastAsia"/>
                <w:color w:val="000000"/>
                <w:szCs w:val="21"/>
              </w:rPr>
              <w:t>该复合体应具备以下特征：</w:t>
            </w:r>
            <w:r>
              <w:rPr>
                <w:color w:val="000000"/>
                <w:szCs w:val="21"/>
              </w:rPr>
              <w:t>具有纳米尺寸的通道和腔体、</w:t>
            </w:r>
            <w:r>
              <w:rPr>
                <w:rFonts w:hint="eastAsia"/>
                <w:color w:val="000000"/>
                <w:szCs w:val="21"/>
              </w:rPr>
              <w:t>较</w:t>
            </w:r>
            <w:r>
              <w:rPr>
                <w:color w:val="000000"/>
                <w:szCs w:val="21"/>
              </w:rPr>
              <w:t>高的</w:t>
            </w:r>
            <w:r>
              <w:rPr>
                <w:rFonts w:hint="eastAsia"/>
                <w:color w:val="000000"/>
                <w:szCs w:val="21"/>
              </w:rPr>
              <w:t>比表面积，</w:t>
            </w:r>
            <w:r>
              <w:rPr>
                <w:color w:val="000000"/>
                <w:szCs w:val="21"/>
              </w:rPr>
              <w:t>有利于物质的扩散和活性位点的充分暴露</w:t>
            </w:r>
            <w:r>
              <w:rPr>
                <w:rFonts w:hint="eastAsia"/>
                <w:color w:val="000000"/>
                <w:szCs w:val="21"/>
              </w:rPr>
              <w:t>，能避免纳米酶颗粒的团簇问题。具有</w:t>
            </w:r>
            <w:r>
              <w:rPr>
                <w:color w:val="000000"/>
                <w:szCs w:val="21"/>
              </w:rPr>
              <w:t>化学可调性和结构灵活性</w:t>
            </w:r>
            <w:r>
              <w:rPr>
                <w:rFonts w:hint="eastAsia"/>
                <w:color w:val="000000"/>
                <w:szCs w:val="21"/>
              </w:rPr>
              <w:t>。该传感器阴极、阳极应具有较强的灵敏度、工作稳定性、抗干扰性。</w:t>
            </w:r>
          </w:p>
        </w:tc>
        <w:tc>
          <w:tcPr>
            <w:tcW w:w="4605" w:type="dxa"/>
            <w:vAlign w:val="center"/>
          </w:tcPr>
          <w:p>
            <w:pPr>
              <w:widowControl/>
              <w:adjustRightInd w:val="0"/>
              <w:snapToGrid w:val="0"/>
              <w:spacing w:line="300" w:lineRule="exact"/>
              <w:rPr>
                <w:color w:val="000000"/>
                <w:szCs w:val="21"/>
              </w:rPr>
            </w:pPr>
            <w:r>
              <w:rPr>
                <w:rFonts w:hint="eastAsia"/>
                <w:color w:val="000000"/>
                <w:szCs w:val="21"/>
              </w:rPr>
              <w:t>1.良好的生物相容性：该复合体应具有低毒和低免疫原性，并且代谢产物安全。</w:t>
            </w:r>
          </w:p>
          <w:p>
            <w:pPr>
              <w:widowControl/>
              <w:adjustRightInd w:val="0"/>
              <w:snapToGrid w:val="0"/>
              <w:spacing w:line="300" w:lineRule="exact"/>
              <w:rPr>
                <w:color w:val="000000"/>
                <w:szCs w:val="21"/>
              </w:rPr>
            </w:pPr>
            <w:r>
              <w:rPr>
                <w:rFonts w:hint="eastAsia"/>
                <w:color w:val="000000"/>
                <w:szCs w:val="21"/>
              </w:rPr>
              <w:t>2.高活性：因为纳米酶的催化活性弱于天然酶，保持纳米酶本身优势的同时获得高催化活性，其比活性达到10000 U/mg；</w:t>
            </w:r>
          </w:p>
          <w:p>
            <w:pPr>
              <w:widowControl/>
              <w:adjustRightInd w:val="0"/>
              <w:snapToGrid w:val="0"/>
              <w:spacing w:line="300" w:lineRule="exact"/>
              <w:rPr>
                <w:color w:val="000000"/>
                <w:szCs w:val="21"/>
              </w:rPr>
            </w:pPr>
            <w:r>
              <w:rPr>
                <w:rFonts w:hint="eastAsia"/>
                <w:color w:val="000000"/>
                <w:szCs w:val="21"/>
              </w:rPr>
              <w:t>3.高专一性：当以葡萄糖为底物时，米氏常数（Km）应小于30</w:t>
            </w:r>
            <w:r>
              <w:rPr>
                <w:color w:val="000000"/>
                <w:szCs w:val="21"/>
              </w:rPr>
              <w:t>μ</w:t>
            </w:r>
            <w:r>
              <w:rPr>
                <w:rFonts w:hint="eastAsia"/>
                <w:color w:val="000000"/>
                <w:szCs w:val="21"/>
              </w:rPr>
              <w:t>M；</w:t>
            </w:r>
          </w:p>
          <w:p>
            <w:pPr>
              <w:widowControl/>
              <w:adjustRightInd w:val="0"/>
              <w:snapToGrid w:val="0"/>
              <w:spacing w:line="300" w:lineRule="exact"/>
              <w:rPr>
                <w:color w:val="000000"/>
                <w:szCs w:val="21"/>
              </w:rPr>
            </w:pPr>
            <w:r>
              <w:rPr>
                <w:rFonts w:hint="eastAsia"/>
                <w:color w:val="000000"/>
                <w:szCs w:val="21"/>
              </w:rPr>
              <w:t>4.高稳定性：由于纳米材料的晶化结构和表面构型多样性，纳米酶通常表现出低稳定性，通过蛋白骨架的结合或包载以提高整体稳定性。其半衰期需达10h；</w:t>
            </w:r>
          </w:p>
          <w:p>
            <w:pPr>
              <w:widowControl/>
              <w:adjustRightInd w:val="0"/>
              <w:snapToGrid w:val="0"/>
              <w:spacing w:line="300" w:lineRule="exact"/>
              <w:rPr>
                <w:color w:val="000000"/>
                <w:szCs w:val="21"/>
              </w:rPr>
            </w:pPr>
            <w:r>
              <w:rPr>
                <w:rFonts w:hint="eastAsia"/>
                <w:color w:val="000000"/>
                <w:szCs w:val="21"/>
              </w:rPr>
              <w:t>5.传感器光阳极的制备利用环境友好光电材料，初始光电流响应达到50</w:t>
            </w:r>
            <w:r>
              <w:rPr>
                <w:color w:val="000000"/>
                <w:szCs w:val="21"/>
              </w:rPr>
              <w:t xml:space="preserve"> μ</w:t>
            </w:r>
            <w:r>
              <w:rPr>
                <w:rFonts w:hint="eastAsia"/>
                <w:color w:val="000000"/>
                <w:szCs w:val="21"/>
              </w:rPr>
              <w:t>A/cm2以上，稳定性在98%/min以上；</w:t>
            </w:r>
          </w:p>
          <w:p>
            <w:pPr>
              <w:widowControl/>
              <w:adjustRightInd w:val="0"/>
              <w:snapToGrid w:val="0"/>
              <w:spacing w:line="300" w:lineRule="exact"/>
              <w:rPr>
                <w:color w:val="000000"/>
                <w:szCs w:val="21"/>
              </w:rPr>
            </w:pPr>
            <w:r>
              <w:rPr>
                <w:rFonts w:hint="eastAsia"/>
                <w:color w:val="000000"/>
                <w:szCs w:val="21"/>
              </w:rPr>
              <w:t>6.传感生物阴极使用多肽抗干扰元件，检测无前处理实际生物样本的抗干扰效率达到96%以上；</w:t>
            </w:r>
          </w:p>
          <w:p>
            <w:pPr>
              <w:overflowPunct w:val="0"/>
              <w:adjustRightInd w:val="0"/>
              <w:snapToGrid w:val="0"/>
              <w:spacing w:line="300" w:lineRule="exact"/>
              <w:rPr>
                <w:color w:val="000000"/>
                <w:szCs w:val="21"/>
              </w:rPr>
            </w:pPr>
            <w:r>
              <w:rPr>
                <w:rFonts w:hint="eastAsia"/>
                <w:color w:val="000000"/>
                <w:szCs w:val="21"/>
              </w:rPr>
              <w:t>7.传感器灵敏度不低于已报道的高性能阳极光电化学生物传感器，且检测线性范围在2个数量级以上。</w:t>
            </w:r>
          </w:p>
        </w:tc>
      </w:tr>
    </w:tbl>
    <w:p/>
    <w:p>
      <w:pPr>
        <w:tabs>
          <w:tab w:val="left" w:pos="7371"/>
        </w:tabs>
        <w:overflowPunct w:val="0"/>
        <w:autoSpaceDE w:val="0"/>
        <w:autoSpaceDN w:val="0"/>
        <w:adjustRightInd w:val="0"/>
        <w:snapToGrid w:val="0"/>
        <w:spacing w:line="570" w:lineRule="exact"/>
        <w:ind w:firstLine="4298"/>
        <w:rPr>
          <w:rFonts w:eastAsia="仿宋_GB2312"/>
          <w:snapToGrid w:val="0"/>
          <w:color w:val="000000"/>
          <w:kern w:val="0"/>
          <w:sz w:val="32"/>
          <w:szCs w:val="32"/>
        </w:rPr>
        <w:sectPr>
          <w:headerReference r:id="rId3" w:type="default"/>
          <w:footerReference r:id="rId4" w:type="default"/>
          <w:footerReference r:id="rId5" w:type="even"/>
          <w:pgSz w:w="16838" w:h="11906" w:orient="landscape"/>
          <w:pgMar w:top="1531" w:right="1418" w:bottom="1531" w:left="1418" w:header="709" w:footer="1361" w:gutter="0"/>
          <w:cols w:space="720" w:num="1"/>
          <w:docGrid w:linePitch="312" w:charSpace="0"/>
        </w:sectPr>
      </w:pPr>
      <w:bookmarkStart w:id="4" w:name="_GoBack"/>
      <w:bookmarkEnd w:id="4"/>
    </w:p>
    <w:p>
      <w:pPr>
        <w:tabs>
          <w:tab w:val="left" w:pos="7371"/>
        </w:tabs>
        <w:overflowPunct w:val="0"/>
        <w:autoSpaceDE w:val="0"/>
        <w:autoSpaceDN w:val="0"/>
        <w:adjustRightInd w:val="0"/>
        <w:snapToGrid w:val="0"/>
        <w:spacing w:before="60" w:line="240" w:lineRule="exact"/>
        <w:ind w:right="339"/>
        <w:jc w:val="right"/>
        <w:rPr>
          <w:snapToGrid w:val="0"/>
          <w:color w:val="000000"/>
          <w:kern w:val="0"/>
          <w:szCs w:val="21"/>
        </w:rPr>
      </w:pPr>
    </w:p>
    <w:sectPr>
      <w:pgSz w:w="11906" w:h="16838"/>
      <w:pgMar w:top="2098" w:right="1531" w:bottom="1985" w:left="1531" w:header="709" w:footer="136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Mongolian Baiti">
    <w:panose1 w:val="03000500000000000000"/>
    <w:charset w:val="00"/>
    <w:family w:val="script"/>
    <w:pitch w:val="default"/>
    <w:sig w:usb0="80000023" w:usb1="00000000" w:usb2="00020000" w:usb3="00000000" w:csb0="00000001"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_GBK">
    <w:altName w:val="Arial Unicode MS"/>
    <w:panose1 w:val="00000000000000000000"/>
    <w:charset w:val="86"/>
    <w:family w:val="script"/>
    <w:pitch w:val="default"/>
    <w:sig w:usb0="00000000" w:usb1="00000000" w:usb2="00000010" w:usb3="00000000" w:csb0="00040000" w:csb1="00000000"/>
  </w:font>
  <w:font w:name="方正小标宋_GBK">
    <w:panose1 w:val="02000000000000000000"/>
    <w:charset w:val="86"/>
    <w:family w:val="script"/>
    <w:pitch w:val="default"/>
    <w:sig w:usb0="00000001" w:usb1="080E0000" w:usb2="00000000" w:usb3="00000000" w:csb0="00040000" w:csb1="00000000"/>
  </w:font>
  <w:font w:name="方正黑体_GBK">
    <w:altName w:val="Arial Unicode MS"/>
    <w:panose1 w:val="00000000000000000000"/>
    <w:charset w:val="86"/>
    <w:family w:val="script"/>
    <w:pitch w:val="default"/>
    <w:sig w:usb0="00000000" w:usb1="00000000" w:usb2="00000010" w:usb3="00000000" w:csb0="00040000" w:csb1="00000000"/>
  </w:font>
  <w:font w:name="汉鼎简黑体">
    <w:altName w:val="黑体"/>
    <w:panose1 w:val="00000000000000000000"/>
    <w:charset w:val="86"/>
    <w:family w:val="auto"/>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方正黑体简体">
    <w:panose1 w:val="02010601030101010101"/>
    <w:charset w:val="86"/>
    <w:family w:val="script"/>
    <w:pitch w:val="default"/>
    <w:sig w:usb0="00000001" w:usb1="080E0000" w:usb2="0000000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left="227" w:right="227"/>
      <w:jc w:val="right"/>
    </w:pPr>
    <w:r>
      <w:rPr>
        <w:rFonts w:ascii="宋体" w:hAnsi="宋体"/>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13</w:t>
    </w:r>
    <w:r>
      <w:rPr>
        <w:sz w:val="28"/>
        <w:szCs w:val="28"/>
      </w:rPr>
      <w:fldChar w:fldCharType="end"/>
    </w:r>
    <w:r>
      <w:rPr>
        <w:rFonts w:ascii="宋体" w:hAnsi="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left="227" w:right="227"/>
    </w:pPr>
    <w:r>
      <w:rPr>
        <w:rFonts w:ascii="宋体" w:hAnsi="宋体"/>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12</w:t>
    </w:r>
    <w:r>
      <w:rPr>
        <w:sz w:val="28"/>
        <w:szCs w:val="28"/>
      </w:rPr>
      <w:fldChar w:fldCharType="end"/>
    </w:r>
    <w:r>
      <w:rPr>
        <w:rFonts w:ascii="宋体" w:hAnsi="宋体"/>
        <w:sz w:val="28"/>
        <w:szCs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E332E5D"/>
    <w:multiLevelType w:val="singleLevel"/>
    <w:tmpl w:val="7E332E5D"/>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evenAndOddHeaders w:val="1"/>
  <w:drawingGridHorizontalSpacing w:val="105"/>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yOTFlYWZkYTJiNzZjOGRlYjI2YjUyNjA5NWE3YzMifQ=="/>
  </w:docVars>
  <w:rsids>
    <w:rsidRoot w:val="005A264A"/>
    <w:rsid w:val="00006600"/>
    <w:rsid w:val="00013318"/>
    <w:rsid w:val="00014C60"/>
    <w:rsid w:val="000172FC"/>
    <w:rsid w:val="000A0E2D"/>
    <w:rsid w:val="000A75B9"/>
    <w:rsid w:val="000F57F7"/>
    <w:rsid w:val="000F6550"/>
    <w:rsid w:val="0012447F"/>
    <w:rsid w:val="00126447"/>
    <w:rsid w:val="001312A6"/>
    <w:rsid w:val="00164075"/>
    <w:rsid w:val="001700E1"/>
    <w:rsid w:val="001A09AB"/>
    <w:rsid w:val="001A66B1"/>
    <w:rsid w:val="001C31EA"/>
    <w:rsid w:val="001D14F0"/>
    <w:rsid w:val="001E6882"/>
    <w:rsid w:val="00202536"/>
    <w:rsid w:val="0020752F"/>
    <w:rsid w:val="002225DB"/>
    <w:rsid w:val="00225169"/>
    <w:rsid w:val="00244F23"/>
    <w:rsid w:val="00263BF3"/>
    <w:rsid w:val="00264EB5"/>
    <w:rsid w:val="002665F5"/>
    <w:rsid w:val="00267868"/>
    <w:rsid w:val="00291004"/>
    <w:rsid w:val="0029443F"/>
    <w:rsid w:val="002A4AA1"/>
    <w:rsid w:val="002A538E"/>
    <w:rsid w:val="002A65D2"/>
    <w:rsid w:val="002B05CE"/>
    <w:rsid w:val="002F2CF5"/>
    <w:rsid w:val="002F6C86"/>
    <w:rsid w:val="00304DF4"/>
    <w:rsid w:val="0032177D"/>
    <w:rsid w:val="003266DF"/>
    <w:rsid w:val="00336EDA"/>
    <w:rsid w:val="00354E57"/>
    <w:rsid w:val="00365FB4"/>
    <w:rsid w:val="003A07E3"/>
    <w:rsid w:val="003A6E78"/>
    <w:rsid w:val="003B2FBF"/>
    <w:rsid w:val="0041380B"/>
    <w:rsid w:val="00434759"/>
    <w:rsid w:val="00445865"/>
    <w:rsid w:val="0045014F"/>
    <w:rsid w:val="00455160"/>
    <w:rsid w:val="00457BFD"/>
    <w:rsid w:val="004B32A1"/>
    <w:rsid w:val="004E1F04"/>
    <w:rsid w:val="00532C25"/>
    <w:rsid w:val="00536947"/>
    <w:rsid w:val="00566C91"/>
    <w:rsid w:val="00577423"/>
    <w:rsid w:val="005A264A"/>
    <w:rsid w:val="005A2846"/>
    <w:rsid w:val="005A5001"/>
    <w:rsid w:val="005C41AE"/>
    <w:rsid w:val="005F6C61"/>
    <w:rsid w:val="005F7AC4"/>
    <w:rsid w:val="00613F7A"/>
    <w:rsid w:val="006640B9"/>
    <w:rsid w:val="00673F8E"/>
    <w:rsid w:val="0068490B"/>
    <w:rsid w:val="006879F1"/>
    <w:rsid w:val="006A2037"/>
    <w:rsid w:val="006C13AE"/>
    <w:rsid w:val="00701A34"/>
    <w:rsid w:val="0071287F"/>
    <w:rsid w:val="007272F9"/>
    <w:rsid w:val="00747369"/>
    <w:rsid w:val="007C3E62"/>
    <w:rsid w:val="007E6812"/>
    <w:rsid w:val="007F1F7B"/>
    <w:rsid w:val="00802578"/>
    <w:rsid w:val="008215B4"/>
    <w:rsid w:val="00827550"/>
    <w:rsid w:val="0084263A"/>
    <w:rsid w:val="008532CA"/>
    <w:rsid w:val="008C32BE"/>
    <w:rsid w:val="008E552D"/>
    <w:rsid w:val="008F2B43"/>
    <w:rsid w:val="00916634"/>
    <w:rsid w:val="009168B3"/>
    <w:rsid w:val="0092137F"/>
    <w:rsid w:val="00930D36"/>
    <w:rsid w:val="009351B5"/>
    <w:rsid w:val="009363FC"/>
    <w:rsid w:val="0094535D"/>
    <w:rsid w:val="00952C86"/>
    <w:rsid w:val="00973584"/>
    <w:rsid w:val="00973F38"/>
    <w:rsid w:val="009741E6"/>
    <w:rsid w:val="009B76BF"/>
    <w:rsid w:val="009E4CB0"/>
    <w:rsid w:val="00A02FE9"/>
    <w:rsid w:val="00A2322E"/>
    <w:rsid w:val="00A419D8"/>
    <w:rsid w:val="00A9085A"/>
    <w:rsid w:val="00A973F4"/>
    <w:rsid w:val="00AC666B"/>
    <w:rsid w:val="00AC66BF"/>
    <w:rsid w:val="00AE6EFC"/>
    <w:rsid w:val="00B12E74"/>
    <w:rsid w:val="00B214C5"/>
    <w:rsid w:val="00B26353"/>
    <w:rsid w:val="00B805C2"/>
    <w:rsid w:val="00BA1675"/>
    <w:rsid w:val="00BB439E"/>
    <w:rsid w:val="00C06E8E"/>
    <w:rsid w:val="00C130F0"/>
    <w:rsid w:val="00C57909"/>
    <w:rsid w:val="00C729F8"/>
    <w:rsid w:val="00C8514D"/>
    <w:rsid w:val="00C965C6"/>
    <w:rsid w:val="00CC2B98"/>
    <w:rsid w:val="00CD4E31"/>
    <w:rsid w:val="00D02549"/>
    <w:rsid w:val="00D34113"/>
    <w:rsid w:val="00D37020"/>
    <w:rsid w:val="00D46CE5"/>
    <w:rsid w:val="00D77D04"/>
    <w:rsid w:val="00DB695B"/>
    <w:rsid w:val="00DC6D3E"/>
    <w:rsid w:val="00DC776D"/>
    <w:rsid w:val="00DD7DE4"/>
    <w:rsid w:val="00DE734B"/>
    <w:rsid w:val="00DF4D60"/>
    <w:rsid w:val="00E13864"/>
    <w:rsid w:val="00E431AB"/>
    <w:rsid w:val="00E77C66"/>
    <w:rsid w:val="00E86AEC"/>
    <w:rsid w:val="00E910C9"/>
    <w:rsid w:val="00EB4E75"/>
    <w:rsid w:val="00EC0F99"/>
    <w:rsid w:val="00EC6237"/>
    <w:rsid w:val="00EC7D7D"/>
    <w:rsid w:val="00ED14D5"/>
    <w:rsid w:val="00EF2FD3"/>
    <w:rsid w:val="00F01E35"/>
    <w:rsid w:val="00F5409B"/>
    <w:rsid w:val="00F5586C"/>
    <w:rsid w:val="00FB0C6E"/>
    <w:rsid w:val="00FD7342"/>
    <w:rsid w:val="00FE7878"/>
    <w:rsid w:val="22051DEF"/>
    <w:rsid w:val="234F7AD1"/>
    <w:rsid w:val="33A0774B"/>
    <w:rsid w:val="39662F36"/>
    <w:rsid w:val="5B823F84"/>
    <w:rsid w:val="67C178A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9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nhideWhenUsed="0" w:uiPriority="99" w:semiHidden="0"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nhideWhenUsed="0" w:uiPriority="0" w:semiHidden="0" w:name="List Number" w:locked="1"/>
    <w:lsdException w:uiPriority="99" w:name="List 2"/>
    <w:lsdException w:uiPriority="99" w:name="List 3"/>
    <w:lsdException w:unhideWhenUsed="0" w:uiPriority="0" w:semiHidden="0" w:name="List 4" w:locked="1"/>
    <w:lsdException w:unhideWhenUsed="0" w:uiPriority="0" w:semiHidden="0" w:name="List 5" w:locked="1"/>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nhideWhenUsed="0" w:uiPriority="99" w:semiHidden="0" w:name="Body Text"/>
    <w:lsdException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99" w:semiHidden="0" w:name="Subtitle"/>
    <w:lsdException w:qFormat="1" w:unhideWhenUsed="0" w:uiPriority="99" w:semiHidden="0" w:name="Salutation"/>
    <w:lsdException w:qFormat="1" w:unhideWhenUsed="0" w:uiPriority="99" w:semiHidden="0" w:name="Date"/>
    <w:lsdException w:unhideWhenUsed="0" w:uiPriority="99" w:semiHidden="0" w:name="Body Text First Indent"/>
    <w:lsdException w:unhideWhenUsed="0" w:uiPriority="99" w:semiHidden="0"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99" w:semiHidden="0" w:name="Strong"/>
    <w:lsdException w:qFormat="1" w:unhideWhenUsed="0" w:uiPriority="99" w:semiHidden="0" w:name="Emphasis"/>
    <w:lsdException w:uiPriority="99" w:name="Document Map"/>
    <w:lsdException w:unhideWhenUsed="0" w:uiPriority="99" w:semiHidden="0"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31"/>
    <w:autoRedefine/>
    <w:qFormat/>
    <w:uiPriority w:val="99"/>
    <w:pPr>
      <w:keepNext/>
      <w:keepLines/>
      <w:autoSpaceDE w:val="0"/>
      <w:autoSpaceDN w:val="0"/>
      <w:snapToGrid w:val="0"/>
      <w:spacing w:before="340" w:after="330" w:line="578" w:lineRule="atLeast"/>
      <w:ind w:firstLine="624"/>
      <w:outlineLvl w:val="0"/>
    </w:pPr>
    <w:rPr>
      <w:rFonts w:ascii="方正仿宋_GBK" w:eastAsia="方正仿宋_GBK"/>
      <w:b/>
      <w:kern w:val="44"/>
      <w:sz w:val="44"/>
    </w:rPr>
  </w:style>
  <w:style w:type="paragraph" w:styleId="3">
    <w:name w:val="heading 2"/>
    <w:basedOn w:val="1"/>
    <w:next w:val="1"/>
    <w:link w:val="32"/>
    <w:qFormat/>
    <w:uiPriority w:val="99"/>
    <w:pPr>
      <w:keepNext/>
      <w:keepLines/>
      <w:spacing w:before="260" w:after="260" w:line="415" w:lineRule="auto"/>
      <w:outlineLvl w:val="1"/>
    </w:pPr>
    <w:rPr>
      <w:rFonts w:ascii="等线 Light" w:eastAsia="等线 Light" w:cs="Mongolian Baiti"/>
      <w:b/>
      <w:bCs/>
      <w:sz w:val="32"/>
      <w:szCs w:val="32"/>
    </w:rPr>
  </w:style>
  <w:style w:type="paragraph" w:styleId="4">
    <w:name w:val="heading 3"/>
    <w:basedOn w:val="1"/>
    <w:next w:val="1"/>
    <w:link w:val="33"/>
    <w:qFormat/>
    <w:uiPriority w:val="99"/>
    <w:pPr>
      <w:keepNext/>
      <w:keepLines/>
      <w:widowControl/>
      <w:spacing w:before="200" w:line="276" w:lineRule="auto"/>
      <w:jc w:val="left"/>
      <w:outlineLvl w:val="2"/>
    </w:pPr>
    <w:rPr>
      <w:rFonts w:ascii="等线 Light" w:eastAsia="等线 Light" w:cs="Mongolian Baiti"/>
      <w:b/>
      <w:bCs/>
      <w:color w:val="5B9BD5"/>
      <w:kern w:val="0"/>
      <w:sz w:val="22"/>
      <w:szCs w:val="22"/>
    </w:rPr>
  </w:style>
  <w:style w:type="paragraph" w:styleId="5">
    <w:name w:val="heading 4"/>
    <w:basedOn w:val="1"/>
    <w:next w:val="1"/>
    <w:link w:val="34"/>
    <w:qFormat/>
    <w:uiPriority w:val="99"/>
    <w:pPr>
      <w:keepNext/>
      <w:keepLines/>
      <w:spacing w:before="280" w:after="290" w:line="376" w:lineRule="auto"/>
      <w:outlineLvl w:val="3"/>
    </w:pPr>
    <w:rPr>
      <w:rFonts w:ascii="Cambria" w:hAnsi="Cambria" w:cs="Mongolian Baiti"/>
      <w:b/>
      <w:bCs/>
      <w:sz w:val="28"/>
      <w:szCs w:val="28"/>
    </w:rPr>
  </w:style>
  <w:style w:type="character" w:default="1" w:styleId="25">
    <w:name w:val="Default Paragraph Font"/>
    <w:semiHidden/>
    <w:unhideWhenUsed/>
    <w:uiPriority w:val="1"/>
  </w:style>
  <w:style w:type="table" w:default="1" w:styleId="23">
    <w:name w:val="Normal Table"/>
    <w:semiHidden/>
    <w:unhideWhenUsed/>
    <w:uiPriority w:val="99"/>
    <w:tblPr>
      <w:tblCellMar>
        <w:top w:w="0" w:type="dxa"/>
        <w:left w:w="108" w:type="dxa"/>
        <w:bottom w:w="0" w:type="dxa"/>
        <w:right w:w="108" w:type="dxa"/>
      </w:tblCellMar>
    </w:tblPr>
  </w:style>
  <w:style w:type="paragraph" w:styleId="6">
    <w:name w:val="Normal Indent"/>
    <w:basedOn w:val="1"/>
    <w:next w:val="1"/>
    <w:autoRedefine/>
    <w:qFormat/>
    <w:uiPriority w:val="99"/>
    <w:pPr>
      <w:autoSpaceDE w:val="0"/>
      <w:autoSpaceDN w:val="0"/>
      <w:adjustRightInd w:val="0"/>
      <w:spacing w:line="590" w:lineRule="atLeast"/>
      <w:jc w:val="left"/>
    </w:pPr>
    <w:rPr>
      <w:rFonts w:eastAsia="方正仿宋_GBK"/>
      <w:spacing w:val="-25"/>
      <w:kern w:val="0"/>
      <w:sz w:val="32"/>
    </w:rPr>
  </w:style>
  <w:style w:type="paragraph" w:styleId="7">
    <w:name w:val="annotation text"/>
    <w:basedOn w:val="1"/>
    <w:link w:val="35"/>
    <w:autoRedefine/>
    <w:qFormat/>
    <w:uiPriority w:val="99"/>
    <w:pPr>
      <w:autoSpaceDE w:val="0"/>
      <w:autoSpaceDN w:val="0"/>
      <w:snapToGrid w:val="0"/>
      <w:spacing w:line="590" w:lineRule="atLeast"/>
      <w:ind w:firstLine="624"/>
      <w:jc w:val="left"/>
    </w:pPr>
    <w:rPr>
      <w:rFonts w:eastAsia="方正仿宋_GBK"/>
      <w:kern w:val="0"/>
      <w:sz w:val="32"/>
      <w:szCs w:val="32"/>
    </w:rPr>
  </w:style>
  <w:style w:type="paragraph" w:styleId="8">
    <w:name w:val="Salutation"/>
    <w:basedOn w:val="1"/>
    <w:next w:val="1"/>
    <w:link w:val="94"/>
    <w:autoRedefine/>
    <w:qFormat/>
    <w:uiPriority w:val="99"/>
    <w:rPr>
      <w:szCs w:val="24"/>
    </w:rPr>
  </w:style>
  <w:style w:type="paragraph" w:styleId="9">
    <w:name w:val="Body Text"/>
    <w:basedOn w:val="1"/>
    <w:link w:val="36"/>
    <w:uiPriority w:val="99"/>
    <w:pPr>
      <w:spacing w:line="560" w:lineRule="exact"/>
      <w:jc w:val="center"/>
    </w:pPr>
    <w:rPr>
      <w:kern w:val="0"/>
      <w:sz w:val="20"/>
    </w:rPr>
  </w:style>
  <w:style w:type="paragraph" w:styleId="10">
    <w:name w:val="Body Text Indent"/>
    <w:basedOn w:val="1"/>
    <w:link w:val="37"/>
    <w:uiPriority w:val="99"/>
    <w:pPr>
      <w:tabs>
        <w:tab w:val="left" w:pos="180"/>
      </w:tabs>
      <w:ind w:firstLine="200" w:firstLineChars="200"/>
    </w:pPr>
    <w:rPr>
      <w:rFonts w:ascii="仿宋_GB2312" w:eastAsia="仿宋_GB2312"/>
      <w:color w:val="000000"/>
      <w:kern w:val="0"/>
      <w:sz w:val="32"/>
      <w:szCs w:val="30"/>
    </w:rPr>
  </w:style>
  <w:style w:type="paragraph" w:styleId="11">
    <w:name w:val="Plain Text"/>
    <w:basedOn w:val="1"/>
    <w:link w:val="38"/>
    <w:autoRedefine/>
    <w:uiPriority w:val="99"/>
    <w:rPr>
      <w:rFonts w:ascii="宋体"/>
      <w:szCs w:val="21"/>
    </w:rPr>
  </w:style>
  <w:style w:type="paragraph" w:styleId="12">
    <w:name w:val="Date"/>
    <w:basedOn w:val="1"/>
    <w:next w:val="1"/>
    <w:link w:val="39"/>
    <w:autoRedefine/>
    <w:qFormat/>
    <w:uiPriority w:val="99"/>
    <w:rPr>
      <w:kern w:val="0"/>
      <w:sz w:val="20"/>
    </w:rPr>
  </w:style>
  <w:style w:type="paragraph" w:styleId="13">
    <w:name w:val="Body Text Indent 2"/>
    <w:basedOn w:val="1"/>
    <w:link w:val="95"/>
    <w:qFormat/>
    <w:uiPriority w:val="99"/>
    <w:pPr>
      <w:spacing w:after="120" w:line="480" w:lineRule="auto"/>
      <w:ind w:left="420"/>
    </w:pPr>
  </w:style>
  <w:style w:type="paragraph" w:styleId="14">
    <w:name w:val="Balloon Text"/>
    <w:basedOn w:val="1"/>
    <w:link w:val="40"/>
    <w:autoRedefine/>
    <w:qFormat/>
    <w:uiPriority w:val="99"/>
    <w:rPr>
      <w:sz w:val="18"/>
      <w:szCs w:val="18"/>
    </w:rPr>
  </w:style>
  <w:style w:type="paragraph" w:styleId="15">
    <w:name w:val="footer"/>
    <w:basedOn w:val="1"/>
    <w:link w:val="41"/>
    <w:autoRedefine/>
    <w:qFormat/>
    <w:uiPriority w:val="99"/>
    <w:pPr>
      <w:tabs>
        <w:tab w:val="center" w:pos="4153"/>
        <w:tab w:val="right" w:pos="8306"/>
      </w:tabs>
      <w:snapToGrid w:val="0"/>
      <w:jc w:val="left"/>
    </w:pPr>
    <w:rPr>
      <w:kern w:val="0"/>
      <w:sz w:val="18"/>
      <w:szCs w:val="18"/>
    </w:rPr>
  </w:style>
  <w:style w:type="paragraph" w:styleId="16">
    <w:name w:val="header"/>
    <w:basedOn w:val="1"/>
    <w:link w:val="42"/>
    <w:autoRedefine/>
    <w:qFormat/>
    <w:uiPriority w:val="99"/>
    <w:pPr>
      <w:pBdr>
        <w:bottom w:val="single" w:color="auto" w:sz="6" w:space="1"/>
      </w:pBdr>
      <w:tabs>
        <w:tab w:val="center" w:pos="4153"/>
        <w:tab w:val="right" w:pos="8306"/>
      </w:tabs>
      <w:snapToGrid w:val="0"/>
      <w:jc w:val="center"/>
    </w:pPr>
    <w:rPr>
      <w:kern w:val="0"/>
      <w:sz w:val="18"/>
      <w:szCs w:val="18"/>
    </w:rPr>
  </w:style>
  <w:style w:type="paragraph" w:styleId="17">
    <w:name w:val="Subtitle"/>
    <w:basedOn w:val="1"/>
    <w:next w:val="1"/>
    <w:link w:val="43"/>
    <w:autoRedefine/>
    <w:qFormat/>
    <w:uiPriority w:val="99"/>
    <w:pPr>
      <w:spacing w:before="240" w:after="60" w:line="312" w:lineRule="auto"/>
      <w:jc w:val="center"/>
      <w:outlineLvl w:val="1"/>
    </w:pPr>
    <w:rPr>
      <w:rFonts w:ascii="Cambria" w:hAnsi="Cambria"/>
      <w:b/>
      <w:bCs/>
      <w:kern w:val="28"/>
      <w:sz w:val="32"/>
      <w:szCs w:val="32"/>
    </w:rPr>
  </w:style>
  <w:style w:type="paragraph" w:styleId="18">
    <w:name w:val="toc 2"/>
    <w:basedOn w:val="1"/>
    <w:next w:val="1"/>
    <w:autoRedefine/>
    <w:qFormat/>
    <w:uiPriority w:val="99"/>
    <w:pPr>
      <w:ind w:left="200" w:leftChars="200"/>
    </w:pPr>
    <w:rPr>
      <w:rFonts w:ascii="Calibri" w:hAnsi="Calibri"/>
      <w:szCs w:val="24"/>
    </w:rPr>
  </w:style>
  <w:style w:type="paragraph" w:styleId="19">
    <w:name w:val="Normal (Web)"/>
    <w:basedOn w:val="1"/>
    <w:uiPriority w:val="99"/>
    <w:pPr>
      <w:widowControl/>
      <w:jc w:val="left"/>
    </w:pPr>
    <w:rPr>
      <w:rFonts w:ascii="宋体" w:cs="宋体"/>
      <w:kern w:val="0"/>
      <w:sz w:val="24"/>
      <w:szCs w:val="24"/>
    </w:rPr>
  </w:style>
  <w:style w:type="paragraph" w:styleId="20">
    <w:name w:val="annotation subject"/>
    <w:basedOn w:val="7"/>
    <w:next w:val="7"/>
    <w:link w:val="96"/>
    <w:autoRedefine/>
    <w:uiPriority w:val="99"/>
    <w:pPr>
      <w:autoSpaceDE/>
      <w:autoSpaceDN/>
      <w:snapToGrid/>
      <w:spacing w:line="240" w:lineRule="auto"/>
      <w:ind w:firstLine="0"/>
    </w:pPr>
    <w:rPr>
      <w:rFonts w:eastAsia="宋体"/>
      <w:b/>
      <w:bCs/>
      <w:kern w:val="2"/>
      <w:sz w:val="21"/>
      <w:szCs w:val="24"/>
    </w:rPr>
  </w:style>
  <w:style w:type="paragraph" w:styleId="21">
    <w:name w:val="Body Text First Indent"/>
    <w:basedOn w:val="9"/>
    <w:link w:val="44"/>
    <w:uiPriority w:val="99"/>
    <w:pPr>
      <w:spacing w:after="120" w:line="240" w:lineRule="auto"/>
      <w:ind w:firstLine="420"/>
      <w:jc w:val="both"/>
    </w:pPr>
    <w:rPr>
      <w:sz w:val="21"/>
      <w:szCs w:val="24"/>
    </w:rPr>
  </w:style>
  <w:style w:type="paragraph" w:styleId="22">
    <w:name w:val="Body Text First Indent 2"/>
    <w:basedOn w:val="10"/>
    <w:link w:val="45"/>
    <w:uiPriority w:val="99"/>
    <w:pPr>
      <w:tabs>
        <w:tab w:val="clear" w:pos="180"/>
      </w:tabs>
      <w:spacing w:after="120"/>
      <w:ind w:left="420" w:firstLine="420" w:firstLineChars="0"/>
    </w:pPr>
    <w:rPr>
      <w:rFonts w:ascii="Times New Roman" w:eastAsia="宋体"/>
      <w:color w:val="auto"/>
      <w:kern w:val="2"/>
      <w:sz w:val="21"/>
      <w:szCs w:val="24"/>
    </w:rPr>
  </w:style>
  <w:style w:type="table" w:styleId="24">
    <w:name w:val="Table Grid"/>
    <w:basedOn w:val="23"/>
    <w:uiPriority w:val="99"/>
    <w:pPr>
      <w:jc w:val="both"/>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26">
    <w:name w:val="Strong"/>
    <w:qFormat/>
    <w:uiPriority w:val="99"/>
    <w:rPr>
      <w:rFonts w:cs="Times New Roman"/>
      <w:b/>
    </w:rPr>
  </w:style>
  <w:style w:type="character" w:styleId="27">
    <w:name w:val="page number"/>
    <w:uiPriority w:val="99"/>
    <w:rPr>
      <w:rFonts w:cs="Times New Roman"/>
    </w:rPr>
  </w:style>
  <w:style w:type="character" w:styleId="28">
    <w:name w:val="Emphasis"/>
    <w:qFormat/>
    <w:uiPriority w:val="99"/>
    <w:rPr>
      <w:rFonts w:cs="Times New Roman"/>
      <w:i/>
      <w:iCs/>
    </w:rPr>
  </w:style>
  <w:style w:type="character" w:styleId="29">
    <w:name w:val="Hyperlink"/>
    <w:uiPriority w:val="99"/>
    <w:rPr>
      <w:rFonts w:cs="Times New Roman"/>
      <w:color w:val="0000FF"/>
      <w:u w:val="single"/>
    </w:rPr>
  </w:style>
  <w:style w:type="character" w:styleId="30">
    <w:name w:val="annotation reference"/>
    <w:autoRedefine/>
    <w:uiPriority w:val="99"/>
    <w:rPr>
      <w:rFonts w:cs="Times New Roman"/>
      <w:sz w:val="16"/>
    </w:rPr>
  </w:style>
  <w:style w:type="character" w:customStyle="1" w:styleId="31">
    <w:name w:val="标题 1 Char"/>
    <w:link w:val="2"/>
    <w:locked/>
    <w:uiPriority w:val="99"/>
    <w:rPr>
      <w:rFonts w:ascii="方正仿宋_GBK" w:eastAsia="方正仿宋_GBK" w:cs="Times New Roman"/>
      <w:b/>
      <w:snapToGrid w:val="0"/>
      <w:kern w:val="44"/>
      <w:sz w:val="44"/>
    </w:rPr>
  </w:style>
  <w:style w:type="character" w:customStyle="1" w:styleId="32">
    <w:name w:val="标题 2 Char"/>
    <w:link w:val="3"/>
    <w:locked/>
    <w:uiPriority w:val="99"/>
    <w:rPr>
      <w:rFonts w:ascii="等线 Light" w:eastAsia="等线 Light" w:cs="Mongolian Baiti"/>
      <w:b/>
      <w:bCs/>
      <w:kern w:val="2"/>
      <w:sz w:val="32"/>
      <w:szCs w:val="32"/>
    </w:rPr>
  </w:style>
  <w:style w:type="character" w:customStyle="1" w:styleId="33">
    <w:name w:val="标题 3 Char"/>
    <w:link w:val="4"/>
    <w:locked/>
    <w:uiPriority w:val="99"/>
    <w:rPr>
      <w:rFonts w:ascii="等线 Light" w:eastAsia="等线 Light" w:cs="Mongolian Baiti"/>
      <w:b/>
      <w:bCs/>
      <w:color w:val="5B9BD5"/>
      <w:sz w:val="22"/>
      <w:szCs w:val="22"/>
    </w:rPr>
  </w:style>
  <w:style w:type="character" w:customStyle="1" w:styleId="34">
    <w:name w:val="标题 4 Char"/>
    <w:link w:val="5"/>
    <w:qFormat/>
    <w:locked/>
    <w:uiPriority w:val="99"/>
    <w:rPr>
      <w:rFonts w:ascii="Cambria" w:hAnsi="Cambria" w:eastAsia="宋体" w:cs="Mongolian Baiti"/>
      <w:b/>
      <w:bCs/>
      <w:kern w:val="2"/>
      <w:sz w:val="28"/>
      <w:szCs w:val="28"/>
    </w:rPr>
  </w:style>
  <w:style w:type="character" w:customStyle="1" w:styleId="35">
    <w:name w:val="批注文字 Char"/>
    <w:link w:val="7"/>
    <w:locked/>
    <w:uiPriority w:val="99"/>
    <w:rPr>
      <w:rFonts w:eastAsia="方正仿宋_GBK" w:cs="Times New Roman"/>
      <w:sz w:val="32"/>
      <w:szCs w:val="32"/>
    </w:rPr>
  </w:style>
  <w:style w:type="character" w:customStyle="1" w:styleId="36">
    <w:name w:val="正文文本 Char"/>
    <w:link w:val="9"/>
    <w:qFormat/>
    <w:locked/>
    <w:uiPriority w:val="99"/>
    <w:rPr>
      <w:sz w:val="20"/>
    </w:rPr>
  </w:style>
  <w:style w:type="character" w:customStyle="1" w:styleId="37">
    <w:name w:val="正文文本缩进 Char"/>
    <w:link w:val="10"/>
    <w:locked/>
    <w:uiPriority w:val="99"/>
    <w:rPr>
      <w:rFonts w:ascii="仿宋_GB2312" w:eastAsia="仿宋_GB2312" w:cs="Times New Roman"/>
      <w:color w:val="000000"/>
      <w:sz w:val="30"/>
      <w:szCs w:val="30"/>
    </w:rPr>
  </w:style>
  <w:style w:type="character" w:customStyle="1" w:styleId="38">
    <w:name w:val="纯文本 Char"/>
    <w:link w:val="11"/>
    <w:autoRedefine/>
    <w:qFormat/>
    <w:locked/>
    <w:uiPriority w:val="99"/>
    <w:rPr>
      <w:rFonts w:ascii="宋体" w:cs="Times New Roman"/>
      <w:kern w:val="2"/>
      <w:sz w:val="21"/>
      <w:szCs w:val="21"/>
    </w:rPr>
  </w:style>
  <w:style w:type="character" w:customStyle="1" w:styleId="39">
    <w:name w:val="日期 Char"/>
    <w:link w:val="12"/>
    <w:autoRedefine/>
    <w:qFormat/>
    <w:locked/>
    <w:uiPriority w:val="99"/>
    <w:rPr>
      <w:sz w:val="20"/>
    </w:rPr>
  </w:style>
  <w:style w:type="character" w:customStyle="1" w:styleId="40">
    <w:name w:val="批注框文本 Char"/>
    <w:link w:val="14"/>
    <w:autoRedefine/>
    <w:qFormat/>
    <w:locked/>
    <w:uiPriority w:val="99"/>
    <w:rPr>
      <w:rFonts w:cs="Times New Roman"/>
      <w:kern w:val="2"/>
      <w:sz w:val="18"/>
      <w:szCs w:val="18"/>
    </w:rPr>
  </w:style>
  <w:style w:type="character" w:customStyle="1" w:styleId="41">
    <w:name w:val="页脚 Char"/>
    <w:link w:val="15"/>
    <w:autoRedefine/>
    <w:qFormat/>
    <w:locked/>
    <w:uiPriority w:val="99"/>
    <w:rPr>
      <w:sz w:val="18"/>
    </w:rPr>
  </w:style>
  <w:style w:type="character" w:customStyle="1" w:styleId="42">
    <w:name w:val="页眉 Char"/>
    <w:link w:val="16"/>
    <w:autoRedefine/>
    <w:qFormat/>
    <w:locked/>
    <w:uiPriority w:val="99"/>
    <w:rPr>
      <w:sz w:val="18"/>
    </w:rPr>
  </w:style>
  <w:style w:type="character" w:customStyle="1" w:styleId="43">
    <w:name w:val="副标题 Char"/>
    <w:link w:val="17"/>
    <w:autoRedefine/>
    <w:qFormat/>
    <w:locked/>
    <w:uiPriority w:val="99"/>
    <w:rPr>
      <w:rFonts w:ascii="Cambria" w:hAnsi="Cambria" w:cs="Times New Roman"/>
      <w:b/>
      <w:bCs/>
      <w:kern w:val="28"/>
      <w:sz w:val="32"/>
      <w:szCs w:val="32"/>
    </w:rPr>
  </w:style>
  <w:style w:type="character" w:customStyle="1" w:styleId="44">
    <w:name w:val="正文首行缩进 Char"/>
    <w:link w:val="21"/>
    <w:locked/>
    <w:uiPriority w:val="99"/>
    <w:rPr>
      <w:rFonts w:cs="Times New Roman"/>
      <w:kern w:val="2"/>
      <w:sz w:val="24"/>
      <w:szCs w:val="24"/>
    </w:rPr>
  </w:style>
  <w:style w:type="character" w:customStyle="1" w:styleId="45">
    <w:name w:val="正文首行缩进 2 Char"/>
    <w:link w:val="22"/>
    <w:locked/>
    <w:uiPriority w:val="99"/>
    <w:rPr>
      <w:rFonts w:ascii="仿宋_GB2312" w:eastAsia="仿宋_GB2312" w:cs="Times New Roman"/>
      <w:color w:val="000000"/>
      <w:kern w:val="2"/>
      <w:sz w:val="24"/>
      <w:szCs w:val="24"/>
    </w:rPr>
  </w:style>
  <w:style w:type="character" w:customStyle="1" w:styleId="46">
    <w:name w:val="apple-converted-space"/>
    <w:uiPriority w:val="99"/>
  </w:style>
  <w:style w:type="character" w:customStyle="1" w:styleId="47">
    <w:name w:val="font14 line-height"/>
    <w:uiPriority w:val="99"/>
  </w:style>
  <w:style w:type="character" w:customStyle="1" w:styleId="48">
    <w:name w:val="eee"/>
    <w:uiPriority w:val="99"/>
  </w:style>
  <w:style w:type="paragraph" w:customStyle="1" w:styleId="49">
    <w:name w:val="标题2"/>
    <w:basedOn w:val="1"/>
    <w:next w:val="1"/>
    <w:uiPriority w:val="99"/>
    <w:pPr>
      <w:autoSpaceDE w:val="0"/>
      <w:autoSpaceDN w:val="0"/>
      <w:snapToGrid w:val="0"/>
      <w:spacing w:line="590" w:lineRule="atLeast"/>
      <w:jc w:val="center"/>
    </w:pPr>
    <w:rPr>
      <w:rFonts w:eastAsia="方正楷体_GBK"/>
      <w:kern w:val="0"/>
      <w:sz w:val="32"/>
    </w:rPr>
  </w:style>
  <w:style w:type="paragraph" w:customStyle="1" w:styleId="50">
    <w:name w:val="列出段落1"/>
    <w:basedOn w:val="1"/>
    <w:uiPriority w:val="99"/>
    <w:pPr>
      <w:ind w:firstLine="200" w:firstLineChars="200"/>
    </w:pPr>
    <w:rPr>
      <w:rFonts w:ascii="Calibri" w:hAnsi="Calibri"/>
      <w:szCs w:val="22"/>
    </w:rPr>
  </w:style>
  <w:style w:type="paragraph" w:customStyle="1" w:styleId="51">
    <w:name w:val="抄送栏"/>
    <w:basedOn w:val="1"/>
    <w:uiPriority w:val="99"/>
    <w:pPr>
      <w:autoSpaceDE w:val="0"/>
      <w:autoSpaceDN w:val="0"/>
      <w:adjustRightInd w:val="0"/>
      <w:spacing w:line="454" w:lineRule="exact"/>
      <w:ind w:left="1308" w:right="357" w:hanging="953"/>
    </w:pPr>
    <w:rPr>
      <w:rFonts w:eastAsia="方正仿宋_GBK"/>
      <w:kern w:val="0"/>
      <w:sz w:val="32"/>
    </w:rPr>
  </w:style>
  <w:style w:type="paragraph" w:customStyle="1" w:styleId="52">
    <w:name w:val="线型"/>
    <w:basedOn w:val="51"/>
    <w:uiPriority w:val="99"/>
    <w:pPr>
      <w:spacing w:line="240" w:lineRule="auto"/>
      <w:ind w:left="0" w:firstLine="0"/>
      <w:jc w:val="center"/>
    </w:pPr>
    <w:rPr>
      <w:sz w:val="21"/>
    </w:rPr>
  </w:style>
  <w:style w:type="paragraph" w:customStyle="1" w:styleId="53">
    <w:name w:val="Defaul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54">
    <w:name w:val="List Paragraph"/>
    <w:basedOn w:val="1"/>
    <w:qFormat/>
    <w:uiPriority w:val="99"/>
    <w:pPr>
      <w:ind w:firstLine="200" w:firstLineChars="200"/>
    </w:pPr>
  </w:style>
  <w:style w:type="paragraph" w:customStyle="1" w:styleId="55">
    <w:name w:val="List Paragraph1"/>
    <w:basedOn w:val="1"/>
    <w:uiPriority w:val="99"/>
    <w:pPr>
      <w:ind w:firstLine="200" w:firstLineChars="200"/>
    </w:pPr>
    <w:rPr>
      <w:rFonts w:ascii="宋体"/>
      <w:sz w:val="32"/>
      <w:szCs w:val="24"/>
    </w:rPr>
  </w:style>
  <w:style w:type="paragraph" w:customStyle="1" w:styleId="56">
    <w:name w:val="标题1"/>
    <w:basedOn w:val="1"/>
    <w:next w:val="1"/>
    <w:uiPriority w:val="99"/>
    <w:pPr>
      <w:tabs>
        <w:tab w:val="left" w:pos="9193"/>
        <w:tab w:val="left" w:pos="9827"/>
      </w:tabs>
      <w:autoSpaceDE w:val="0"/>
      <w:autoSpaceDN w:val="0"/>
      <w:snapToGrid w:val="0"/>
      <w:spacing w:line="700" w:lineRule="atLeast"/>
      <w:jc w:val="center"/>
    </w:pPr>
    <w:rPr>
      <w:rFonts w:eastAsia="方正小标宋_GBK"/>
      <w:kern w:val="0"/>
      <w:sz w:val="44"/>
    </w:rPr>
  </w:style>
  <w:style w:type="paragraph" w:customStyle="1" w:styleId="57">
    <w:name w:val="标题3"/>
    <w:basedOn w:val="1"/>
    <w:next w:val="1"/>
    <w:uiPriority w:val="99"/>
    <w:pPr>
      <w:autoSpaceDE w:val="0"/>
      <w:autoSpaceDN w:val="0"/>
      <w:snapToGrid w:val="0"/>
      <w:spacing w:line="590" w:lineRule="atLeast"/>
      <w:ind w:firstLine="624"/>
    </w:pPr>
    <w:rPr>
      <w:rFonts w:eastAsia="方正黑体_GBK"/>
      <w:kern w:val="0"/>
      <w:sz w:val="32"/>
    </w:rPr>
  </w:style>
  <w:style w:type="paragraph" w:customStyle="1" w:styleId="58">
    <w:name w:val="文头"/>
    <w:basedOn w:val="59"/>
    <w:uiPriority w:val="99"/>
  </w:style>
  <w:style w:type="paragraph" w:customStyle="1" w:styleId="59">
    <w:name w:val="红线"/>
    <w:basedOn w:val="2"/>
    <w:uiPriority w:val="99"/>
    <w:pPr>
      <w:keepNext w:val="0"/>
      <w:keepLines w:val="0"/>
      <w:adjustRightInd w:val="0"/>
      <w:snapToGrid/>
      <w:spacing w:before="0" w:after="851" w:line="227" w:lineRule="atLeast"/>
      <w:ind w:right="-142" w:firstLine="0"/>
      <w:jc w:val="center"/>
      <w:outlineLvl w:val="9"/>
    </w:pPr>
    <w:rPr>
      <w:rFonts w:ascii="宋体" w:eastAsia="宋体"/>
      <w:kern w:val="0"/>
      <w:sz w:val="10"/>
    </w:rPr>
  </w:style>
  <w:style w:type="paragraph" w:customStyle="1" w:styleId="60">
    <w:name w:val="列出段落3"/>
    <w:basedOn w:val="1"/>
    <w:uiPriority w:val="99"/>
    <w:pPr>
      <w:ind w:firstLine="200" w:firstLineChars="200"/>
    </w:pPr>
    <w:rPr>
      <w:rFonts w:ascii="Calibri" w:hAnsi="Calibri"/>
    </w:rPr>
  </w:style>
  <w:style w:type="paragraph" w:customStyle="1" w:styleId="61">
    <w:name w:val="附件栏"/>
    <w:basedOn w:val="1"/>
    <w:uiPriority w:val="99"/>
    <w:pPr>
      <w:autoSpaceDE w:val="0"/>
      <w:autoSpaceDN w:val="0"/>
      <w:snapToGrid w:val="0"/>
      <w:spacing w:line="590" w:lineRule="atLeast"/>
      <w:ind w:firstLine="624"/>
    </w:pPr>
    <w:rPr>
      <w:rFonts w:eastAsia="方正仿宋_GBK"/>
      <w:kern w:val="0"/>
      <w:sz w:val="32"/>
    </w:rPr>
  </w:style>
  <w:style w:type="paragraph" w:customStyle="1" w:styleId="62">
    <w:name w:val="主题词"/>
    <w:basedOn w:val="1"/>
    <w:uiPriority w:val="99"/>
    <w:pPr>
      <w:autoSpaceDE w:val="0"/>
      <w:autoSpaceDN w:val="0"/>
      <w:adjustRightInd w:val="0"/>
      <w:spacing w:line="240" w:lineRule="atLeast"/>
      <w:jc w:val="left"/>
    </w:pPr>
    <w:rPr>
      <w:rFonts w:ascii="方正黑体_GBK" w:eastAsia="方正黑体_GBK"/>
      <w:kern w:val="0"/>
      <w:sz w:val="32"/>
    </w:rPr>
  </w:style>
  <w:style w:type="paragraph" w:customStyle="1" w:styleId="63">
    <w:name w:val="密级"/>
    <w:basedOn w:val="1"/>
    <w:uiPriority w:val="99"/>
    <w:pPr>
      <w:autoSpaceDE w:val="0"/>
      <w:autoSpaceDN w:val="0"/>
      <w:adjustRightInd w:val="0"/>
      <w:snapToGrid w:val="0"/>
      <w:spacing w:line="425" w:lineRule="atLeast"/>
      <w:jc w:val="right"/>
    </w:pPr>
    <w:rPr>
      <w:rFonts w:ascii="黑体" w:eastAsia="黑体"/>
      <w:kern w:val="0"/>
      <w:sz w:val="30"/>
    </w:rPr>
  </w:style>
  <w:style w:type="paragraph" w:customStyle="1" w:styleId="64">
    <w:name w:val="紧急程度"/>
    <w:basedOn w:val="63"/>
    <w:uiPriority w:val="99"/>
    <w:pPr>
      <w:overflowPunct w:val="0"/>
      <w:spacing w:line="500" w:lineRule="atLeast"/>
    </w:pPr>
    <w:rPr>
      <w:rFonts w:ascii="汉鼎简黑体" w:eastAsia="汉鼎简黑体"/>
      <w:sz w:val="32"/>
    </w:rPr>
  </w:style>
  <w:style w:type="paragraph" w:customStyle="1" w:styleId="65">
    <w:name w:val="印发栏"/>
    <w:basedOn w:val="6"/>
    <w:uiPriority w:val="99"/>
    <w:pPr>
      <w:tabs>
        <w:tab w:val="right" w:pos="8465"/>
      </w:tabs>
      <w:spacing w:line="454" w:lineRule="exact"/>
      <w:ind w:left="357" w:right="357"/>
    </w:pPr>
    <w:rPr>
      <w:spacing w:val="0"/>
    </w:rPr>
  </w:style>
  <w:style w:type="paragraph" w:customStyle="1" w:styleId="66">
    <w:name w:val="印数"/>
    <w:basedOn w:val="65"/>
    <w:uiPriority w:val="99"/>
    <w:pPr>
      <w:spacing w:line="400" w:lineRule="exact"/>
      <w:ind w:left="0" w:right="0"/>
      <w:jc w:val="right"/>
    </w:pPr>
  </w:style>
  <w:style w:type="paragraph" w:customStyle="1" w:styleId="67">
    <w:name w:val="Table Paragraph"/>
    <w:basedOn w:val="1"/>
    <w:uiPriority w:val="99"/>
    <w:rPr>
      <w:rFonts w:ascii="Calibri" w:hAnsi="Calibri"/>
      <w:szCs w:val="22"/>
    </w:rPr>
  </w:style>
  <w:style w:type="paragraph" w:customStyle="1" w:styleId="68">
    <w:name w:val="p0"/>
    <w:basedOn w:val="1"/>
    <w:uiPriority w:val="99"/>
    <w:pPr>
      <w:widowControl/>
    </w:pPr>
    <w:rPr>
      <w:kern w:val="0"/>
      <w:szCs w:val="21"/>
    </w:rPr>
  </w:style>
  <w:style w:type="paragraph" w:customStyle="1" w:styleId="69">
    <w:name w:val="仿宋小4"/>
    <w:basedOn w:val="1"/>
    <w:uiPriority w:val="99"/>
    <w:pPr>
      <w:spacing w:line="360" w:lineRule="auto"/>
      <w:jc w:val="left"/>
    </w:pPr>
    <w:rPr>
      <w:rFonts w:eastAsia="仿宋_GB2312"/>
      <w:color w:val="000000"/>
      <w:sz w:val="24"/>
      <w:szCs w:val="32"/>
    </w:rPr>
  </w:style>
  <w:style w:type="paragraph" w:customStyle="1" w:styleId="70">
    <w:name w:val="Other|1"/>
    <w:basedOn w:val="1"/>
    <w:uiPriority w:val="99"/>
    <w:pPr>
      <w:spacing w:line="394" w:lineRule="auto"/>
      <w:ind w:firstLine="400"/>
      <w:jc w:val="left"/>
    </w:pPr>
    <w:rPr>
      <w:rFonts w:ascii="宋体" w:cs="宋体"/>
      <w:kern w:val="0"/>
      <w:sz w:val="30"/>
      <w:szCs w:val="30"/>
      <w:lang w:val="zh-TW" w:eastAsia="zh-TW"/>
    </w:rPr>
  </w:style>
  <w:style w:type="character" w:customStyle="1" w:styleId="71">
    <w:name w:val="页脚 Char1"/>
    <w:uiPriority w:val="99"/>
    <w:rPr>
      <w:rFonts w:eastAsia="宋体"/>
      <w:kern w:val="2"/>
      <w:sz w:val="18"/>
      <w:lang w:val="en-US" w:eastAsia="zh-CN"/>
    </w:rPr>
  </w:style>
  <w:style w:type="paragraph" w:customStyle="1" w:styleId="72">
    <w:name w:val="列出段落2"/>
    <w:basedOn w:val="1"/>
    <w:uiPriority w:val="99"/>
    <w:pPr>
      <w:widowControl/>
      <w:spacing w:after="200" w:line="276" w:lineRule="auto"/>
      <w:ind w:left="720"/>
      <w:contextualSpacing/>
      <w:jc w:val="left"/>
    </w:pPr>
    <w:rPr>
      <w:rFonts w:ascii="等线" w:eastAsia="等线" w:cs="Mongolian Baiti"/>
      <w:kern w:val="0"/>
      <w:sz w:val="22"/>
      <w:szCs w:val="22"/>
    </w:rPr>
  </w:style>
  <w:style w:type="character" w:customStyle="1" w:styleId="73">
    <w:name w:val="bjh-strong"/>
    <w:uiPriority w:val="99"/>
  </w:style>
  <w:style w:type="paragraph" w:customStyle="1" w:styleId="74">
    <w:name w:val="正文首行缩进1"/>
    <w:uiPriority w:val="99"/>
    <w:pPr>
      <w:spacing w:after="120"/>
      <w:ind w:firstLine="100" w:firstLineChars="100"/>
    </w:pPr>
    <w:rPr>
      <w:rFonts w:ascii="Calibri" w:hAnsi="Calibri" w:eastAsia="宋体" w:cs="Times New Roman"/>
      <w:lang w:val="en-US" w:eastAsia="zh-CN" w:bidi="ar-SA"/>
    </w:rPr>
  </w:style>
  <w:style w:type="paragraph" w:customStyle="1" w:styleId="75">
    <w:name w:val="_Style 56"/>
    <w:basedOn w:val="9"/>
    <w:next w:val="21"/>
    <w:uiPriority w:val="99"/>
    <w:pPr>
      <w:spacing w:after="120" w:line="240" w:lineRule="auto"/>
      <w:ind w:firstLine="100" w:firstLineChars="100"/>
      <w:jc w:val="both"/>
    </w:pPr>
    <w:rPr>
      <w:sz w:val="21"/>
      <w:szCs w:val="24"/>
    </w:rPr>
  </w:style>
  <w:style w:type="character" w:customStyle="1" w:styleId="76">
    <w:name w:val="bjh-p"/>
    <w:uiPriority w:val="99"/>
    <w:rPr>
      <w:rFonts w:cs="Times New Roman"/>
    </w:rPr>
  </w:style>
  <w:style w:type="paragraph" w:customStyle="1" w:styleId="77">
    <w:name w:val="font5"/>
    <w:basedOn w:val="1"/>
    <w:uiPriority w:val="99"/>
    <w:pPr>
      <w:widowControl/>
      <w:spacing w:before="100" w:beforeAutospacing="1" w:after="100" w:afterAutospacing="1"/>
      <w:jc w:val="left"/>
    </w:pPr>
    <w:rPr>
      <w:rFonts w:ascii="宋体" w:cs="宋体"/>
      <w:kern w:val="0"/>
      <w:sz w:val="18"/>
      <w:szCs w:val="18"/>
    </w:rPr>
  </w:style>
  <w:style w:type="paragraph" w:customStyle="1" w:styleId="78">
    <w:name w:val="font6"/>
    <w:basedOn w:val="1"/>
    <w:uiPriority w:val="99"/>
    <w:pPr>
      <w:widowControl/>
      <w:spacing w:before="100" w:beforeAutospacing="1" w:after="100" w:afterAutospacing="1"/>
      <w:jc w:val="left"/>
    </w:pPr>
    <w:rPr>
      <w:rFonts w:ascii="宋体" w:cs="宋体"/>
      <w:kern w:val="0"/>
      <w:sz w:val="18"/>
      <w:szCs w:val="18"/>
    </w:rPr>
  </w:style>
  <w:style w:type="paragraph" w:customStyle="1" w:styleId="79">
    <w:name w:val="xl63"/>
    <w:basedOn w:val="1"/>
    <w:uiPriority w:val="99"/>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bottom"/>
    </w:pPr>
    <w:rPr>
      <w:rFonts w:ascii="宋体" w:cs="宋体"/>
      <w:b/>
      <w:bCs/>
      <w:kern w:val="0"/>
      <w:sz w:val="20"/>
    </w:rPr>
  </w:style>
  <w:style w:type="paragraph" w:customStyle="1" w:styleId="80">
    <w:name w:val="xl64"/>
    <w:basedOn w:val="1"/>
    <w:uiPriority w:val="99"/>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bottom"/>
    </w:pPr>
    <w:rPr>
      <w:rFonts w:ascii="Arial" w:hAnsi="Arial" w:cs="Arial"/>
      <w:b/>
      <w:bCs/>
      <w:kern w:val="0"/>
      <w:sz w:val="20"/>
    </w:rPr>
  </w:style>
  <w:style w:type="paragraph" w:customStyle="1" w:styleId="81">
    <w:name w:val="xl65"/>
    <w:basedOn w:val="1"/>
    <w:uiPriority w:val="99"/>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bottom"/>
    </w:pPr>
    <w:rPr>
      <w:rFonts w:ascii="宋体" w:cs="宋体"/>
      <w:kern w:val="0"/>
      <w:sz w:val="24"/>
      <w:szCs w:val="24"/>
    </w:rPr>
  </w:style>
  <w:style w:type="paragraph" w:customStyle="1" w:styleId="82">
    <w:name w:val="xl66"/>
    <w:basedOn w:val="1"/>
    <w:uiPriority w:val="99"/>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bottom"/>
    </w:pPr>
    <w:rPr>
      <w:rFonts w:ascii="Arial" w:hAnsi="Arial" w:cs="Arial"/>
      <w:kern w:val="0"/>
      <w:sz w:val="20"/>
    </w:rPr>
  </w:style>
  <w:style w:type="paragraph" w:customStyle="1" w:styleId="83">
    <w:name w:val="xl67"/>
    <w:basedOn w:val="1"/>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cs="宋体"/>
      <w:kern w:val="0"/>
      <w:sz w:val="24"/>
      <w:szCs w:val="24"/>
    </w:rPr>
  </w:style>
  <w:style w:type="paragraph" w:customStyle="1" w:styleId="84">
    <w:name w:val="xl68"/>
    <w:basedOn w:val="1"/>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cs="宋体"/>
      <w:kern w:val="0"/>
      <w:sz w:val="24"/>
      <w:szCs w:val="24"/>
    </w:rPr>
  </w:style>
  <w:style w:type="paragraph" w:customStyle="1" w:styleId="85">
    <w:name w:val="xl69"/>
    <w:basedOn w:val="1"/>
    <w:uiPriority w:val="99"/>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cs="宋体"/>
      <w:b/>
      <w:bCs/>
      <w:kern w:val="0"/>
      <w:sz w:val="24"/>
      <w:szCs w:val="24"/>
    </w:rPr>
  </w:style>
  <w:style w:type="paragraph" w:customStyle="1" w:styleId="86">
    <w:name w:val="xl70"/>
    <w:basedOn w:val="1"/>
    <w:uiPriority w:val="99"/>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cs="宋体"/>
      <w:b/>
      <w:bCs/>
      <w:kern w:val="0"/>
      <w:sz w:val="24"/>
      <w:szCs w:val="24"/>
    </w:rPr>
  </w:style>
  <w:style w:type="paragraph" w:customStyle="1" w:styleId="87">
    <w:name w:val="xl71"/>
    <w:basedOn w:val="1"/>
    <w:uiPriority w:val="99"/>
    <w:pPr>
      <w:widowControl/>
      <w:pBdr>
        <w:top w:val="single" w:color="auto" w:sz="4" w:space="0"/>
        <w:left w:val="single" w:color="auto" w:sz="4" w:space="0"/>
        <w:right w:val="single" w:color="auto" w:sz="4" w:space="0"/>
      </w:pBdr>
      <w:spacing w:before="100" w:beforeAutospacing="1" w:after="100" w:afterAutospacing="1"/>
      <w:jc w:val="center"/>
    </w:pPr>
    <w:rPr>
      <w:rFonts w:ascii="宋体" w:cs="宋体"/>
      <w:b/>
      <w:bCs/>
      <w:kern w:val="0"/>
      <w:sz w:val="24"/>
      <w:szCs w:val="24"/>
    </w:rPr>
  </w:style>
  <w:style w:type="character" w:customStyle="1" w:styleId="88">
    <w:name w:val="不明显参考1"/>
    <w:uiPriority w:val="99"/>
    <w:rPr>
      <w:rFonts w:cs="Times New Roman"/>
      <w:smallCaps/>
      <w:color w:val="C0504D"/>
      <w:u w:val="single"/>
    </w:rPr>
  </w:style>
  <w:style w:type="character" w:customStyle="1" w:styleId="89">
    <w:name w:val="font01"/>
    <w:uiPriority w:val="99"/>
    <w:rPr>
      <w:rFonts w:ascii="Times New Roman" w:hAnsi="Times New Roman" w:cs="Times New Roman"/>
      <w:b/>
      <w:bCs/>
      <w:color w:val="000000"/>
      <w:sz w:val="32"/>
      <w:szCs w:val="32"/>
      <w:u w:val="none"/>
    </w:rPr>
  </w:style>
  <w:style w:type="character" w:customStyle="1" w:styleId="90">
    <w:name w:val="font61"/>
    <w:uiPriority w:val="99"/>
    <w:rPr>
      <w:rFonts w:ascii="仿宋_GB2312" w:eastAsia="仿宋_GB2312" w:cs="仿宋_GB2312"/>
      <w:b/>
      <w:bCs/>
      <w:color w:val="000000"/>
      <w:sz w:val="32"/>
      <w:szCs w:val="32"/>
      <w:u w:val="none"/>
    </w:rPr>
  </w:style>
  <w:style w:type="character" w:customStyle="1" w:styleId="91">
    <w:name w:val="font41"/>
    <w:uiPriority w:val="99"/>
    <w:rPr>
      <w:rFonts w:ascii="宋体" w:hAnsi="宋体" w:eastAsia="宋体" w:cs="宋体"/>
      <w:b/>
      <w:bCs/>
      <w:color w:val="000000"/>
      <w:sz w:val="22"/>
      <w:szCs w:val="22"/>
      <w:u w:val="none"/>
    </w:rPr>
  </w:style>
  <w:style w:type="table" w:customStyle="1" w:styleId="92">
    <w:name w:val="Table Normal1"/>
    <w:semiHidden/>
    <w:uiPriority w:val="99"/>
    <w:tblPr>
      <w:tblCellMar>
        <w:top w:w="0" w:type="dxa"/>
        <w:left w:w="0" w:type="dxa"/>
        <w:bottom w:w="0" w:type="dxa"/>
        <w:right w:w="0" w:type="dxa"/>
      </w:tblCellMar>
    </w:tblPr>
  </w:style>
  <w:style w:type="character" w:customStyle="1" w:styleId="93">
    <w:name w:val="font21"/>
    <w:uiPriority w:val="99"/>
    <w:rPr>
      <w:rFonts w:ascii="仿宋_GB2312" w:eastAsia="仿宋_GB2312" w:cs="仿宋_GB2312"/>
      <w:color w:val="000000"/>
      <w:sz w:val="21"/>
      <w:szCs w:val="21"/>
      <w:u w:val="none"/>
    </w:rPr>
  </w:style>
  <w:style w:type="character" w:customStyle="1" w:styleId="94">
    <w:name w:val="称呼 Char"/>
    <w:link w:val="8"/>
    <w:locked/>
    <w:uiPriority w:val="99"/>
    <w:rPr>
      <w:rFonts w:cs="Times New Roman"/>
      <w:kern w:val="2"/>
      <w:sz w:val="24"/>
      <w:szCs w:val="24"/>
    </w:rPr>
  </w:style>
  <w:style w:type="character" w:customStyle="1" w:styleId="95">
    <w:name w:val="正文文本缩进 2 Char"/>
    <w:link w:val="13"/>
    <w:locked/>
    <w:uiPriority w:val="99"/>
    <w:rPr>
      <w:rFonts w:cs="Times New Roman"/>
      <w:kern w:val="2"/>
      <w:sz w:val="21"/>
    </w:rPr>
  </w:style>
  <w:style w:type="character" w:customStyle="1" w:styleId="96">
    <w:name w:val="批注主题 Char"/>
    <w:link w:val="20"/>
    <w:locked/>
    <w:uiPriority w:val="99"/>
    <w:rPr>
      <w:rFonts w:eastAsia="方正仿宋_GBK" w:cs="Times New Roman"/>
      <w:b/>
      <w:bCs/>
      <w:kern w:val="2"/>
      <w:sz w:val="24"/>
      <w:szCs w:val="24"/>
    </w:rPr>
  </w:style>
  <w:style w:type="paragraph" w:customStyle="1" w:styleId="97">
    <w:name w:val="印发份数"/>
    <w:basedOn w:val="1"/>
    <w:uiPriority w:val="99"/>
    <w:pPr>
      <w:jc w:val="right"/>
    </w:pPr>
    <w:rPr>
      <w:rFonts w:eastAsia="仿宋_GB2312"/>
      <w:sz w:val="32"/>
    </w:rPr>
  </w:style>
  <w:style w:type="paragraph" w:customStyle="1" w:styleId="98">
    <w:name w:val="Char Char Char Char Char Char Char Char Char Char Char Char Char"/>
    <w:basedOn w:val="1"/>
    <w:autoRedefine/>
    <w:qFormat/>
    <w:uiPriority w:val="99"/>
    <w:pPr>
      <w:widowControl/>
      <w:spacing w:after="160" w:line="240" w:lineRule="exact"/>
      <w:jc w:val="left"/>
    </w:pPr>
  </w:style>
  <w:style w:type="paragraph" w:customStyle="1" w:styleId="99">
    <w:name w:val="公文标题"/>
    <w:basedOn w:val="1"/>
    <w:uiPriority w:val="99"/>
    <w:pPr>
      <w:jc w:val="center"/>
    </w:pPr>
    <w:rPr>
      <w:rFonts w:eastAsia="仿宋_GB2312"/>
      <w:sz w:val="44"/>
    </w:rPr>
  </w:style>
  <w:style w:type="paragraph" w:customStyle="1" w:styleId="100">
    <w:name w:val="分隔线"/>
    <w:basedOn w:val="1"/>
    <w:uiPriority w:val="99"/>
    <w:pPr>
      <w:pBdr>
        <w:bottom w:val="single" w:color="FF0000" w:sz="12" w:space="1"/>
      </w:pBdr>
      <w:spacing w:line="120" w:lineRule="exact"/>
    </w:pPr>
    <w:rPr>
      <w:rFonts w:eastAsia="仿宋_GB2312"/>
      <w:sz w:val="32"/>
    </w:rPr>
  </w:style>
  <w:style w:type="paragraph" w:customStyle="1" w:styleId="101">
    <w:name w:val="黑体小二居中"/>
    <w:basedOn w:val="1"/>
    <w:next w:val="8"/>
    <w:uiPriority w:val="99"/>
    <w:pPr>
      <w:snapToGrid w:val="0"/>
      <w:spacing w:line="600" w:lineRule="auto"/>
      <w:jc w:val="center"/>
    </w:pPr>
    <w:rPr>
      <w:rFonts w:ascii="方正黑体简体" w:eastAsia="方正黑体简体"/>
      <w:bCs/>
      <w:sz w:val="36"/>
    </w:rPr>
  </w:style>
  <w:style w:type="paragraph" w:customStyle="1" w:styleId="102">
    <w:name w:val="发文机关标识"/>
    <w:basedOn w:val="1"/>
    <w:uiPriority w:val="99"/>
    <w:pPr>
      <w:jc w:val="center"/>
    </w:pPr>
    <w:rPr>
      <w:rFonts w:eastAsia="仿宋_GB2312"/>
      <w:b/>
      <w:color w:val="FF0000"/>
      <w:sz w:val="72"/>
    </w:rPr>
  </w:style>
  <w:style w:type="paragraph" w:customStyle="1" w:styleId="103">
    <w:name w:val="标题11"/>
    <w:basedOn w:val="1"/>
    <w:next w:val="1"/>
    <w:uiPriority w:val="99"/>
    <w:pPr>
      <w:tabs>
        <w:tab w:val="left" w:pos="9193"/>
        <w:tab w:val="left" w:pos="9827"/>
      </w:tabs>
      <w:overflowPunct w:val="0"/>
      <w:autoSpaceDE w:val="0"/>
      <w:autoSpaceDN w:val="0"/>
      <w:snapToGrid w:val="0"/>
      <w:spacing w:line="760" w:lineRule="atLeast"/>
      <w:jc w:val="center"/>
    </w:pPr>
    <w:rPr>
      <w:rFonts w:ascii="方正小标宋_GBK" w:hAnsi="Times" w:eastAsia="方正小标宋_GBK"/>
      <w:sz w:val="44"/>
    </w:rPr>
  </w:style>
  <w:style w:type="paragraph" w:customStyle="1" w:styleId="104">
    <w:name w:val="成文日期"/>
    <w:basedOn w:val="1"/>
    <w:uiPriority w:val="99"/>
    <w:pPr>
      <w:spacing w:line="360" w:lineRule="auto"/>
      <w:jc w:val="right"/>
    </w:pPr>
    <w:rPr>
      <w:szCs w:val="21"/>
    </w:rPr>
  </w:style>
  <w:style w:type="paragraph" w:customStyle="1" w:styleId="105">
    <w:name w:val="a"/>
    <w:basedOn w:val="1"/>
    <w:autoRedefine/>
    <w:qFormat/>
    <w:uiPriority w:val="99"/>
    <w:pPr>
      <w:widowControl/>
      <w:spacing w:before="100" w:beforeAutospacing="1" w:after="100" w:afterAutospacing="1"/>
      <w:jc w:val="left"/>
    </w:pPr>
    <w:rPr>
      <w:rFonts w:ascii="宋体" w:hAnsi="宋体" w:cs="宋体"/>
      <w:kern w:val="0"/>
      <w:sz w:val="24"/>
      <w:szCs w:val="24"/>
    </w:rPr>
  </w:style>
  <w:style w:type="paragraph" w:customStyle="1" w:styleId="106">
    <w:name w:val="主送机关"/>
    <w:basedOn w:val="1"/>
    <w:autoRedefine/>
    <w:qFormat/>
    <w:uiPriority w:val="99"/>
    <w:rPr>
      <w:rFonts w:eastAsia="仿宋_GB2312"/>
      <w:sz w:val="32"/>
    </w:rPr>
  </w:style>
  <w:style w:type="paragraph" w:customStyle="1" w:styleId="107">
    <w:name w:val="Char Char Char Char Char Char Char Char Char Char Char Char Char1"/>
    <w:basedOn w:val="1"/>
    <w:uiPriority w:val="99"/>
    <w:pPr>
      <w:widowControl/>
      <w:spacing w:after="160" w:line="240" w:lineRule="exact"/>
      <w:jc w:val="left"/>
    </w:pPr>
  </w:style>
  <w:style w:type="paragraph" w:customStyle="1" w:styleId="108">
    <w:name w:val="Char Char Char Char"/>
    <w:basedOn w:val="1"/>
    <w:semiHidden/>
    <w:uiPriority w:val="99"/>
    <w:rPr>
      <w:szCs w:val="24"/>
    </w:rPr>
  </w:style>
  <w:style w:type="paragraph" w:customStyle="1" w:styleId="109">
    <w:name w:val="印发日期"/>
    <w:basedOn w:val="1"/>
    <w:uiPriority w:val="99"/>
    <w:rPr>
      <w:szCs w:val="21"/>
    </w:rPr>
  </w:style>
  <w:style w:type="paragraph" w:customStyle="1" w:styleId="110">
    <w:name w:val="样式2"/>
    <w:basedOn w:val="19"/>
    <w:autoRedefine/>
    <w:uiPriority w:val="99"/>
    <w:pPr>
      <w:spacing w:beforeAutospacing="1" w:afterAutospacing="1" w:line="400" w:lineRule="exact"/>
      <w:ind w:firstLine="420" w:firstLineChars="200"/>
    </w:pPr>
    <w:rPr>
      <w:rFonts w:hAnsi="宋体"/>
      <w:sz w:val="21"/>
      <w:szCs w:val="21"/>
    </w:rPr>
  </w:style>
  <w:style w:type="character" w:customStyle="1" w:styleId="111">
    <w:name w:val="text"/>
    <w:uiPriority w:val="99"/>
  </w:style>
  <w:style w:type="character" w:customStyle="1" w:styleId="112">
    <w:name w:val="印发日期 Char"/>
    <w:uiPriority w:val="99"/>
    <w:rPr>
      <w:rFonts w:eastAsia="仿宋_GB2312"/>
      <w:kern w:val="2"/>
      <w:sz w:val="32"/>
      <w:lang w:val="en-US" w:eastAsia="zh-CN"/>
    </w:rPr>
  </w:style>
  <w:style w:type="paragraph" w:customStyle="1" w:styleId="113">
    <w:name w:val="md-size"/>
    <w:basedOn w:val="1"/>
    <w:uiPriority w:val="99"/>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97837A-B4C7-43CA-A78E-61593F63DFF2}">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13</Pages>
  <Words>1231</Words>
  <Characters>7021</Characters>
  <Lines>58</Lines>
  <Paragraphs>16</Paragraphs>
  <TotalTime>14</TotalTime>
  <ScaleCrop>false</ScaleCrop>
  <LinksUpToDate>false</LinksUpToDate>
  <CharactersWithSpaces>8236</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2024-01-02T07:58:00Z</dcterms:created>
  <dc:creator>微软用户</dc:creator>
  <cp:lastModifiedBy>人间四月天</cp:lastModifiedBy>
  <cp:lastPrinted>2024-01-02T08:12:00Z</cp:lastPrinted>
  <dcterms:modified xsi:type="dcterms:W3CDTF">2024-01-05T03:52:35Z</dcterms:modified>
  <dc:title>常科字[1998]第 号</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9E5E285057234FD2A6F4116DAED71FF6_13</vt:lpwstr>
  </property>
  <property fmtid="{D5CDD505-2E9C-101B-9397-08002B2CF9AE}" pid="3" name="KSOProductBuildVer">
    <vt:lpwstr>2052-12.1.0.16120</vt:lpwstr>
  </property>
</Properties>
</file>