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570" w:lineRule="exact"/>
        <w:jc w:val="left"/>
        <w:rPr>
          <w:rFonts w:hint="eastAsia" w:ascii="方正黑体_GBK" w:hAnsi="黑体" w:eastAsia="方正黑体_GBK"/>
          <w:color w:val="000000"/>
          <w:sz w:val="32"/>
          <w:szCs w:val="32"/>
        </w:rPr>
      </w:pPr>
      <w:r>
        <w:rPr>
          <w:rFonts w:hint="eastAsia" w:ascii="方正黑体_GBK" w:hAnsi="黑体" w:eastAsia="方正黑体_GBK"/>
          <w:color w:val="000000"/>
          <w:sz w:val="32"/>
          <w:szCs w:val="32"/>
        </w:rPr>
        <w:t>附件</w:t>
      </w:r>
    </w:p>
    <w:p>
      <w:pPr>
        <w:overflowPunct w:val="0"/>
        <w:adjustRightInd w:val="0"/>
        <w:snapToGrid w:val="0"/>
        <w:spacing w:before="240" w:after="240" w:line="570" w:lineRule="exact"/>
        <w:jc w:val="center"/>
        <w:rPr>
          <w:rFonts w:hint="eastAsia" w:ascii="方正小标宋_GBK" w:eastAsia="方正小标宋_GBK"/>
          <w:color w:val="000000"/>
          <w:sz w:val="44"/>
          <w:szCs w:val="44"/>
        </w:rPr>
      </w:pPr>
      <w:r>
        <w:rPr>
          <w:rFonts w:hint="eastAsia" w:ascii="方正小标宋_GBK" w:eastAsia="方正小标宋_GBK"/>
          <w:color w:val="000000"/>
          <w:sz w:val="44"/>
          <w:szCs w:val="44"/>
        </w:rPr>
        <w:t>2024年《政府工作报告》重点任务分解落实方案</w:t>
      </w:r>
    </w:p>
    <w:tbl>
      <w:tblPr>
        <w:tblStyle w:val="4"/>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8"/>
        <w:gridCol w:w="1258"/>
        <w:gridCol w:w="6941"/>
        <w:gridCol w:w="1153"/>
        <w:gridCol w:w="1886"/>
        <w:gridCol w:w="13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tblHeader/>
          <w:jc w:val="center"/>
        </w:trPr>
        <w:tc>
          <w:tcPr>
            <w:tcW w:w="906" w:type="dxa"/>
            <w:noWrap w:val="0"/>
            <w:vAlign w:val="center"/>
          </w:tcPr>
          <w:p>
            <w:pPr>
              <w:overflowPunct w:val="0"/>
              <w:autoSpaceDE w:val="0"/>
              <w:autoSpaceDN w:val="0"/>
              <w:adjustRightInd w:val="0"/>
              <w:snapToGrid w:val="0"/>
              <w:spacing w:line="280" w:lineRule="exact"/>
              <w:jc w:val="center"/>
              <w:rPr>
                <w:rFonts w:ascii="黑体" w:hAnsi="黑体" w:eastAsia="黑体"/>
                <w:color w:val="000000"/>
                <w:szCs w:val="21"/>
              </w:rPr>
            </w:pPr>
            <w:r>
              <w:rPr>
                <w:rFonts w:ascii="黑体" w:hAnsi="黑体" w:eastAsia="黑体"/>
                <w:color w:val="000000"/>
                <w:szCs w:val="21"/>
              </w:rPr>
              <w:t>序</w:t>
            </w:r>
            <w:r>
              <w:rPr>
                <w:rFonts w:hint="eastAsia" w:ascii="黑体" w:hAnsi="黑体" w:eastAsia="黑体"/>
                <w:color w:val="000000"/>
                <w:szCs w:val="21"/>
              </w:rPr>
              <w:t xml:space="preserve">  </w:t>
            </w:r>
            <w:r>
              <w:rPr>
                <w:rFonts w:ascii="黑体" w:hAnsi="黑体" w:eastAsia="黑体"/>
                <w:color w:val="000000"/>
                <w:szCs w:val="21"/>
              </w:rPr>
              <w:t>号</w:t>
            </w:r>
          </w:p>
        </w:tc>
        <w:tc>
          <w:tcPr>
            <w:tcW w:w="1329" w:type="dxa"/>
            <w:noWrap w:val="0"/>
            <w:vAlign w:val="center"/>
          </w:tcPr>
          <w:p>
            <w:pPr>
              <w:overflowPunct w:val="0"/>
              <w:autoSpaceDE w:val="0"/>
              <w:autoSpaceDN w:val="0"/>
              <w:adjustRightInd w:val="0"/>
              <w:snapToGrid w:val="0"/>
              <w:spacing w:line="280" w:lineRule="exact"/>
              <w:jc w:val="center"/>
              <w:rPr>
                <w:rFonts w:ascii="黑体" w:hAnsi="黑体" w:eastAsia="黑体"/>
                <w:color w:val="000000"/>
                <w:szCs w:val="21"/>
              </w:rPr>
            </w:pPr>
            <w:r>
              <w:rPr>
                <w:rFonts w:ascii="黑体" w:hAnsi="黑体" w:eastAsia="黑体"/>
                <w:color w:val="000000"/>
                <w:szCs w:val="21"/>
              </w:rPr>
              <w:t>目标名称</w:t>
            </w:r>
          </w:p>
        </w:tc>
        <w:tc>
          <w:tcPr>
            <w:tcW w:w="7336" w:type="dxa"/>
            <w:noWrap w:val="0"/>
            <w:vAlign w:val="center"/>
          </w:tcPr>
          <w:p>
            <w:pPr>
              <w:overflowPunct w:val="0"/>
              <w:autoSpaceDE w:val="0"/>
              <w:autoSpaceDN w:val="0"/>
              <w:adjustRightInd w:val="0"/>
              <w:snapToGrid w:val="0"/>
              <w:spacing w:line="280" w:lineRule="exact"/>
              <w:jc w:val="center"/>
              <w:rPr>
                <w:rFonts w:ascii="黑体" w:hAnsi="黑体" w:eastAsia="黑体"/>
                <w:color w:val="000000"/>
                <w:szCs w:val="21"/>
              </w:rPr>
            </w:pPr>
            <w:r>
              <w:rPr>
                <w:rFonts w:ascii="黑体" w:hAnsi="黑体" w:eastAsia="黑体"/>
                <w:color w:val="000000"/>
                <w:szCs w:val="21"/>
              </w:rPr>
              <w:t>工  作  标  准</w:t>
            </w:r>
          </w:p>
        </w:tc>
        <w:tc>
          <w:tcPr>
            <w:tcW w:w="1218" w:type="dxa"/>
            <w:noWrap w:val="0"/>
            <w:vAlign w:val="center"/>
          </w:tcPr>
          <w:p>
            <w:pPr>
              <w:overflowPunct w:val="0"/>
              <w:autoSpaceDE w:val="0"/>
              <w:autoSpaceDN w:val="0"/>
              <w:adjustRightInd w:val="0"/>
              <w:snapToGrid w:val="0"/>
              <w:spacing w:line="280" w:lineRule="exact"/>
              <w:jc w:val="center"/>
              <w:rPr>
                <w:rFonts w:ascii="黑体" w:hAnsi="黑体" w:eastAsia="黑体"/>
                <w:color w:val="000000"/>
                <w:szCs w:val="21"/>
              </w:rPr>
            </w:pPr>
            <w:r>
              <w:rPr>
                <w:rFonts w:ascii="黑体" w:hAnsi="黑体" w:eastAsia="黑体"/>
                <w:color w:val="000000"/>
                <w:szCs w:val="21"/>
              </w:rPr>
              <w:t>市政府</w:t>
            </w:r>
          </w:p>
          <w:p>
            <w:pPr>
              <w:overflowPunct w:val="0"/>
              <w:autoSpaceDE w:val="0"/>
              <w:autoSpaceDN w:val="0"/>
              <w:adjustRightInd w:val="0"/>
              <w:snapToGrid w:val="0"/>
              <w:spacing w:line="280" w:lineRule="exact"/>
              <w:jc w:val="center"/>
              <w:rPr>
                <w:rFonts w:ascii="黑体" w:hAnsi="黑体" w:eastAsia="黑体"/>
                <w:color w:val="000000"/>
                <w:szCs w:val="21"/>
              </w:rPr>
            </w:pPr>
            <w:r>
              <w:rPr>
                <w:rFonts w:ascii="黑体" w:hAnsi="黑体" w:eastAsia="黑体"/>
                <w:color w:val="000000"/>
                <w:szCs w:val="21"/>
              </w:rPr>
              <w:t>分管领导</w:t>
            </w:r>
          </w:p>
        </w:tc>
        <w:tc>
          <w:tcPr>
            <w:tcW w:w="1993" w:type="dxa"/>
            <w:noWrap w:val="0"/>
            <w:vAlign w:val="center"/>
          </w:tcPr>
          <w:p>
            <w:pPr>
              <w:overflowPunct w:val="0"/>
              <w:autoSpaceDE w:val="0"/>
              <w:autoSpaceDN w:val="0"/>
              <w:adjustRightInd w:val="0"/>
              <w:snapToGrid w:val="0"/>
              <w:spacing w:line="280" w:lineRule="exact"/>
              <w:jc w:val="center"/>
              <w:rPr>
                <w:rFonts w:ascii="黑体" w:hAnsi="黑体" w:eastAsia="黑体"/>
                <w:color w:val="000000"/>
                <w:szCs w:val="21"/>
              </w:rPr>
            </w:pPr>
            <w:r>
              <w:rPr>
                <w:rFonts w:ascii="黑体" w:hAnsi="黑体" w:eastAsia="黑体"/>
                <w:color w:val="000000"/>
                <w:szCs w:val="21"/>
              </w:rPr>
              <w:t>牵头单位</w:t>
            </w:r>
          </w:p>
        </w:tc>
        <w:tc>
          <w:tcPr>
            <w:tcW w:w="1436" w:type="dxa"/>
            <w:noWrap w:val="0"/>
            <w:vAlign w:val="center"/>
          </w:tcPr>
          <w:p>
            <w:pPr>
              <w:overflowPunct w:val="0"/>
              <w:autoSpaceDE w:val="0"/>
              <w:autoSpaceDN w:val="0"/>
              <w:adjustRightInd w:val="0"/>
              <w:snapToGrid w:val="0"/>
              <w:spacing w:line="280" w:lineRule="exact"/>
              <w:jc w:val="center"/>
              <w:rPr>
                <w:rFonts w:ascii="黑体" w:hAnsi="黑体" w:eastAsia="黑体"/>
                <w:color w:val="000000"/>
                <w:szCs w:val="21"/>
              </w:rPr>
            </w:pPr>
            <w:r>
              <w:rPr>
                <w:rFonts w:ascii="黑体" w:hAnsi="黑体" w:eastAsia="黑体"/>
                <w:color w:val="000000"/>
                <w:szCs w:val="21"/>
              </w:rPr>
              <w:t>责任单位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16"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1</w:t>
            </w:r>
          </w:p>
        </w:tc>
        <w:tc>
          <w:tcPr>
            <w:tcW w:w="1329"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勇攀新能源产业高峰</w:t>
            </w:r>
          </w:p>
        </w:tc>
        <w:tc>
          <w:tcPr>
            <w:tcW w:w="7336" w:type="dxa"/>
            <w:noWrap w:val="0"/>
            <w:vAlign w:val="center"/>
          </w:tcPr>
          <w:p>
            <w:pPr>
              <w:overflowPunct w:val="0"/>
              <w:autoSpaceDE w:val="0"/>
              <w:autoSpaceDN w:val="0"/>
              <w:adjustRightInd w:val="0"/>
              <w:snapToGrid w:val="0"/>
              <w:spacing w:line="280" w:lineRule="exact"/>
              <w:rPr>
                <w:color w:val="000000"/>
                <w:spacing w:val="-6"/>
                <w:szCs w:val="21"/>
              </w:rPr>
            </w:pPr>
            <w:r>
              <w:rPr>
                <w:rFonts w:hAnsi="宋体"/>
                <w:color w:val="000000"/>
                <w:spacing w:val="-6"/>
                <w:szCs w:val="21"/>
              </w:rPr>
              <w:t>（</w:t>
            </w:r>
            <w:r>
              <w:rPr>
                <w:color w:val="000000"/>
                <w:spacing w:val="-6"/>
                <w:szCs w:val="21"/>
              </w:rPr>
              <w:t>1</w:t>
            </w:r>
            <w:r>
              <w:rPr>
                <w:rFonts w:hAnsi="宋体"/>
                <w:color w:val="000000"/>
                <w:spacing w:val="-6"/>
                <w:szCs w:val="21"/>
              </w:rPr>
              <w:t>）推动新能源产业规模突破</w:t>
            </w:r>
            <w:r>
              <w:rPr>
                <w:color w:val="000000"/>
                <w:spacing w:val="-6"/>
                <w:szCs w:val="21"/>
              </w:rPr>
              <w:t>8800</w:t>
            </w:r>
            <w:r>
              <w:rPr>
                <w:rFonts w:hAnsi="宋体"/>
                <w:color w:val="000000"/>
                <w:spacing w:val="-6"/>
                <w:szCs w:val="21"/>
              </w:rPr>
              <w:t>亿元，全力争创国家级战略性新兴产业集群。</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徐</w:t>
            </w:r>
            <w:r>
              <w:rPr>
                <w:color w:val="000000"/>
                <w:szCs w:val="21"/>
              </w:rPr>
              <w:t xml:space="preserve">  </w:t>
            </w:r>
            <w:r>
              <w:rPr>
                <w:rFonts w:hAnsi="宋体"/>
                <w:color w:val="000000"/>
                <w:szCs w:val="21"/>
              </w:rPr>
              <w:t>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市工信局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市发改委</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37"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）构建整零协同生态，提速建设整车接续项目，大力引育关键零部件企业，力争整车产量突破</w:t>
            </w:r>
            <w:r>
              <w:rPr>
                <w:color w:val="000000"/>
                <w:szCs w:val="21"/>
              </w:rPr>
              <w:t>100</w:t>
            </w:r>
            <w:r>
              <w:rPr>
                <w:rFonts w:hAnsi="宋体"/>
                <w:color w:val="000000"/>
                <w:szCs w:val="21"/>
              </w:rPr>
              <w:t>万辆，零部件本地配套率达</w:t>
            </w:r>
            <w:r>
              <w:rPr>
                <w:color w:val="000000"/>
                <w:szCs w:val="21"/>
              </w:rPr>
              <w:t>35%</w:t>
            </w:r>
            <w:r>
              <w:rPr>
                <w:rFonts w:hAnsi="宋体"/>
                <w:color w:val="000000"/>
                <w:szCs w:val="21"/>
              </w:rPr>
              <w:t>以上。</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徐</w:t>
            </w:r>
            <w:r>
              <w:rPr>
                <w:color w:val="000000"/>
                <w:szCs w:val="21"/>
              </w:rPr>
              <w:t xml:space="preserve">  </w:t>
            </w:r>
            <w:r>
              <w:rPr>
                <w:rFonts w:hAnsi="宋体"/>
                <w:color w:val="000000"/>
                <w:szCs w:val="21"/>
              </w:rPr>
              <w:t>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市工信局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市发改委</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pacing w:val="-6"/>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）着力发展</w:t>
            </w:r>
            <w:r>
              <w:rPr>
                <w:color w:val="000000"/>
                <w:szCs w:val="21"/>
              </w:rPr>
              <w:t>“</w:t>
            </w:r>
            <w:r>
              <w:rPr>
                <w:rFonts w:hAnsi="宋体"/>
                <w:color w:val="000000"/>
                <w:szCs w:val="21"/>
              </w:rPr>
              <w:t>智能网联</w:t>
            </w:r>
            <w:r>
              <w:rPr>
                <w:color w:val="000000"/>
                <w:szCs w:val="21"/>
              </w:rPr>
              <w:t>”</w:t>
            </w:r>
            <w:r>
              <w:rPr>
                <w:rFonts w:hAnsi="宋体"/>
                <w:color w:val="000000"/>
                <w:szCs w:val="21"/>
              </w:rPr>
              <w:t>，按照</w:t>
            </w:r>
            <w:r>
              <w:rPr>
                <w:color w:val="000000"/>
                <w:szCs w:val="21"/>
              </w:rPr>
              <w:t>“</w:t>
            </w:r>
            <w:r>
              <w:rPr>
                <w:rFonts w:hAnsi="宋体"/>
                <w:color w:val="000000"/>
                <w:szCs w:val="21"/>
              </w:rPr>
              <w:t>一校一场一平台一园区</w:t>
            </w:r>
            <w:r>
              <w:rPr>
                <w:color w:val="000000"/>
                <w:szCs w:val="21"/>
              </w:rPr>
              <w:t>”</w:t>
            </w:r>
            <w:r>
              <w:rPr>
                <w:rFonts w:hAnsi="宋体"/>
                <w:color w:val="000000"/>
                <w:szCs w:val="21"/>
              </w:rPr>
              <w:t>功能定位改造升级</w:t>
            </w:r>
            <w:r>
              <w:rPr>
                <w:color w:val="000000"/>
                <w:szCs w:val="21"/>
              </w:rPr>
              <w:t>“</w:t>
            </w:r>
            <w:r>
              <w:rPr>
                <w:rFonts w:hAnsi="宋体"/>
                <w:color w:val="000000"/>
                <w:szCs w:val="21"/>
              </w:rPr>
              <w:t>上黄驾校</w:t>
            </w:r>
            <w:r>
              <w:rPr>
                <w:color w:val="000000"/>
                <w:szCs w:val="21"/>
              </w:rPr>
              <w:t>”</w:t>
            </w:r>
            <w:r>
              <w:rPr>
                <w:rFonts w:hAnsi="宋体"/>
                <w:color w:val="000000"/>
                <w:szCs w:val="21"/>
              </w:rPr>
              <w:t>，打造智能网联汽车道路测试基地。</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于贵平</w:t>
            </w:r>
          </w:p>
          <w:p>
            <w:pPr>
              <w:overflowPunct w:val="0"/>
              <w:autoSpaceDE w:val="0"/>
              <w:autoSpaceDN w:val="0"/>
              <w:adjustRightInd w:val="0"/>
              <w:snapToGrid w:val="0"/>
              <w:spacing w:line="280" w:lineRule="exact"/>
              <w:jc w:val="center"/>
              <w:rPr>
                <w:color w:val="000000"/>
                <w:szCs w:val="21"/>
              </w:rPr>
            </w:pPr>
            <w:r>
              <w:rPr>
                <w:rFonts w:hAnsi="宋体"/>
                <w:color w:val="000000"/>
                <w:szCs w:val="21"/>
              </w:rPr>
              <w:t>徐</w:t>
            </w:r>
            <w:r>
              <w:rPr>
                <w:color w:val="000000"/>
                <w:szCs w:val="21"/>
              </w:rPr>
              <w:t xml:space="preserve">  </w:t>
            </w:r>
            <w:r>
              <w:rPr>
                <w:rFonts w:hAnsi="宋体"/>
                <w:color w:val="000000"/>
                <w:szCs w:val="21"/>
              </w:rPr>
              <w:t>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市工信局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市公安局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投资集团</w:t>
            </w:r>
          </w:p>
          <w:p>
            <w:pPr>
              <w:overflowPunct w:val="0"/>
              <w:autoSpaceDE w:val="0"/>
              <w:autoSpaceDN w:val="0"/>
              <w:adjustRightInd w:val="0"/>
              <w:snapToGrid w:val="0"/>
              <w:spacing w:line="280" w:lineRule="exact"/>
              <w:jc w:val="center"/>
              <w:rPr>
                <w:color w:val="000000"/>
                <w:szCs w:val="21"/>
              </w:rPr>
            </w:pPr>
            <w:r>
              <w:rPr>
                <w:rFonts w:hAnsi="宋体"/>
                <w:color w:val="000000"/>
                <w:szCs w:val="21"/>
              </w:rPr>
              <w:t>溧阳市</w:t>
            </w:r>
          </w:p>
        </w:tc>
        <w:tc>
          <w:tcPr>
            <w:tcW w:w="1436"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98"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pacing w:val="-6"/>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4</w:t>
            </w:r>
            <w:r>
              <w:rPr>
                <w:rFonts w:hAnsi="宋体"/>
                <w:color w:val="000000"/>
                <w:szCs w:val="21"/>
              </w:rPr>
              <w:t>）推动产城双向赋能，支持龙头企业加大车网互动、微电网、虚拟电厂等数字能源场景推广应用，深化国家整县（市、区）屋顶分布式光伏发电试点，推动公共领域车辆电动化。</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市发改委</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市交通运输局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市机关事务管理局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16"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pacing w:val="-6"/>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5</w:t>
            </w:r>
            <w:r>
              <w:rPr>
                <w:rFonts w:hAnsi="宋体"/>
                <w:color w:val="000000"/>
                <w:szCs w:val="21"/>
              </w:rPr>
              <w:t>）加快超充站点和</w:t>
            </w:r>
            <w:r>
              <w:rPr>
                <w:color w:val="000000"/>
                <w:szCs w:val="21"/>
              </w:rPr>
              <w:t>“</w:t>
            </w:r>
            <w:r>
              <w:rPr>
                <w:rFonts w:hAnsi="宋体"/>
                <w:color w:val="000000"/>
                <w:szCs w:val="21"/>
              </w:rPr>
              <w:t>光储充</w:t>
            </w:r>
            <w:r>
              <w:rPr>
                <w:color w:val="000000"/>
                <w:szCs w:val="21"/>
              </w:rPr>
              <w:t>”</w:t>
            </w:r>
            <w:r>
              <w:rPr>
                <w:rFonts w:hAnsi="宋体"/>
                <w:color w:val="000000"/>
                <w:szCs w:val="21"/>
              </w:rPr>
              <w:t>一体化场站建设，新增公共和专用充电设施</w:t>
            </w:r>
            <w:r>
              <w:rPr>
                <w:color w:val="000000"/>
                <w:szCs w:val="21"/>
              </w:rPr>
              <w:t>3500</w:t>
            </w:r>
            <w:r>
              <w:rPr>
                <w:rFonts w:hAnsi="宋体"/>
                <w:color w:val="000000"/>
                <w:szCs w:val="21"/>
              </w:rPr>
              <w:t>个，打造中心城区</w:t>
            </w:r>
            <w:r>
              <w:rPr>
                <w:color w:val="000000"/>
                <w:szCs w:val="21"/>
              </w:rPr>
              <w:t>“1</w:t>
            </w:r>
            <w:r>
              <w:rPr>
                <w:rFonts w:hAnsi="宋体"/>
                <w:color w:val="000000"/>
                <w:szCs w:val="21"/>
              </w:rPr>
              <w:t>公里充电服务圈</w:t>
            </w:r>
            <w:r>
              <w:rPr>
                <w:color w:val="000000"/>
                <w:szCs w:val="21"/>
              </w:rPr>
              <w:t>”</w:t>
            </w:r>
            <w:r>
              <w:rPr>
                <w:rFonts w:hAnsi="宋体"/>
                <w:color w:val="000000"/>
                <w:szCs w:val="21"/>
              </w:rPr>
              <w:t>。</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p>
            <w:pPr>
              <w:overflowPunct w:val="0"/>
              <w:autoSpaceDE w:val="0"/>
              <w:autoSpaceDN w:val="0"/>
              <w:adjustRightInd w:val="0"/>
              <w:snapToGrid w:val="0"/>
              <w:spacing w:line="280" w:lineRule="exact"/>
              <w:jc w:val="center"/>
              <w:rPr>
                <w:color w:val="000000"/>
                <w:szCs w:val="21"/>
              </w:rPr>
            </w:pPr>
            <w:r>
              <w:rPr>
                <w:rFonts w:hAnsi="宋体"/>
                <w:color w:val="000000"/>
                <w:szCs w:val="21"/>
              </w:rPr>
              <w:t>徐</w:t>
            </w:r>
            <w:r>
              <w:rPr>
                <w:color w:val="000000"/>
                <w:szCs w:val="21"/>
              </w:rPr>
              <w:t xml:space="preserve">  </w:t>
            </w:r>
            <w:r>
              <w:rPr>
                <w:rFonts w:hAnsi="宋体"/>
                <w:color w:val="000000"/>
                <w:szCs w:val="21"/>
              </w:rPr>
              <w:t>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市工信局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市住建局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新能源集团</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58"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6</w:t>
            </w:r>
            <w:r>
              <w:rPr>
                <w:rFonts w:hAnsi="宋体"/>
                <w:color w:val="000000"/>
                <w:szCs w:val="21"/>
              </w:rPr>
              <w:t>）推进</w:t>
            </w:r>
            <w:r>
              <w:rPr>
                <w:color w:val="000000"/>
                <w:szCs w:val="21"/>
              </w:rPr>
              <w:t>“</w:t>
            </w:r>
            <w:r>
              <w:rPr>
                <w:rFonts w:hAnsi="宋体"/>
                <w:color w:val="000000"/>
                <w:szCs w:val="21"/>
              </w:rPr>
              <w:t>常畅充</w:t>
            </w:r>
            <w:r>
              <w:rPr>
                <w:color w:val="000000"/>
                <w:szCs w:val="21"/>
              </w:rPr>
              <w:t>”</w:t>
            </w:r>
            <w:r>
              <w:rPr>
                <w:rFonts w:hAnsi="宋体"/>
                <w:color w:val="000000"/>
                <w:szCs w:val="21"/>
              </w:rPr>
              <w:t>服务平台建设，落实充电补贴政策，改善个人充电设施安装条件，新能源汽车保有量渗透率达</w:t>
            </w:r>
            <w:r>
              <w:rPr>
                <w:color w:val="000000"/>
                <w:szCs w:val="21"/>
              </w:rPr>
              <w:t>10%</w:t>
            </w:r>
            <w:r>
              <w:rPr>
                <w:rFonts w:hAnsi="宋体"/>
                <w:color w:val="000000"/>
                <w:szCs w:val="21"/>
              </w:rPr>
              <w:t>。</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市工信局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市住建局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供电公司</w:t>
            </w:r>
          </w:p>
          <w:p>
            <w:pPr>
              <w:overflowPunct w:val="0"/>
              <w:autoSpaceDE w:val="0"/>
              <w:autoSpaceDN w:val="0"/>
              <w:adjustRightInd w:val="0"/>
              <w:snapToGrid w:val="0"/>
              <w:spacing w:line="280" w:lineRule="exact"/>
              <w:jc w:val="center"/>
              <w:rPr>
                <w:color w:val="000000"/>
                <w:szCs w:val="21"/>
              </w:rPr>
            </w:pPr>
            <w:r>
              <w:rPr>
                <w:rFonts w:hAnsi="宋体"/>
                <w:color w:val="000000"/>
                <w:szCs w:val="21"/>
              </w:rPr>
              <w:t>新能源集团</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65"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2</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聚力重大</w:t>
            </w:r>
          </w:p>
          <w:p>
            <w:pPr>
              <w:overflowPunct w:val="0"/>
              <w:autoSpaceDE w:val="0"/>
              <w:autoSpaceDN w:val="0"/>
              <w:adjustRightInd w:val="0"/>
              <w:snapToGrid w:val="0"/>
              <w:spacing w:line="280" w:lineRule="exact"/>
              <w:jc w:val="center"/>
              <w:rPr>
                <w:color w:val="000000"/>
                <w:szCs w:val="21"/>
              </w:rPr>
            </w:pPr>
            <w:r>
              <w:rPr>
                <w:rFonts w:hAnsi="宋体"/>
                <w:color w:val="000000"/>
                <w:szCs w:val="21"/>
              </w:rPr>
              <w:t>项目攻坚</w:t>
            </w:r>
          </w:p>
        </w:tc>
        <w:tc>
          <w:tcPr>
            <w:tcW w:w="7336" w:type="dxa"/>
            <w:noWrap w:val="0"/>
            <w:vAlign w:val="center"/>
          </w:tcPr>
          <w:p>
            <w:pPr>
              <w:overflowPunct w:val="0"/>
              <w:autoSpaceDE w:val="0"/>
              <w:autoSpaceDN w:val="0"/>
              <w:adjustRightInd w:val="0"/>
              <w:snapToGrid w:val="0"/>
              <w:spacing w:line="280" w:lineRule="exact"/>
              <w:jc w:val="left"/>
              <w:rPr>
                <w:color w:val="000000"/>
                <w:szCs w:val="21"/>
              </w:rPr>
            </w:pPr>
            <w:r>
              <w:rPr>
                <w:rFonts w:hAnsi="宋体"/>
                <w:color w:val="000000"/>
                <w:szCs w:val="21"/>
              </w:rPr>
              <w:t>（</w:t>
            </w:r>
            <w:r>
              <w:rPr>
                <w:color w:val="000000"/>
                <w:szCs w:val="21"/>
              </w:rPr>
              <w:t>1</w:t>
            </w:r>
            <w:r>
              <w:rPr>
                <w:rFonts w:hAnsi="宋体"/>
                <w:color w:val="000000"/>
                <w:szCs w:val="21"/>
              </w:rPr>
              <w:t>）大力开展以商引商、基金招商、展会招商，办好科技经贸洽谈会、对话全球</w:t>
            </w:r>
            <w:r>
              <w:rPr>
                <w:color w:val="000000"/>
                <w:szCs w:val="21"/>
              </w:rPr>
              <w:t>CEO</w:t>
            </w:r>
            <w:r>
              <w:rPr>
                <w:rFonts w:hAnsi="宋体"/>
                <w:color w:val="000000"/>
                <w:szCs w:val="21"/>
              </w:rPr>
              <w:t>等活动，全力引进总部型、龙头型、基地型项目和强链、延链、补链项目，招引总投资超</w:t>
            </w:r>
            <w:r>
              <w:rPr>
                <w:color w:val="000000"/>
                <w:szCs w:val="21"/>
              </w:rPr>
              <w:t>100</w:t>
            </w:r>
            <w:r>
              <w:rPr>
                <w:rFonts w:hAnsi="宋体"/>
                <w:color w:val="000000"/>
                <w:szCs w:val="21"/>
              </w:rPr>
              <w:t>亿元或</w:t>
            </w:r>
            <w:r>
              <w:rPr>
                <w:color w:val="000000"/>
                <w:szCs w:val="21"/>
              </w:rPr>
              <w:t>10</w:t>
            </w:r>
            <w:r>
              <w:rPr>
                <w:rFonts w:hAnsi="宋体"/>
                <w:color w:val="000000"/>
                <w:szCs w:val="21"/>
              </w:rPr>
              <w:t>亿美元项目</w:t>
            </w:r>
            <w:r>
              <w:rPr>
                <w:color w:val="000000"/>
                <w:szCs w:val="21"/>
              </w:rPr>
              <w:t>4</w:t>
            </w:r>
            <w:r>
              <w:rPr>
                <w:rFonts w:hAnsi="宋体"/>
                <w:color w:val="000000"/>
                <w:szCs w:val="21"/>
              </w:rPr>
              <w:t>个以上。</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潘冬铃</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市商务局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97"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）办好世界新能源博览会。</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徐</w:t>
            </w:r>
            <w:r>
              <w:rPr>
                <w:color w:val="000000"/>
                <w:szCs w:val="21"/>
              </w:rPr>
              <w:t xml:space="preserve">  </w:t>
            </w:r>
            <w:r>
              <w:rPr>
                <w:rFonts w:hAnsi="宋体"/>
                <w:color w:val="000000"/>
                <w:szCs w:val="21"/>
              </w:rPr>
              <w:t>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市工信局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4"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）推广拿地即开工、桩基先行施工、竣工即交付模式，新开工</w:t>
            </w:r>
            <w:r>
              <w:rPr>
                <w:color w:val="000000"/>
                <w:szCs w:val="21"/>
              </w:rPr>
              <w:t>10</w:t>
            </w:r>
            <w:r>
              <w:rPr>
                <w:rFonts w:hAnsi="宋体"/>
                <w:color w:val="000000"/>
                <w:szCs w:val="21"/>
              </w:rPr>
              <w:t>亿元或</w:t>
            </w:r>
            <w:r>
              <w:rPr>
                <w:color w:val="000000"/>
                <w:szCs w:val="21"/>
              </w:rPr>
              <w:t>1</w:t>
            </w:r>
            <w:r>
              <w:rPr>
                <w:rFonts w:hAnsi="宋体"/>
                <w:color w:val="000000"/>
                <w:szCs w:val="21"/>
              </w:rPr>
              <w:t>亿美元项目</w:t>
            </w:r>
            <w:r>
              <w:rPr>
                <w:color w:val="000000"/>
                <w:szCs w:val="21"/>
              </w:rPr>
              <w:t>30</w:t>
            </w:r>
            <w:r>
              <w:rPr>
                <w:rFonts w:hAnsi="宋体"/>
                <w:color w:val="000000"/>
                <w:szCs w:val="21"/>
              </w:rPr>
              <w:t>个以上，不断提升列统投资完成率。</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市发改委</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47"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4</w:t>
            </w:r>
            <w:r>
              <w:rPr>
                <w:rFonts w:hAnsi="宋体"/>
                <w:color w:val="000000"/>
                <w:szCs w:val="21"/>
              </w:rPr>
              <w:t>）加强项目谋划储备，紧盯交通、能源、水利、环保、新基建等重点领域项目，争取特别国债、专项债券、上级转移支付资金支持，加快实现公募</w:t>
            </w:r>
            <w:r>
              <w:rPr>
                <w:color w:val="000000"/>
                <w:szCs w:val="21"/>
              </w:rPr>
              <w:t>REITs</w:t>
            </w:r>
            <w:r>
              <w:rPr>
                <w:rFonts w:hAnsi="宋体"/>
                <w:color w:val="000000"/>
                <w:szCs w:val="21"/>
              </w:rPr>
              <w:t>项目突破。</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59"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3</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加快数实</w:t>
            </w:r>
          </w:p>
          <w:p>
            <w:pPr>
              <w:overflowPunct w:val="0"/>
              <w:autoSpaceDE w:val="0"/>
              <w:autoSpaceDN w:val="0"/>
              <w:adjustRightInd w:val="0"/>
              <w:snapToGrid w:val="0"/>
              <w:spacing w:line="280" w:lineRule="exact"/>
              <w:jc w:val="center"/>
              <w:rPr>
                <w:color w:val="000000"/>
                <w:szCs w:val="21"/>
              </w:rPr>
            </w:pPr>
            <w:r>
              <w:rPr>
                <w:rFonts w:hAnsi="宋体"/>
                <w:color w:val="000000"/>
                <w:szCs w:val="21"/>
              </w:rPr>
              <w:t>融合步伐</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）持续推进数字产业化，做强做优数字经济产业园。启动平台企业高质量发展三年行动计划，规上平台企业营业收入增长</w:t>
            </w:r>
            <w:r>
              <w:rPr>
                <w:color w:val="000000"/>
                <w:szCs w:val="21"/>
              </w:rPr>
              <w:t>18%</w:t>
            </w:r>
            <w:r>
              <w:rPr>
                <w:rFonts w:hAnsi="宋体"/>
                <w:color w:val="000000"/>
                <w:szCs w:val="21"/>
              </w:rPr>
              <w:t>。布局数字基础设施，建设能源全景智慧运营平台。</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市发改委</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62"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）争创国家工业互联网</w:t>
            </w:r>
            <w:r>
              <w:rPr>
                <w:color w:val="000000"/>
                <w:szCs w:val="21"/>
              </w:rPr>
              <w:t>“</w:t>
            </w:r>
            <w:r>
              <w:rPr>
                <w:rFonts w:hAnsi="宋体"/>
                <w:color w:val="000000"/>
                <w:szCs w:val="21"/>
              </w:rPr>
              <w:t>双跨</w:t>
            </w:r>
            <w:r>
              <w:rPr>
                <w:color w:val="000000"/>
                <w:szCs w:val="21"/>
              </w:rPr>
              <w:t>”</w:t>
            </w:r>
            <w:r>
              <w:rPr>
                <w:rFonts w:hAnsi="宋体"/>
                <w:color w:val="000000"/>
                <w:szCs w:val="21"/>
              </w:rPr>
              <w:t>平台。</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徐</w:t>
            </w:r>
            <w:r>
              <w:rPr>
                <w:color w:val="000000"/>
                <w:szCs w:val="21"/>
              </w:rPr>
              <w:t xml:space="preserve">  </w:t>
            </w:r>
            <w:r>
              <w:rPr>
                <w:rFonts w:hAnsi="宋体"/>
                <w:color w:val="000000"/>
                <w:szCs w:val="21"/>
              </w:rPr>
              <w:t>军</w:t>
            </w:r>
          </w:p>
        </w:tc>
        <w:tc>
          <w:tcPr>
            <w:tcW w:w="1993"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市工信局</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861"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）大力推进产业数字化，出台服务型制造三年行动计划，引导高端制造企业由生产制造智能化向服务全流程智能化发展。以</w:t>
            </w:r>
            <w:r>
              <w:rPr>
                <w:color w:val="000000"/>
                <w:szCs w:val="21"/>
              </w:rPr>
              <w:t>“</w:t>
            </w:r>
            <w:r>
              <w:rPr>
                <w:rFonts w:hAnsi="宋体"/>
                <w:color w:val="000000"/>
                <w:szCs w:val="21"/>
              </w:rPr>
              <w:t>网联</w:t>
            </w:r>
            <w:r>
              <w:rPr>
                <w:color w:val="000000"/>
                <w:szCs w:val="21"/>
              </w:rPr>
              <w:t>”</w:t>
            </w:r>
            <w:r>
              <w:rPr>
                <w:rFonts w:hAnsi="宋体"/>
                <w:color w:val="000000"/>
                <w:szCs w:val="21"/>
              </w:rPr>
              <w:t>放大</w:t>
            </w:r>
            <w:r>
              <w:rPr>
                <w:color w:val="000000"/>
                <w:szCs w:val="21"/>
              </w:rPr>
              <w:t>“</w:t>
            </w:r>
            <w:r>
              <w:rPr>
                <w:rFonts w:hAnsi="宋体"/>
                <w:color w:val="000000"/>
                <w:szCs w:val="21"/>
              </w:rPr>
              <w:t>智改数转</w:t>
            </w:r>
            <w:r>
              <w:rPr>
                <w:color w:val="000000"/>
                <w:szCs w:val="21"/>
              </w:rPr>
              <w:t>”</w:t>
            </w:r>
            <w:r>
              <w:rPr>
                <w:rFonts w:hAnsi="宋体"/>
                <w:color w:val="000000"/>
                <w:szCs w:val="21"/>
              </w:rPr>
              <w:t>效应，实施新一轮</w:t>
            </w:r>
            <w:r>
              <w:rPr>
                <w:color w:val="000000"/>
                <w:szCs w:val="21"/>
              </w:rPr>
              <w:t>“</w:t>
            </w:r>
            <w:r>
              <w:rPr>
                <w:rFonts w:hAnsi="宋体"/>
                <w:color w:val="000000"/>
                <w:szCs w:val="21"/>
              </w:rPr>
              <w:t>十百千</w:t>
            </w:r>
            <w:r>
              <w:rPr>
                <w:color w:val="000000"/>
                <w:szCs w:val="21"/>
              </w:rPr>
              <w:t>”</w:t>
            </w:r>
            <w:r>
              <w:rPr>
                <w:rFonts w:hAnsi="宋体"/>
                <w:color w:val="000000"/>
                <w:szCs w:val="21"/>
              </w:rPr>
              <w:t>工程，培育</w:t>
            </w:r>
            <w:r>
              <w:rPr>
                <w:color w:val="000000"/>
                <w:szCs w:val="21"/>
              </w:rPr>
              <w:t>500</w:t>
            </w:r>
            <w:r>
              <w:rPr>
                <w:rFonts w:hAnsi="宋体"/>
                <w:color w:val="000000"/>
                <w:szCs w:val="21"/>
              </w:rPr>
              <w:t>个典型数字应用场景，争创国家中小企业数字化转型试点城市。新增数字化转型促进中心</w:t>
            </w:r>
            <w:r>
              <w:rPr>
                <w:color w:val="000000"/>
                <w:szCs w:val="21"/>
              </w:rPr>
              <w:t>16</w:t>
            </w:r>
            <w:r>
              <w:rPr>
                <w:rFonts w:hAnsi="宋体"/>
                <w:color w:val="000000"/>
                <w:szCs w:val="21"/>
              </w:rPr>
              <w:t>家，新建</w:t>
            </w:r>
            <w:r>
              <w:rPr>
                <w:color w:val="000000"/>
                <w:szCs w:val="21"/>
              </w:rPr>
              <w:t>5G</w:t>
            </w:r>
            <w:r>
              <w:rPr>
                <w:rFonts w:hAnsi="宋体"/>
                <w:color w:val="000000"/>
                <w:szCs w:val="21"/>
              </w:rPr>
              <w:t>基站</w:t>
            </w:r>
            <w:r>
              <w:rPr>
                <w:color w:val="000000"/>
                <w:szCs w:val="21"/>
              </w:rPr>
              <w:t>4000</w:t>
            </w:r>
            <w:r>
              <w:rPr>
                <w:rFonts w:hAnsi="宋体"/>
                <w:color w:val="000000"/>
                <w:szCs w:val="21"/>
              </w:rPr>
              <w:t>座。建设智能算力中心，重点打造工业、能源、医疗三大智算应用示范场景，新建算力规模</w:t>
            </w:r>
            <w:r>
              <w:rPr>
                <w:color w:val="000000"/>
                <w:szCs w:val="21"/>
              </w:rPr>
              <w:t>100P</w:t>
            </w:r>
            <w:r>
              <w:rPr>
                <w:rFonts w:hAnsi="宋体"/>
                <w:color w:val="000000"/>
                <w:szCs w:val="21"/>
              </w:rPr>
              <w:t>。</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33"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4</w:t>
            </w:r>
            <w:r>
              <w:rPr>
                <w:rFonts w:hAnsi="宋体"/>
                <w:color w:val="000000"/>
                <w:szCs w:val="21"/>
              </w:rPr>
              <w:t>）建成产业链供应链金融服务平台</w:t>
            </w:r>
            <w:r>
              <w:rPr>
                <w:color w:val="000000"/>
                <w:szCs w:val="21"/>
              </w:rPr>
              <w:t>4</w:t>
            </w:r>
            <w:r>
              <w:rPr>
                <w:rFonts w:hAnsi="宋体"/>
                <w:color w:val="000000"/>
                <w:szCs w:val="21"/>
              </w:rPr>
              <w:t>家。</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市金融监管局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2"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4</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竞逐未来</w:t>
            </w:r>
          </w:p>
          <w:p>
            <w:pPr>
              <w:overflowPunct w:val="0"/>
              <w:autoSpaceDE w:val="0"/>
              <w:autoSpaceDN w:val="0"/>
              <w:adjustRightInd w:val="0"/>
              <w:snapToGrid w:val="0"/>
              <w:spacing w:line="280" w:lineRule="exact"/>
              <w:jc w:val="center"/>
              <w:rPr>
                <w:color w:val="000000"/>
                <w:szCs w:val="21"/>
              </w:rPr>
            </w:pPr>
            <w:r>
              <w:rPr>
                <w:rFonts w:hAnsi="宋体"/>
                <w:color w:val="000000"/>
                <w:szCs w:val="21"/>
              </w:rPr>
              <w:t>产业赛道</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）深入实施</w:t>
            </w:r>
            <w:r>
              <w:rPr>
                <w:color w:val="000000"/>
                <w:szCs w:val="21"/>
              </w:rPr>
              <w:t>“</w:t>
            </w:r>
            <w:r>
              <w:rPr>
                <w:rFonts w:hAnsi="宋体"/>
                <w:color w:val="000000"/>
                <w:szCs w:val="21"/>
              </w:rPr>
              <w:t>合成生物</w:t>
            </w:r>
            <w:r>
              <w:rPr>
                <w:color w:val="000000"/>
                <w:szCs w:val="21"/>
              </w:rPr>
              <w:t>10</w:t>
            </w:r>
            <w:r>
              <w:rPr>
                <w:rFonts w:hAnsi="宋体"/>
                <w:color w:val="000000"/>
                <w:szCs w:val="21"/>
              </w:rPr>
              <w:t>条</w:t>
            </w:r>
            <w:r>
              <w:rPr>
                <w:color w:val="000000"/>
                <w:szCs w:val="21"/>
              </w:rPr>
              <w:t>”</w:t>
            </w:r>
            <w:r>
              <w:rPr>
                <w:rFonts w:hAnsi="宋体"/>
                <w:color w:val="000000"/>
                <w:szCs w:val="21"/>
              </w:rPr>
              <w:t>，建好长三角合成生物产业创新园等重大载体，创建合成生物领域省级技术创新中心，培育重大项目</w:t>
            </w:r>
            <w:r>
              <w:rPr>
                <w:color w:val="000000"/>
                <w:szCs w:val="21"/>
              </w:rPr>
              <w:t>10</w:t>
            </w:r>
            <w:r>
              <w:rPr>
                <w:rFonts w:hAnsi="宋体"/>
                <w:color w:val="000000"/>
                <w:szCs w:val="21"/>
              </w:rPr>
              <w:t>项。</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蒋鹏举</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市科技局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市发改委</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4"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）推动省合成生物标准化技术委员会在常成立。</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徐</w:t>
            </w:r>
            <w:r>
              <w:rPr>
                <w:color w:val="000000"/>
                <w:szCs w:val="21"/>
              </w:rPr>
              <w:t xml:space="preserve">  </w:t>
            </w:r>
            <w:r>
              <w:rPr>
                <w:rFonts w:hAnsi="宋体"/>
                <w:color w:val="000000"/>
                <w:szCs w:val="21"/>
              </w:rPr>
              <w:t>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市市场监管局</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99"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）制订出台化合物半导体产业发展行动计划和政策举措，持续推进长三角化合物半导体创新基地和宽禁带半导体国家工程中心常州分中心建设，加快打造龙城芯谷。</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市工信局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04"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5</w:t>
            </w:r>
          </w:p>
        </w:tc>
        <w:tc>
          <w:tcPr>
            <w:tcW w:w="1329"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争创国家级平台载体</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）更好发挥科教城</w:t>
            </w:r>
            <w:r>
              <w:rPr>
                <w:color w:val="000000"/>
                <w:szCs w:val="21"/>
              </w:rPr>
              <w:t>“</w:t>
            </w:r>
            <w:r>
              <w:rPr>
                <w:rFonts w:hAnsi="宋体"/>
                <w:color w:val="000000"/>
                <w:szCs w:val="21"/>
              </w:rPr>
              <w:t>创新之核</w:t>
            </w:r>
            <w:r>
              <w:rPr>
                <w:color w:val="000000"/>
                <w:szCs w:val="21"/>
              </w:rPr>
              <w:t>”</w:t>
            </w:r>
            <w:r>
              <w:rPr>
                <w:rFonts w:hAnsi="宋体"/>
                <w:color w:val="000000"/>
                <w:szCs w:val="21"/>
              </w:rPr>
              <w:t>辐射带动作用。</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蒋鹏举</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常州科教城</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93"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）推动中以常州创新园集聚优质资源要素，深化龙城实验室与工业母机</w:t>
            </w:r>
            <w:r>
              <w:rPr>
                <w:color w:val="000000"/>
                <w:szCs w:val="21"/>
              </w:rPr>
              <w:t>“</w:t>
            </w:r>
            <w:r>
              <w:rPr>
                <w:rFonts w:hAnsi="宋体"/>
                <w:color w:val="000000"/>
                <w:szCs w:val="21"/>
              </w:rPr>
              <w:t>国家队</w:t>
            </w:r>
            <w:r>
              <w:rPr>
                <w:color w:val="000000"/>
                <w:szCs w:val="21"/>
              </w:rPr>
              <w:t>”</w:t>
            </w:r>
            <w:r>
              <w:rPr>
                <w:rFonts w:hAnsi="宋体"/>
                <w:color w:val="000000"/>
                <w:szCs w:val="21"/>
              </w:rPr>
              <w:t>共建合作，推动碳纤维及复合材料、清洁能源材料、城市生命线工程安全等技术创新中心创建国家级平台。</w:t>
            </w:r>
          </w:p>
        </w:tc>
        <w:tc>
          <w:tcPr>
            <w:tcW w:w="1218"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市科技局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中以常州创新园</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6"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）高水平筹建工业机器人、轨道交通两个国家级产业计量测试中心。</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徐</w:t>
            </w:r>
            <w:r>
              <w:rPr>
                <w:color w:val="000000"/>
                <w:szCs w:val="21"/>
              </w:rPr>
              <w:t xml:space="preserve">  </w:t>
            </w:r>
            <w:r>
              <w:rPr>
                <w:rFonts w:hAnsi="宋体"/>
                <w:color w:val="000000"/>
                <w:szCs w:val="21"/>
              </w:rPr>
              <w:t>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市市场监管局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4</w:t>
            </w:r>
            <w:r>
              <w:rPr>
                <w:rFonts w:hAnsi="宋体"/>
                <w:color w:val="000000"/>
                <w:szCs w:val="21"/>
              </w:rPr>
              <w:t>）推动常州经开区、溧阳高新区争创国家级开发区。</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蒋鹏举</w:t>
            </w:r>
          </w:p>
          <w:p>
            <w:pPr>
              <w:overflowPunct w:val="0"/>
              <w:autoSpaceDE w:val="0"/>
              <w:autoSpaceDN w:val="0"/>
              <w:adjustRightInd w:val="0"/>
              <w:snapToGrid w:val="0"/>
              <w:spacing w:line="280" w:lineRule="exact"/>
              <w:jc w:val="center"/>
              <w:rPr>
                <w:color w:val="000000"/>
                <w:szCs w:val="21"/>
              </w:rPr>
            </w:pPr>
            <w:r>
              <w:rPr>
                <w:rFonts w:hAnsi="宋体"/>
                <w:color w:val="000000"/>
                <w:szCs w:val="21"/>
              </w:rPr>
              <w:t>潘冬铃</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市商务局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市科技局</w:t>
            </w:r>
          </w:p>
        </w:tc>
        <w:tc>
          <w:tcPr>
            <w:tcW w:w="1436"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溧阳市</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6</w:t>
            </w:r>
          </w:p>
        </w:tc>
        <w:tc>
          <w:tcPr>
            <w:tcW w:w="1329"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培育创新型企业梯队</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）持续推进科技招商三年行动计划、科技型企业</w:t>
            </w:r>
            <w:r>
              <w:rPr>
                <w:color w:val="000000"/>
                <w:szCs w:val="21"/>
              </w:rPr>
              <w:t>“</w:t>
            </w:r>
            <w:r>
              <w:rPr>
                <w:rFonts w:hAnsi="宋体"/>
                <w:color w:val="000000"/>
                <w:szCs w:val="21"/>
              </w:rPr>
              <w:t>倍增行动</w:t>
            </w:r>
            <w:r>
              <w:rPr>
                <w:color w:val="000000"/>
                <w:szCs w:val="21"/>
              </w:rPr>
              <w:t>”</w:t>
            </w:r>
            <w:r>
              <w:rPr>
                <w:rFonts w:hAnsi="宋体"/>
                <w:color w:val="000000"/>
                <w:szCs w:val="21"/>
              </w:rPr>
              <w:t>，建强专业化科技招商队伍，招引科技型中小企业</w:t>
            </w:r>
            <w:r>
              <w:rPr>
                <w:color w:val="000000"/>
                <w:szCs w:val="21"/>
              </w:rPr>
              <w:t>1200</w:t>
            </w:r>
            <w:r>
              <w:rPr>
                <w:rFonts w:hAnsi="宋体"/>
                <w:color w:val="000000"/>
                <w:szCs w:val="21"/>
              </w:rPr>
              <w:t>家以上，净增高新技术企业</w:t>
            </w:r>
            <w:r>
              <w:rPr>
                <w:color w:val="000000"/>
                <w:szCs w:val="21"/>
              </w:rPr>
              <w:t>1000</w:t>
            </w:r>
            <w:r>
              <w:rPr>
                <w:rFonts w:hAnsi="宋体"/>
                <w:color w:val="000000"/>
                <w:szCs w:val="21"/>
              </w:rPr>
              <w:t>家以上。深入实施</w:t>
            </w:r>
            <w:r>
              <w:rPr>
                <w:color w:val="000000"/>
                <w:szCs w:val="21"/>
              </w:rPr>
              <w:t>“</w:t>
            </w:r>
            <w:r>
              <w:rPr>
                <w:rFonts w:hAnsi="宋体"/>
                <w:color w:val="000000"/>
                <w:szCs w:val="21"/>
              </w:rPr>
              <w:t>独角兽</w:t>
            </w:r>
            <w:r>
              <w:rPr>
                <w:color w:val="000000"/>
                <w:szCs w:val="21"/>
              </w:rPr>
              <w:t>10</w:t>
            </w:r>
            <w:r>
              <w:rPr>
                <w:rFonts w:hAnsi="宋体"/>
                <w:color w:val="000000"/>
                <w:szCs w:val="21"/>
              </w:rPr>
              <w:t>条</w:t>
            </w:r>
            <w:r>
              <w:rPr>
                <w:color w:val="000000"/>
                <w:szCs w:val="21"/>
              </w:rPr>
              <w:t>”</w:t>
            </w:r>
            <w:r>
              <w:rPr>
                <w:rFonts w:hAnsi="宋体"/>
                <w:color w:val="000000"/>
                <w:szCs w:val="21"/>
              </w:rPr>
              <w:t>，净增独角兽和潜在独角兽企业</w:t>
            </w:r>
            <w:r>
              <w:rPr>
                <w:color w:val="000000"/>
                <w:szCs w:val="21"/>
              </w:rPr>
              <w:t>10</w:t>
            </w:r>
            <w:r>
              <w:rPr>
                <w:rFonts w:hAnsi="宋体"/>
                <w:color w:val="000000"/>
                <w:szCs w:val="21"/>
              </w:rPr>
              <w:t>家。</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蒋鹏举</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市科技局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79"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）深化企业股改上市</w:t>
            </w:r>
            <w:r>
              <w:rPr>
                <w:color w:val="000000"/>
                <w:szCs w:val="21"/>
              </w:rPr>
              <w:t>“</w:t>
            </w:r>
            <w:r>
              <w:rPr>
                <w:rFonts w:hAnsi="宋体"/>
                <w:color w:val="000000"/>
                <w:szCs w:val="21"/>
              </w:rPr>
              <w:t>龙腾行动</w:t>
            </w:r>
            <w:r>
              <w:rPr>
                <w:color w:val="000000"/>
                <w:szCs w:val="21"/>
              </w:rPr>
              <w:t>”</w:t>
            </w:r>
            <w:r>
              <w:rPr>
                <w:rFonts w:hAnsi="宋体"/>
                <w:color w:val="000000"/>
                <w:szCs w:val="21"/>
              </w:rPr>
              <w:t>，新增上市企业</w:t>
            </w:r>
            <w:r>
              <w:rPr>
                <w:color w:val="000000"/>
                <w:szCs w:val="21"/>
              </w:rPr>
              <w:t>20</w:t>
            </w:r>
            <w:r>
              <w:rPr>
                <w:rFonts w:hAnsi="宋体"/>
                <w:color w:val="000000"/>
                <w:szCs w:val="21"/>
              </w:rPr>
              <w:t>家。通过龙城金谷建设，撬动全市私募行业高质量发展，新增中基协登记私募基金管理人</w:t>
            </w:r>
            <w:r>
              <w:rPr>
                <w:color w:val="000000"/>
                <w:szCs w:val="21"/>
              </w:rPr>
              <w:t>8</w:t>
            </w:r>
            <w:r>
              <w:rPr>
                <w:rFonts w:hAnsi="宋体"/>
                <w:color w:val="000000"/>
                <w:szCs w:val="21"/>
              </w:rPr>
              <w:t>家、备案私募基金</w:t>
            </w:r>
            <w:r>
              <w:rPr>
                <w:color w:val="000000"/>
                <w:szCs w:val="21"/>
              </w:rPr>
              <w:t>80</w:t>
            </w:r>
            <w:r>
              <w:rPr>
                <w:rFonts w:hAnsi="宋体"/>
                <w:color w:val="000000"/>
                <w:szCs w:val="21"/>
              </w:rPr>
              <w:t>支。</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徐</w:t>
            </w:r>
            <w:r>
              <w:rPr>
                <w:color w:val="000000"/>
                <w:szCs w:val="21"/>
              </w:rPr>
              <w:t xml:space="preserve">  </w:t>
            </w:r>
            <w:r>
              <w:rPr>
                <w:rFonts w:hAnsi="宋体"/>
                <w:color w:val="000000"/>
                <w:szCs w:val="21"/>
              </w:rPr>
              <w:t>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市金融监管局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2"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7</w:t>
            </w:r>
          </w:p>
        </w:tc>
        <w:tc>
          <w:tcPr>
            <w:tcW w:w="1329"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构建多层次人才体系</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）加快人才科创集团建设运营。</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投资集团</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92"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）更大力度实施</w:t>
            </w:r>
            <w:r>
              <w:rPr>
                <w:color w:val="000000"/>
                <w:szCs w:val="21"/>
              </w:rPr>
              <w:t>“</w:t>
            </w:r>
            <w:r>
              <w:rPr>
                <w:rFonts w:hAnsi="宋体"/>
                <w:color w:val="000000"/>
                <w:szCs w:val="21"/>
              </w:rPr>
              <w:t>龙城英才计划</w:t>
            </w:r>
            <w:r>
              <w:rPr>
                <w:color w:val="000000"/>
                <w:szCs w:val="21"/>
              </w:rPr>
              <w:t>”</w:t>
            </w:r>
            <w:r>
              <w:rPr>
                <w:rFonts w:hAnsi="宋体"/>
                <w:color w:val="000000"/>
                <w:szCs w:val="21"/>
              </w:rPr>
              <w:t>，办好</w:t>
            </w:r>
            <w:r>
              <w:rPr>
                <w:color w:val="000000"/>
                <w:szCs w:val="21"/>
              </w:rPr>
              <w:t>“</w:t>
            </w:r>
            <w:r>
              <w:rPr>
                <w:rFonts w:hAnsi="宋体"/>
                <w:color w:val="000000"/>
                <w:szCs w:val="21"/>
              </w:rPr>
              <w:t>名城名校合作行</w:t>
            </w:r>
            <w:r>
              <w:rPr>
                <w:color w:val="000000"/>
                <w:szCs w:val="21"/>
              </w:rPr>
              <w:t>·</w:t>
            </w:r>
            <w:r>
              <w:rPr>
                <w:rFonts w:hAnsi="宋体"/>
                <w:color w:val="000000"/>
                <w:szCs w:val="21"/>
              </w:rPr>
              <w:t>创新创业赢未来</w:t>
            </w:r>
            <w:r>
              <w:rPr>
                <w:color w:val="000000"/>
                <w:szCs w:val="21"/>
              </w:rPr>
              <w:t>”</w:t>
            </w:r>
            <w:r>
              <w:rPr>
                <w:rFonts w:hAnsi="宋体"/>
                <w:color w:val="000000"/>
                <w:szCs w:val="21"/>
              </w:rPr>
              <w:t>活动，高效运营人才公寓，引进各类人才超</w:t>
            </w:r>
            <w:r>
              <w:rPr>
                <w:color w:val="000000"/>
                <w:szCs w:val="21"/>
              </w:rPr>
              <w:t>12</w:t>
            </w:r>
            <w:r>
              <w:rPr>
                <w:rFonts w:hAnsi="宋体"/>
                <w:color w:val="000000"/>
                <w:szCs w:val="21"/>
              </w:rPr>
              <w:t>万人、顶尖人才项目</w:t>
            </w:r>
            <w:r>
              <w:rPr>
                <w:color w:val="000000"/>
                <w:szCs w:val="21"/>
              </w:rPr>
              <w:t>10</w:t>
            </w:r>
            <w:r>
              <w:rPr>
                <w:rFonts w:hAnsi="宋体"/>
                <w:color w:val="000000"/>
                <w:szCs w:val="21"/>
              </w:rPr>
              <w:t>个以上、领军型创新创业人才项目</w:t>
            </w:r>
            <w:r>
              <w:rPr>
                <w:color w:val="000000"/>
                <w:szCs w:val="21"/>
              </w:rPr>
              <w:t>400</w:t>
            </w:r>
            <w:r>
              <w:rPr>
                <w:rFonts w:hAnsi="宋体"/>
                <w:color w:val="000000"/>
                <w:szCs w:val="21"/>
              </w:rPr>
              <w:t>个以上。</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夏思军</w:t>
            </w:r>
          </w:p>
          <w:p>
            <w:pPr>
              <w:overflowPunct w:val="0"/>
              <w:autoSpaceDE w:val="0"/>
              <w:autoSpaceDN w:val="0"/>
              <w:adjustRightInd w:val="0"/>
              <w:snapToGrid w:val="0"/>
              <w:spacing w:line="280" w:lineRule="exact"/>
              <w:jc w:val="center"/>
              <w:rPr>
                <w:color w:val="000000"/>
                <w:szCs w:val="21"/>
              </w:rPr>
            </w:pPr>
            <w:r>
              <w:rPr>
                <w:rFonts w:hAnsi="宋体"/>
                <w:color w:val="000000"/>
                <w:szCs w:val="21"/>
              </w:rPr>
              <w:t>蒋鹏举</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市科技局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市人社局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人才办</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51"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）着力引育一批战略科学家、科技领军人才，力争引进院士团队</w:t>
            </w:r>
            <w:r>
              <w:rPr>
                <w:color w:val="000000"/>
                <w:szCs w:val="21"/>
              </w:rPr>
              <w:t>2</w:t>
            </w:r>
            <w:r>
              <w:rPr>
                <w:rFonts w:hAnsi="宋体"/>
                <w:color w:val="000000"/>
                <w:szCs w:val="21"/>
              </w:rPr>
              <w:t>个以上。</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蒋鹏举</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市科技局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44"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4</w:t>
            </w:r>
            <w:r>
              <w:rPr>
                <w:rFonts w:hAnsi="宋体"/>
                <w:color w:val="000000"/>
                <w:szCs w:val="21"/>
              </w:rPr>
              <w:t>）面向高科技企业、高校和科研院所，全面推广</w:t>
            </w:r>
            <w:r>
              <w:rPr>
                <w:color w:val="000000"/>
                <w:szCs w:val="21"/>
              </w:rPr>
              <w:t>“</w:t>
            </w:r>
            <w:r>
              <w:rPr>
                <w:rFonts w:hAnsi="宋体"/>
                <w:color w:val="000000"/>
                <w:szCs w:val="21"/>
              </w:rPr>
              <w:t>双岗互聘</w:t>
            </w:r>
            <w:r>
              <w:rPr>
                <w:color w:val="000000"/>
                <w:szCs w:val="21"/>
              </w:rPr>
              <w:t>”</w:t>
            </w:r>
            <w:r>
              <w:rPr>
                <w:rFonts w:hAnsi="宋体"/>
                <w:color w:val="000000"/>
                <w:szCs w:val="21"/>
              </w:rPr>
              <w:t>，引导人才向科技、生产一线流动。</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常州科教城</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44"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8</w:t>
            </w:r>
          </w:p>
        </w:tc>
        <w:tc>
          <w:tcPr>
            <w:tcW w:w="1329"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促进产科教深度融合</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）持续开展</w:t>
            </w:r>
            <w:r>
              <w:rPr>
                <w:color w:val="000000"/>
                <w:szCs w:val="21"/>
              </w:rPr>
              <w:t>“</w:t>
            </w:r>
            <w:r>
              <w:rPr>
                <w:rFonts w:hAnsi="宋体"/>
                <w:color w:val="000000"/>
                <w:szCs w:val="21"/>
              </w:rPr>
              <w:t>科技新长征</w:t>
            </w:r>
            <w:r>
              <w:rPr>
                <w:color w:val="000000"/>
                <w:szCs w:val="21"/>
              </w:rPr>
              <w:t>”</w:t>
            </w:r>
            <w:r>
              <w:rPr>
                <w:rFonts w:hAnsi="宋体"/>
                <w:color w:val="000000"/>
                <w:szCs w:val="21"/>
              </w:rPr>
              <w:t>，实施超</w:t>
            </w:r>
            <w:r>
              <w:rPr>
                <w:color w:val="000000"/>
                <w:szCs w:val="21"/>
              </w:rPr>
              <w:t>5000</w:t>
            </w:r>
            <w:r>
              <w:rPr>
                <w:rFonts w:hAnsi="宋体"/>
                <w:color w:val="000000"/>
                <w:szCs w:val="21"/>
              </w:rPr>
              <w:t>万元科技成果转化项目</w:t>
            </w:r>
            <w:r>
              <w:rPr>
                <w:color w:val="000000"/>
                <w:szCs w:val="21"/>
              </w:rPr>
              <w:t>30</w:t>
            </w:r>
            <w:r>
              <w:rPr>
                <w:rFonts w:hAnsi="宋体"/>
                <w:color w:val="000000"/>
                <w:szCs w:val="21"/>
              </w:rPr>
              <w:t>个以上。深入实施</w:t>
            </w:r>
            <w:r>
              <w:rPr>
                <w:color w:val="000000"/>
                <w:szCs w:val="21"/>
              </w:rPr>
              <w:t>“</w:t>
            </w:r>
            <w:r>
              <w:rPr>
                <w:rFonts w:hAnsi="宋体"/>
                <w:color w:val="000000"/>
                <w:szCs w:val="21"/>
              </w:rPr>
              <w:t>揭榜挂帅</w:t>
            </w:r>
            <w:r>
              <w:rPr>
                <w:color w:val="000000"/>
                <w:szCs w:val="21"/>
              </w:rPr>
              <w:t>”</w:t>
            </w:r>
            <w:r>
              <w:rPr>
                <w:rFonts w:hAnsi="宋体"/>
                <w:color w:val="000000"/>
                <w:szCs w:val="21"/>
              </w:rPr>
              <w:t>，积极组建创新联合体，组织重大技术攻关项目</w:t>
            </w:r>
            <w:r>
              <w:rPr>
                <w:color w:val="000000"/>
                <w:szCs w:val="21"/>
              </w:rPr>
              <w:t>30</w:t>
            </w:r>
            <w:r>
              <w:rPr>
                <w:rFonts w:hAnsi="宋体"/>
                <w:color w:val="000000"/>
                <w:szCs w:val="21"/>
              </w:rPr>
              <w:t>个。</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蒋鹏举</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市科技局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8"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）成立龙城科创学院，打造</w:t>
            </w:r>
            <w:r>
              <w:rPr>
                <w:color w:val="000000"/>
                <w:szCs w:val="21"/>
              </w:rPr>
              <w:t>“</w:t>
            </w:r>
            <w:r>
              <w:rPr>
                <w:rFonts w:hAnsi="宋体"/>
                <w:color w:val="000000"/>
                <w:szCs w:val="21"/>
              </w:rPr>
              <w:t>新工科</w:t>
            </w:r>
            <w:r>
              <w:rPr>
                <w:color w:val="000000"/>
                <w:szCs w:val="21"/>
              </w:rPr>
              <w:t>”</w:t>
            </w:r>
            <w:r>
              <w:rPr>
                <w:rFonts w:hAnsi="宋体"/>
                <w:color w:val="000000"/>
                <w:szCs w:val="21"/>
              </w:rPr>
              <w:t>教育</w:t>
            </w:r>
            <w:r>
              <w:rPr>
                <w:color w:val="000000"/>
                <w:szCs w:val="21"/>
              </w:rPr>
              <w:t>2.0</w:t>
            </w:r>
            <w:r>
              <w:rPr>
                <w:rFonts w:hAnsi="宋体"/>
                <w:color w:val="000000"/>
                <w:szCs w:val="21"/>
              </w:rPr>
              <w:t>升级版。</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市科技局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中以常州创新园</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67"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）加大知识产权保护力度，高水平建设国家知识产权强市，新增发明专利授权</w:t>
            </w:r>
            <w:r>
              <w:rPr>
                <w:color w:val="000000"/>
                <w:szCs w:val="21"/>
              </w:rPr>
              <w:t>7500</w:t>
            </w:r>
            <w:r>
              <w:rPr>
                <w:rFonts w:hAnsi="宋体"/>
                <w:color w:val="000000"/>
                <w:szCs w:val="21"/>
              </w:rPr>
              <w:t>件以上。</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徐</w:t>
            </w:r>
            <w:r>
              <w:rPr>
                <w:color w:val="000000"/>
                <w:szCs w:val="21"/>
              </w:rPr>
              <w:t xml:space="preserve">  </w:t>
            </w:r>
            <w:r>
              <w:rPr>
                <w:rFonts w:hAnsi="宋体"/>
                <w:color w:val="000000"/>
                <w:szCs w:val="21"/>
              </w:rPr>
              <w:t>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市市场监管局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83"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4</w:t>
            </w:r>
            <w:r>
              <w:rPr>
                <w:rFonts w:hAnsi="宋体"/>
                <w:color w:val="000000"/>
                <w:szCs w:val="21"/>
              </w:rPr>
              <w:t>）深化国家产教融合试点城市建设，建成国家现代产业学院</w:t>
            </w:r>
            <w:r>
              <w:rPr>
                <w:color w:val="000000"/>
                <w:szCs w:val="21"/>
              </w:rPr>
              <w:t>3</w:t>
            </w:r>
            <w:r>
              <w:rPr>
                <w:rFonts w:hAnsi="宋体"/>
                <w:color w:val="000000"/>
                <w:szCs w:val="21"/>
              </w:rPr>
              <w:t>个，打造市域产教联合体</w:t>
            </w:r>
            <w:r>
              <w:rPr>
                <w:color w:val="000000"/>
                <w:szCs w:val="21"/>
              </w:rPr>
              <w:t>5</w:t>
            </w:r>
            <w:r>
              <w:rPr>
                <w:rFonts w:hAnsi="宋体"/>
                <w:color w:val="000000"/>
                <w:szCs w:val="21"/>
              </w:rPr>
              <w:t>个以上、市级行业产教融合共同体</w:t>
            </w:r>
            <w:r>
              <w:rPr>
                <w:color w:val="000000"/>
                <w:szCs w:val="21"/>
              </w:rPr>
              <w:t>10</w:t>
            </w:r>
            <w:r>
              <w:rPr>
                <w:rFonts w:hAnsi="宋体"/>
                <w:color w:val="000000"/>
                <w:szCs w:val="21"/>
              </w:rPr>
              <w:t>个左右。把常州新能源产教联合体建成全国优秀样板，现代工业中心力争入选国家级产教融合实践中心。</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潘冬铃</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市教育局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2"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9</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加快打造</w:t>
            </w:r>
          </w:p>
          <w:p>
            <w:pPr>
              <w:overflowPunct w:val="0"/>
              <w:autoSpaceDE w:val="0"/>
              <w:autoSpaceDN w:val="0"/>
              <w:adjustRightInd w:val="0"/>
              <w:snapToGrid w:val="0"/>
              <w:spacing w:line="280" w:lineRule="exact"/>
              <w:jc w:val="center"/>
              <w:rPr>
                <w:color w:val="000000"/>
                <w:szCs w:val="21"/>
              </w:rPr>
            </w:pPr>
            <w:r>
              <w:rPr>
                <w:rFonts w:hAnsi="宋体"/>
                <w:color w:val="000000"/>
                <w:szCs w:val="21"/>
              </w:rPr>
              <w:t>交通中轴</w:t>
            </w: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1</w:t>
            </w:r>
            <w:r>
              <w:rPr>
                <w:rFonts w:hAnsi="宋体"/>
                <w:color w:val="000000"/>
                <w:szCs w:val="21"/>
              </w:rPr>
              <w:t>）参与共建</w:t>
            </w:r>
            <w:r>
              <w:rPr>
                <w:color w:val="000000"/>
                <w:szCs w:val="21"/>
              </w:rPr>
              <w:t>“</w:t>
            </w:r>
            <w:r>
              <w:rPr>
                <w:rFonts w:hAnsi="宋体"/>
                <w:color w:val="000000"/>
                <w:szCs w:val="21"/>
              </w:rPr>
              <w:t>轨道上的长三角</w:t>
            </w:r>
            <w:r>
              <w:rPr>
                <w:color w:val="000000"/>
                <w:szCs w:val="21"/>
              </w:rPr>
              <w:t>”</w:t>
            </w:r>
            <w:r>
              <w:rPr>
                <w:rFonts w:hAnsi="宋体"/>
                <w:color w:val="000000"/>
                <w:szCs w:val="21"/>
              </w:rPr>
              <w:t>，开工建设淮泰常铁路先导段、盐泰锡常宜铁路、地铁</w:t>
            </w:r>
            <w:r>
              <w:rPr>
                <w:color w:val="000000"/>
                <w:szCs w:val="21"/>
              </w:rPr>
              <w:t>6</w:t>
            </w:r>
            <w:r>
              <w:rPr>
                <w:rFonts w:hAnsi="宋体"/>
                <w:color w:val="000000"/>
                <w:szCs w:val="21"/>
              </w:rPr>
              <w:t>号线一期工程，加快推进苏锡常城际铁路前期工作。</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tc>
        <w:tc>
          <w:tcPr>
            <w:tcW w:w="1993"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市交通</w:t>
            </w:r>
            <w:r>
              <w:rPr>
                <w:rFonts w:hint="eastAsia" w:hAnsi="宋体"/>
                <w:color w:val="000000"/>
                <w:szCs w:val="21"/>
              </w:rPr>
              <w:t>运输</w:t>
            </w:r>
            <w:r>
              <w:rPr>
                <w:rFonts w:hAnsi="宋体"/>
                <w:color w:val="000000"/>
                <w:szCs w:val="21"/>
              </w:rPr>
              <w:t>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2</w:t>
            </w:r>
            <w:r>
              <w:rPr>
                <w:rFonts w:hAnsi="宋体"/>
                <w:color w:val="000000"/>
                <w:szCs w:val="21"/>
              </w:rPr>
              <w:t>）织密区域快速交通网络，开工建设丹金高速、宁常高速金坛至武进段，加快推进常泰长江大桥、沪武高速扩建、锡宜高速扩建等工程，提速建设花海大道、龙江路高架北延、</w:t>
            </w:r>
            <w:r>
              <w:rPr>
                <w:color w:val="000000"/>
                <w:szCs w:val="21"/>
              </w:rPr>
              <w:t>312</w:t>
            </w:r>
            <w:r>
              <w:rPr>
                <w:rFonts w:hAnsi="宋体"/>
                <w:color w:val="000000"/>
                <w:szCs w:val="21"/>
              </w:rPr>
              <w:t>国道、</w:t>
            </w:r>
            <w:r>
              <w:rPr>
                <w:color w:val="000000"/>
                <w:szCs w:val="21"/>
              </w:rPr>
              <w:t>232</w:t>
            </w:r>
            <w:r>
              <w:rPr>
                <w:rFonts w:hAnsi="宋体"/>
                <w:color w:val="000000"/>
                <w:szCs w:val="21"/>
              </w:rPr>
              <w:t>省道等快速路。</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3</w:t>
            </w:r>
            <w:r>
              <w:rPr>
                <w:rFonts w:hAnsi="宋体"/>
                <w:color w:val="000000"/>
                <w:szCs w:val="21"/>
              </w:rPr>
              <w:t>）打造更具特色的</w:t>
            </w:r>
            <w:r>
              <w:rPr>
                <w:color w:val="000000"/>
                <w:szCs w:val="21"/>
              </w:rPr>
              <w:t>“</w:t>
            </w:r>
            <w:r>
              <w:rPr>
                <w:rFonts w:hAnsi="宋体"/>
                <w:color w:val="000000"/>
                <w:szCs w:val="21"/>
              </w:rPr>
              <w:t>水运常州</w:t>
            </w:r>
            <w:r>
              <w:rPr>
                <w:color w:val="000000"/>
                <w:szCs w:val="21"/>
              </w:rPr>
              <w:t>”</w:t>
            </w:r>
            <w:r>
              <w:rPr>
                <w:rFonts w:hAnsi="宋体"/>
                <w:color w:val="000000"/>
                <w:szCs w:val="21"/>
              </w:rPr>
              <w:t>，畅通芜申线省际通道，开工建设德胜河航道整治、苏南运河</w:t>
            </w:r>
            <w:r>
              <w:rPr>
                <w:color w:val="000000"/>
                <w:szCs w:val="21"/>
              </w:rPr>
              <w:t>“</w:t>
            </w:r>
            <w:r>
              <w:rPr>
                <w:rFonts w:hAnsi="宋体"/>
                <w:color w:val="000000"/>
                <w:szCs w:val="21"/>
              </w:rPr>
              <w:t>三改二</w:t>
            </w:r>
            <w:r>
              <w:rPr>
                <w:color w:val="000000"/>
                <w:szCs w:val="21"/>
              </w:rPr>
              <w:t>”</w:t>
            </w:r>
            <w:r>
              <w:rPr>
                <w:rFonts w:hAnsi="宋体"/>
                <w:color w:val="000000"/>
                <w:szCs w:val="21"/>
              </w:rPr>
              <w:t>等工程。</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1"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4</w:t>
            </w:r>
            <w:r>
              <w:rPr>
                <w:rFonts w:hAnsi="宋体"/>
                <w:color w:val="000000"/>
                <w:szCs w:val="21"/>
              </w:rPr>
              <w:t>）更好实现</w:t>
            </w:r>
            <w:r>
              <w:rPr>
                <w:color w:val="000000"/>
                <w:szCs w:val="21"/>
              </w:rPr>
              <w:t>“</w:t>
            </w:r>
            <w:r>
              <w:rPr>
                <w:rFonts w:hAnsi="宋体"/>
                <w:color w:val="000000"/>
                <w:szCs w:val="21"/>
              </w:rPr>
              <w:t>物畅其流</w:t>
            </w:r>
            <w:r>
              <w:rPr>
                <w:color w:val="000000"/>
                <w:szCs w:val="21"/>
              </w:rPr>
              <w:t>”</w:t>
            </w:r>
            <w:r>
              <w:rPr>
                <w:rFonts w:hAnsi="宋体"/>
                <w:color w:val="000000"/>
                <w:szCs w:val="21"/>
              </w:rPr>
              <w:t>，加快京沪铁路常州站东货场改造提升，推动常州港圩塘港区功能提升，开展多式联运</w:t>
            </w:r>
            <w:r>
              <w:rPr>
                <w:color w:val="000000"/>
                <w:szCs w:val="21"/>
              </w:rPr>
              <w:t>“</w:t>
            </w:r>
            <w:r>
              <w:rPr>
                <w:rFonts w:hAnsi="宋体"/>
                <w:color w:val="000000"/>
                <w:szCs w:val="21"/>
              </w:rPr>
              <w:t>一单制</w:t>
            </w:r>
            <w:r>
              <w:rPr>
                <w:color w:val="000000"/>
                <w:szCs w:val="21"/>
              </w:rPr>
              <w:t>”“</w:t>
            </w:r>
            <w:r>
              <w:rPr>
                <w:rFonts w:hAnsi="宋体"/>
                <w:color w:val="000000"/>
                <w:szCs w:val="21"/>
              </w:rPr>
              <w:t>一箱制</w:t>
            </w:r>
            <w:r>
              <w:rPr>
                <w:color w:val="000000"/>
                <w:szCs w:val="21"/>
              </w:rPr>
              <w:t>”</w:t>
            </w:r>
            <w:r>
              <w:rPr>
                <w:rFonts w:hAnsi="宋体"/>
                <w:color w:val="000000"/>
                <w:szCs w:val="21"/>
              </w:rPr>
              <w:t>试点改革，争取</w:t>
            </w:r>
            <w:r>
              <w:rPr>
                <w:color w:val="000000"/>
                <w:szCs w:val="21"/>
              </w:rPr>
              <w:t>“</w:t>
            </w:r>
            <w:r>
              <w:rPr>
                <w:rFonts w:hAnsi="宋体"/>
                <w:color w:val="000000"/>
                <w:szCs w:val="21"/>
              </w:rPr>
              <w:t>沪常通</w:t>
            </w:r>
            <w:r>
              <w:rPr>
                <w:color w:val="000000"/>
                <w:szCs w:val="21"/>
              </w:rPr>
              <w:t>”</w:t>
            </w:r>
            <w:r>
              <w:rPr>
                <w:rFonts w:hAnsi="宋体"/>
                <w:color w:val="000000"/>
                <w:szCs w:val="21"/>
              </w:rPr>
              <w:t>通关一体化。</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市发改委</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市交通</w:t>
            </w:r>
            <w:r>
              <w:rPr>
                <w:rFonts w:hint="eastAsia" w:hAnsi="宋体"/>
                <w:color w:val="000000"/>
                <w:szCs w:val="21"/>
              </w:rPr>
              <w:t>运输</w:t>
            </w:r>
            <w:r>
              <w:rPr>
                <w:rFonts w:hAnsi="宋体"/>
                <w:color w:val="000000"/>
                <w:szCs w:val="21"/>
              </w:rPr>
              <w:t>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物流集团</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35"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10</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着力畅通</w:t>
            </w:r>
          </w:p>
          <w:p>
            <w:pPr>
              <w:overflowPunct w:val="0"/>
              <w:autoSpaceDE w:val="0"/>
              <w:autoSpaceDN w:val="0"/>
              <w:adjustRightInd w:val="0"/>
              <w:snapToGrid w:val="0"/>
              <w:spacing w:line="280" w:lineRule="exact"/>
              <w:jc w:val="center"/>
              <w:rPr>
                <w:color w:val="000000"/>
                <w:szCs w:val="21"/>
              </w:rPr>
            </w:pPr>
            <w:r>
              <w:rPr>
                <w:rFonts w:hAnsi="宋体"/>
                <w:color w:val="000000"/>
                <w:szCs w:val="21"/>
              </w:rPr>
              <w:t>内外循环</w:t>
            </w: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1</w:t>
            </w:r>
            <w:r>
              <w:rPr>
                <w:rFonts w:hAnsi="宋体"/>
                <w:color w:val="000000"/>
                <w:szCs w:val="21"/>
              </w:rPr>
              <w:t>）促进外资扩增量稳存量提质量，鼓励外资企业以资本公积、未分配利润增加投资，支持跨国公司设立地区总部、功能性机构和外资研发中心。</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潘冬铃</w:t>
            </w:r>
          </w:p>
        </w:tc>
        <w:tc>
          <w:tcPr>
            <w:tcW w:w="1993"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市商务局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37"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2</w:t>
            </w:r>
            <w:r>
              <w:rPr>
                <w:rFonts w:hAnsi="宋体"/>
                <w:color w:val="000000"/>
                <w:szCs w:val="21"/>
              </w:rPr>
              <w:t>）推动外贸稳规模优结构，拓展</w:t>
            </w:r>
            <w:r>
              <w:rPr>
                <w:color w:val="000000"/>
                <w:szCs w:val="21"/>
              </w:rPr>
              <w:t>“</w:t>
            </w:r>
            <w:r>
              <w:rPr>
                <w:rFonts w:hAnsi="宋体"/>
                <w:color w:val="000000"/>
                <w:szCs w:val="21"/>
              </w:rPr>
              <w:t>一带一路</w:t>
            </w:r>
            <w:r>
              <w:rPr>
                <w:color w:val="000000"/>
                <w:szCs w:val="21"/>
              </w:rPr>
              <w:t>”</w:t>
            </w:r>
            <w:r>
              <w:rPr>
                <w:rFonts w:hAnsi="宋体"/>
                <w:color w:val="000000"/>
                <w:szCs w:val="21"/>
              </w:rPr>
              <w:t>、</w:t>
            </w:r>
            <w:r>
              <w:rPr>
                <w:color w:val="000000"/>
                <w:szCs w:val="21"/>
              </w:rPr>
              <w:t>RCEP</w:t>
            </w:r>
            <w:r>
              <w:rPr>
                <w:rFonts w:hAnsi="宋体"/>
                <w:color w:val="000000"/>
                <w:szCs w:val="21"/>
              </w:rPr>
              <w:t>等多元市场，实施跨境电商发展三年行动计划，支持</w:t>
            </w:r>
            <w:r>
              <w:rPr>
                <w:color w:val="000000"/>
                <w:szCs w:val="21"/>
              </w:rPr>
              <w:t>“</w:t>
            </w:r>
            <w:r>
              <w:rPr>
                <w:rFonts w:hAnsi="宋体"/>
                <w:color w:val="000000"/>
                <w:szCs w:val="21"/>
              </w:rPr>
              <w:t>新三样</w:t>
            </w:r>
            <w:r>
              <w:rPr>
                <w:color w:val="000000"/>
                <w:szCs w:val="21"/>
              </w:rPr>
              <w:t>”</w:t>
            </w:r>
            <w:r>
              <w:rPr>
                <w:rFonts w:hAnsi="宋体"/>
                <w:color w:val="000000"/>
                <w:szCs w:val="21"/>
              </w:rPr>
              <w:t>产品稳健出海、常州奔牛机场增加国际航班，积极推进内外贸一体化改革国家试点，争创中国服务外包示范城市、国家级新能源外贸转型升级基地。</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15"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3</w:t>
            </w:r>
            <w:r>
              <w:rPr>
                <w:rFonts w:hAnsi="宋体"/>
                <w:color w:val="000000"/>
                <w:szCs w:val="21"/>
              </w:rPr>
              <w:t>）持续开展龙城嗨购节系列主题消费活动，大力引进首店首牌、首发首秀，通过引导置换升级、加大信贷支持等措施提振汽车、家居等大宗消费，打造区域性消费中心。</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4</w:t>
            </w:r>
            <w:r>
              <w:rPr>
                <w:rFonts w:hAnsi="宋体"/>
                <w:color w:val="000000"/>
                <w:szCs w:val="21"/>
              </w:rPr>
              <w:t>）加快推进凌家塘原址改造、邹区灯具城和夏溪花木市场转型升级。</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436"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钟楼区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武进区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11</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持续深化</w:t>
            </w:r>
          </w:p>
          <w:p>
            <w:pPr>
              <w:overflowPunct w:val="0"/>
              <w:autoSpaceDE w:val="0"/>
              <w:autoSpaceDN w:val="0"/>
              <w:adjustRightInd w:val="0"/>
              <w:snapToGrid w:val="0"/>
              <w:spacing w:line="280" w:lineRule="exact"/>
              <w:jc w:val="center"/>
              <w:rPr>
                <w:color w:val="000000"/>
                <w:szCs w:val="21"/>
              </w:rPr>
            </w:pPr>
            <w:r>
              <w:rPr>
                <w:rFonts w:hAnsi="宋体"/>
                <w:color w:val="000000"/>
                <w:szCs w:val="21"/>
              </w:rPr>
              <w:t>区域合作</w:t>
            </w: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1</w:t>
            </w:r>
            <w:r>
              <w:rPr>
                <w:rFonts w:hAnsi="宋体"/>
                <w:color w:val="000000"/>
                <w:szCs w:val="21"/>
              </w:rPr>
              <w:t>）认真落实长三角一体化发展等国家重大区域战略，积极融入上海大都市圈。加强苏锡常协同发展，深化苏皖合作示范区建设，做好东西部协作和对口支援工作，不断深化与盐城的南北结对帮扶合作。</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市发改委</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2</w:t>
            </w:r>
            <w:r>
              <w:rPr>
                <w:rFonts w:hAnsi="宋体"/>
                <w:color w:val="000000"/>
                <w:szCs w:val="21"/>
              </w:rPr>
              <w:t>）加快布局科创飞地、离岸创新中心。参与沿沪宁产业创新带、长三角科创共同体建设。</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蒋鹏举</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市科技局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517"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12</w:t>
            </w:r>
          </w:p>
        </w:tc>
        <w:tc>
          <w:tcPr>
            <w:tcW w:w="1329"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提升现代化城市品质</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）加快完善提升</w:t>
            </w:r>
            <w:r>
              <w:rPr>
                <w:color w:val="000000"/>
                <w:szCs w:val="21"/>
              </w:rPr>
              <w:t>“</w:t>
            </w:r>
            <w:r>
              <w:rPr>
                <w:rFonts w:hAnsi="宋体"/>
                <w:color w:val="000000"/>
                <w:szCs w:val="21"/>
              </w:rPr>
              <w:t>两湖</w:t>
            </w:r>
            <w:r>
              <w:rPr>
                <w:color w:val="000000"/>
                <w:szCs w:val="21"/>
              </w:rPr>
              <w:t>”</w:t>
            </w:r>
            <w:r>
              <w:rPr>
                <w:rFonts w:hAnsi="宋体"/>
                <w:color w:val="000000"/>
                <w:szCs w:val="21"/>
              </w:rPr>
              <w:t>创新区核心区规划，有序推进南医大常州校区、苏澳大厦、江南银行总部大楼等重点项目，布局会展中心、文体中心、购物中心。持续推进高铁新城建设，开工建设第二工人文化宫，推动金融商务、区域总部等项目落地。</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夏思军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市发改委</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w:t>
            </w:r>
            <w:r>
              <w:rPr>
                <w:rFonts w:hint="eastAsia" w:hAnsi="宋体"/>
                <w:color w:val="000000"/>
                <w:szCs w:val="21"/>
              </w:rPr>
              <w:t>资源规划</w:t>
            </w:r>
            <w:r>
              <w:rPr>
                <w:rFonts w:hAnsi="宋体"/>
                <w:color w:val="000000"/>
                <w:szCs w:val="21"/>
              </w:rPr>
              <w:t>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市总工会</w:t>
            </w:r>
          </w:p>
          <w:p>
            <w:pPr>
              <w:overflowPunct w:val="0"/>
              <w:autoSpaceDE w:val="0"/>
              <w:autoSpaceDN w:val="0"/>
              <w:adjustRightInd w:val="0"/>
              <w:snapToGrid w:val="0"/>
              <w:spacing w:line="280" w:lineRule="exact"/>
              <w:jc w:val="center"/>
              <w:rPr>
                <w:color w:val="000000"/>
                <w:szCs w:val="21"/>
              </w:rPr>
            </w:pPr>
            <w:r>
              <w:rPr>
                <w:rFonts w:hAnsi="宋体"/>
                <w:color w:val="000000"/>
                <w:szCs w:val="21"/>
              </w:rPr>
              <w:t>武进区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新北区</w:t>
            </w:r>
          </w:p>
        </w:tc>
        <w:tc>
          <w:tcPr>
            <w:tcW w:w="1436"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1"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）加快城市更新步伐，加强保障性住房规划建设，实施城中村改造项目</w:t>
            </w:r>
            <w:r>
              <w:rPr>
                <w:color w:val="000000"/>
                <w:szCs w:val="21"/>
              </w:rPr>
              <w:t>9</w:t>
            </w:r>
            <w:r>
              <w:rPr>
                <w:rFonts w:hAnsi="宋体"/>
                <w:color w:val="000000"/>
                <w:szCs w:val="21"/>
              </w:rPr>
              <w:t>个、城镇老旧小区改造</w:t>
            </w:r>
            <w:r>
              <w:rPr>
                <w:color w:val="000000"/>
                <w:szCs w:val="21"/>
              </w:rPr>
              <w:t>36</w:t>
            </w:r>
            <w:r>
              <w:rPr>
                <w:rFonts w:hAnsi="宋体"/>
                <w:color w:val="000000"/>
                <w:szCs w:val="21"/>
              </w:rPr>
              <w:t>个，既有住宅加装电梯</w:t>
            </w:r>
            <w:r>
              <w:rPr>
                <w:color w:val="000000"/>
                <w:szCs w:val="21"/>
              </w:rPr>
              <w:t>180</w:t>
            </w:r>
            <w:r>
              <w:rPr>
                <w:rFonts w:hAnsi="宋体"/>
                <w:color w:val="000000"/>
                <w:szCs w:val="21"/>
              </w:rPr>
              <w:t>部。</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市住建局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68"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）打造高品质城市容貌空间，新改扩建公园绿地</w:t>
            </w:r>
            <w:r>
              <w:rPr>
                <w:color w:val="000000"/>
                <w:szCs w:val="21"/>
              </w:rPr>
              <w:t>70</w:t>
            </w:r>
            <w:r>
              <w:rPr>
                <w:rFonts w:hAnsi="宋体"/>
                <w:color w:val="000000"/>
                <w:szCs w:val="21"/>
              </w:rPr>
              <w:t>公顷，建设口袋公园</w:t>
            </w:r>
            <w:r>
              <w:rPr>
                <w:color w:val="000000"/>
                <w:szCs w:val="21"/>
              </w:rPr>
              <w:t>28</w:t>
            </w:r>
            <w:r>
              <w:rPr>
                <w:rFonts w:hAnsi="宋体"/>
                <w:color w:val="000000"/>
                <w:szCs w:val="21"/>
              </w:rPr>
              <w:t>个、绿化景观路</w:t>
            </w:r>
            <w:r>
              <w:rPr>
                <w:color w:val="000000"/>
                <w:szCs w:val="21"/>
              </w:rPr>
              <w:t>21</w:t>
            </w:r>
            <w:r>
              <w:rPr>
                <w:rFonts w:hAnsi="宋体"/>
                <w:color w:val="000000"/>
                <w:szCs w:val="21"/>
              </w:rPr>
              <w:t>条、美丽街区</w:t>
            </w:r>
            <w:r>
              <w:rPr>
                <w:color w:val="000000"/>
                <w:szCs w:val="21"/>
              </w:rPr>
              <w:t>14</w:t>
            </w:r>
            <w:r>
              <w:rPr>
                <w:rFonts w:hAnsi="宋体"/>
                <w:color w:val="000000"/>
                <w:szCs w:val="21"/>
              </w:rPr>
              <w:t>个。有序推进生活垃圾分类，新建垃圾分类达标小区</w:t>
            </w:r>
            <w:r>
              <w:rPr>
                <w:color w:val="000000"/>
                <w:szCs w:val="21"/>
              </w:rPr>
              <w:t>237</w:t>
            </w:r>
            <w:r>
              <w:rPr>
                <w:rFonts w:hAnsi="宋体"/>
                <w:color w:val="000000"/>
                <w:szCs w:val="21"/>
              </w:rPr>
              <w:t>个。争创省城市管理示范市。</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市城管局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6"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4</w:t>
            </w:r>
            <w:r>
              <w:rPr>
                <w:rFonts w:hAnsi="宋体"/>
                <w:color w:val="000000"/>
                <w:szCs w:val="21"/>
              </w:rPr>
              <w:t>）新增公共停车泊位</w:t>
            </w:r>
            <w:r>
              <w:rPr>
                <w:color w:val="000000"/>
                <w:szCs w:val="21"/>
              </w:rPr>
              <w:t>1</w:t>
            </w:r>
            <w:r>
              <w:rPr>
                <w:rFonts w:hAnsi="宋体"/>
                <w:color w:val="000000"/>
                <w:szCs w:val="21"/>
              </w:rPr>
              <w:t>万个以上，推动党政机关、企事业单位停车场向公众开放。</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市城管局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市机关事务管理局</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306"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13</w:t>
            </w:r>
          </w:p>
        </w:tc>
        <w:tc>
          <w:tcPr>
            <w:tcW w:w="1329"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建设新时代鱼米之乡</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）畅通城乡双向流通渠道，保障粮食和重要农产品稳定安全供给，新建改造提升高标准农田</w:t>
            </w:r>
            <w:r>
              <w:rPr>
                <w:color w:val="000000"/>
                <w:szCs w:val="21"/>
              </w:rPr>
              <w:t>8</w:t>
            </w:r>
            <w:r>
              <w:rPr>
                <w:rFonts w:hAnsi="宋体"/>
                <w:color w:val="000000"/>
                <w:szCs w:val="21"/>
              </w:rPr>
              <w:t>万亩以上，确保粮食种植面积稳定在</w:t>
            </w:r>
            <w:r>
              <w:rPr>
                <w:color w:val="000000"/>
                <w:szCs w:val="21"/>
              </w:rPr>
              <w:t>144</w:t>
            </w:r>
            <w:r>
              <w:rPr>
                <w:rFonts w:hAnsi="宋体"/>
                <w:color w:val="000000"/>
                <w:szCs w:val="21"/>
              </w:rPr>
              <w:t>万亩以上、总产量</w:t>
            </w:r>
            <w:r>
              <w:rPr>
                <w:color w:val="000000"/>
                <w:szCs w:val="21"/>
              </w:rPr>
              <w:t>14</w:t>
            </w:r>
            <w:r>
              <w:rPr>
                <w:rFonts w:hAnsi="宋体"/>
                <w:color w:val="000000"/>
                <w:szCs w:val="21"/>
              </w:rPr>
              <w:t>亿斤以上。推动农村一二三产融合发展，加强</w:t>
            </w:r>
            <w:r>
              <w:rPr>
                <w:color w:val="000000"/>
                <w:szCs w:val="21"/>
              </w:rPr>
              <w:t>“</w:t>
            </w:r>
            <w:r>
              <w:rPr>
                <w:rFonts w:hAnsi="宋体"/>
                <w:color w:val="000000"/>
                <w:szCs w:val="21"/>
              </w:rPr>
              <w:t>新农人</w:t>
            </w:r>
            <w:r>
              <w:rPr>
                <w:color w:val="000000"/>
                <w:szCs w:val="21"/>
              </w:rPr>
              <w:t>”</w:t>
            </w:r>
            <w:r>
              <w:rPr>
                <w:rFonts w:hAnsi="宋体"/>
                <w:color w:val="000000"/>
                <w:szCs w:val="21"/>
              </w:rPr>
              <w:t>队伍建设，培育总产值</w:t>
            </w:r>
            <w:r>
              <w:rPr>
                <w:color w:val="000000"/>
                <w:szCs w:val="21"/>
              </w:rPr>
              <w:t>10</w:t>
            </w:r>
            <w:r>
              <w:rPr>
                <w:rFonts w:hAnsi="宋体"/>
                <w:color w:val="000000"/>
                <w:szCs w:val="21"/>
              </w:rPr>
              <w:t>亿元以上特色农业产业</w:t>
            </w:r>
            <w:r>
              <w:rPr>
                <w:color w:val="000000"/>
                <w:szCs w:val="21"/>
              </w:rPr>
              <w:t>7</w:t>
            </w:r>
            <w:r>
              <w:rPr>
                <w:rFonts w:hAnsi="宋体"/>
                <w:color w:val="000000"/>
                <w:szCs w:val="21"/>
              </w:rPr>
              <w:t>个。</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tc>
        <w:tc>
          <w:tcPr>
            <w:tcW w:w="1993"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市农业农村局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）深入实施</w:t>
            </w:r>
            <w:r>
              <w:rPr>
                <w:color w:val="000000"/>
                <w:szCs w:val="21"/>
              </w:rPr>
              <w:t>“</w:t>
            </w:r>
            <w:r>
              <w:rPr>
                <w:rFonts w:hAnsi="宋体"/>
                <w:color w:val="000000"/>
                <w:szCs w:val="21"/>
              </w:rPr>
              <w:t>双百</w:t>
            </w:r>
            <w:r>
              <w:rPr>
                <w:color w:val="000000"/>
                <w:szCs w:val="21"/>
              </w:rPr>
              <w:t>”</w:t>
            </w:r>
            <w:r>
              <w:rPr>
                <w:rFonts w:hAnsi="宋体"/>
                <w:color w:val="000000"/>
                <w:szCs w:val="21"/>
              </w:rPr>
              <w:t>行动计划和农民收入十年倍增计划，新增经营性收入</w:t>
            </w:r>
            <w:r>
              <w:rPr>
                <w:color w:val="000000"/>
                <w:szCs w:val="21"/>
              </w:rPr>
              <w:t>500</w:t>
            </w:r>
            <w:r>
              <w:rPr>
                <w:rFonts w:hAnsi="宋体"/>
                <w:color w:val="000000"/>
                <w:szCs w:val="21"/>
              </w:rPr>
              <w:t>万元以上村</w:t>
            </w:r>
            <w:r>
              <w:rPr>
                <w:color w:val="000000"/>
                <w:szCs w:val="21"/>
              </w:rPr>
              <w:t>31</w:t>
            </w:r>
            <w:r>
              <w:rPr>
                <w:rFonts w:hAnsi="宋体"/>
                <w:color w:val="000000"/>
                <w:szCs w:val="21"/>
              </w:rPr>
              <w:t>个，全市农村居民人均可支配收入力争突破</w:t>
            </w:r>
            <w:r>
              <w:rPr>
                <w:color w:val="000000"/>
                <w:szCs w:val="21"/>
              </w:rPr>
              <w:t>4.3</w:t>
            </w:r>
            <w:r>
              <w:rPr>
                <w:rFonts w:hAnsi="宋体"/>
                <w:color w:val="000000"/>
                <w:szCs w:val="21"/>
              </w:rPr>
              <w:t>万元。</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7"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）大力实施美丽乡村</w:t>
            </w:r>
            <w:r>
              <w:rPr>
                <w:color w:val="000000"/>
                <w:szCs w:val="21"/>
              </w:rPr>
              <w:t>“</w:t>
            </w:r>
            <w:r>
              <w:rPr>
                <w:rFonts w:hAnsi="宋体"/>
                <w:color w:val="000000"/>
                <w:szCs w:val="21"/>
              </w:rPr>
              <w:t>十百千</w:t>
            </w:r>
            <w:r>
              <w:rPr>
                <w:color w:val="000000"/>
                <w:szCs w:val="21"/>
              </w:rPr>
              <w:t>”</w:t>
            </w:r>
            <w:r>
              <w:rPr>
                <w:rFonts w:hAnsi="宋体"/>
                <w:color w:val="000000"/>
                <w:szCs w:val="21"/>
              </w:rPr>
              <w:t>工程，加快推进</w:t>
            </w:r>
            <w:r>
              <w:rPr>
                <w:color w:val="000000"/>
                <w:szCs w:val="21"/>
              </w:rPr>
              <w:t>11</w:t>
            </w:r>
            <w:r>
              <w:rPr>
                <w:rFonts w:hAnsi="宋体"/>
                <w:color w:val="000000"/>
                <w:szCs w:val="21"/>
              </w:rPr>
              <w:t>个乡村片区整治更新，建成宜居宜业和美乡村</w:t>
            </w:r>
            <w:r>
              <w:rPr>
                <w:color w:val="000000"/>
                <w:szCs w:val="21"/>
              </w:rPr>
              <w:t>50</w:t>
            </w:r>
            <w:r>
              <w:rPr>
                <w:rFonts w:hAnsi="宋体"/>
                <w:color w:val="000000"/>
                <w:szCs w:val="21"/>
              </w:rPr>
              <w:t>个以上，全面提升乡风文明水平。</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44"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4</w:t>
            </w:r>
            <w:r>
              <w:rPr>
                <w:rFonts w:hAnsi="宋体"/>
                <w:color w:val="000000"/>
                <w:szCs w:val="21"/>
              </w:rPr>
              <w:t>）完成农村住房条件改善</w:t>
            </w:r>
            <w:r>
              <w:rPr>
                <w:color w:val="000000"/>
                <w:szCs w:val="21"/>
              </w:rPr>
              <w:t>1.5</w:t>
            </w:r>
            <w:r>
              <w:rPr>
                <w:rFonts w:hAnsi="宋体"/>
                <w:color w:val="000000"/>
                <w:szCs w:val="21"/>
              </w:rPr>
              <w:t>万户。</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市住建局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w:t>
            </w:r>
            <w:r>
              <w:rPr>
                <w:rFonts w:hint="eastAsia" w:hAnsi="宋体"/>
                <w:color w:val="000000"/>
                <w:szCs w:val="21"/>
              </w:rPr>
              <w:t>资源规划</w:t>
            </w:r>
            <w:r>
              <w:rPr>
                <w:rFonts w:hAnsi="宋体"/>
                <w:color w:val="000000"/>
                <w:szCs w:val="21"/>
              </w:rPr>
              <w:t>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市农业农村局</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05"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14</w:t>
            </w:r>
          </w:p>
        </w:tc>
        <w:tc>
          <w:tcPr>
            <w:tcW w:w="1329"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推动文商旅深度融合</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加强文旅跨周期布局，建成季子文化展示中心、亚细亚现代影视城改扩建、文化宫片区改造（二期）、塔寺园一体化改造等项目，统筹推进大运河文化带和长江国家文化公园常州段建设，加快打造大观楼和止园、东方侏罗纪等传承历史、面向未来的城市地标。</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p>
            <w:pPr>
              <w:overflowPunct w:val="0"/>
              <w:autoSpaceDE w:val="0"/>
              <w:autoSpaceDN w:val="0"/>
              <w:adjustRightInd w:val="0"/>
              <w:snapToGrid w:val="0"/>
              <w:spacing w:line="280" w:lineRule="exact"/>
              <w:jc w:val="center"/>
              <w:rPr>
                <w:color w:val="000000"/>
                <w:szCs w:val="21"/>
              </w:rPr>
            </w:pPr>
            <w:r>
              <w:rPr>
                <w:rFonts w:hAnsi="宋体"/>
                <w:color w:val="000000"/>
                <w:szCs w:val="21"/>
              </w:rPr>
              <w:t>蒋鹏举</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市文广旅局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市住建局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晋陵公司</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319"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促进景区、街区、度假区、商圈良性互动，推进大青果片区文商旅一体化运营、茅山旅游度假区争创国家级，加快培育环球恐龙城、天目湖等世界级旅游景区，积极筹办太湖湾音乐节、江南美食节等活动，打造高品质、高体验感的文旅消费目的地。</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蒋鹏举</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市文广旅局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515"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15</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精准发力</w:t>
            </w:r>
          </w:p>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推进太湖</w:t>
            </w:r>
          </w:p>
          <w:p>
            <w:pPr>
              <w:overflowPunct w:val="0"/>
              <w:autoSpaceDE w:val="0"/>
              <w:autoSpaceDN w:val="0"/>
              <w:adjustRightInd w:val="0"/>
              <w:snapToGrid w:val="0"/>
              <w:spacing w:line="280" w:lineRule="exact"/>
              <w:jc w:val="center"/>
              <w:rPr>
                <w:color w:val="000000"/>
                <w:szCs w:val="21"/>
              </w:rPr>
            </w:pPr>
            <w:r>
              <w:rPr>
                <w:rFonts w:hAnsi="宋体"/>
                <w:color w:val="000000"/>
                <w:szCs w:val="21"/>
              </w:rPr>
              <w:t>治理</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）全面深化太湖综合治理</w:t>
            </w:r>
            <w:r>
              <w:rPr>
                <w:color w:val="000000"/>
                <w:szCs w:val="21"/>
              </w:rPr>
              <w:t>“1+8”</w:t>
            </w:r>
            <w:r>
              <w:rPr>
                <w:rFonts w:hAnsi="宋体"/>
                <w:color w:val="000000"/>
                <w:szCs w:val="21"/>
              </w:rPr>
              <w:t>行动，实施</w:t>
            </w:r>
            <w:r>
              <w:rPr>
                <w:color w:val="000000"/>
                <w:szCs w:val="21"/>
              </w:rPr>
              <w:t>220</w:t>
            </w:r>
            <w:r>
              <w:rPr>
                <w:rFonts w:hAnsi="宋体"/>
                <w:color w:val="000000"/>
                <w:szCs w:val="21"/>
              </w:rPr>
              <w:t>项以上重点工程项目，竺山湖、滆湖分别实施清淤</w:t>
            </w:r>
            <w:r>
              <w:rPr>
                <w:color w:val="000000"/>
                <w:szCs w:val="21"/>
              </w:rPr>
              <w:t>200</w:t>
            </w:r>
            <w:r>
              <w:rPr>
                <w:rFonts w:hAnsi="宋体"/>
                <w:color w:val="000000"/>
                <w:szCs w:val="21"/>
              </w:rPr>
              <w:t>万方、</w:t>
            </w:r>
            <w:r>
              <w:rPr>
                <w:color w:val="000000"/>
                <w:szCs w:val="21"/>
              </w:rPr>
              <w:t>500</w:t>
            </w:r>
            <w:r>
              <w:rPr>
                <w:rFonts w:hAnsi="宋体"/>
                <w:color w:val="000000"/>
                <w:szCs w:val="21"/>
              </w:rPr>
              <w:t>万方。实施河流水质提升专项行动，全面开展溯源排查，推进污水排放控制区建设，优化河长履职评价体系、河道治理</w:t>
            </w:r>
            <w:r>
              <w:rPr>
                <w:color w:val="000000"/>
                <w:szCs w:val="21"/>
              </w:rPr>
              <w:t>“</w:t>
            </w:r>
            <w:r>
              <w:rPr>
                <w:rFonts w:hAnsi="宋体"/>
                <w:color w:val="000000"/>
                <w:szCs w:val="21"/>
              </w:rPr>
              <w:t>红黑榜</w:t>
            </w:r>
            <w:r>
              <w:rPr>
                <w:color w:val="000000"/>
                <w:szCs w:val="21"/>
              </w:rPr>
              <w:t>”</w:t>
            </w:r>
            <w:r>
              <w:rPr>
                <w:rFonts w:hAnsi="宋体"/>
                <w:color w:val="000000"/>
                <w:szCs w:val="21"/>
              </w:rPr>
              <w:t>制度，推动骨干河流一级支浜全面消劣、国省考断面优</w:t>
            </w:r>
            <w:r>
              <w:rPr>
                <w:rFonts w:ascii="宋体" w:hAnsi="宋体"/>
                <w:color w:val="000000"/>
                <w:szCs w:val="21"/>
              </w:rPr>
              <w:t>Ⅱ</w:t>
            </w:r>
            <w:r>
              <w:rPr>
                <w:rFonts w:hAnsi="宋体"/>
                <w:color w:val="000000"/>
                <w:szCs w:val="21"/>
              </w:rPr>
              <w:t>比例达</w:t>
            </w:r>
            <w:r>
              <w:rPr>
                <w:color w:val="000000"/>
                <w:szCs w:val="21"/>
              </w:rPr>
              <w:t>40%</w:t>
            </w:r>
            <w:r>
              <w:rPr>
                <w:rFonts w:hAnsi="宋体"/>
                <w:color w:val="000000"/>
                <w:szCs w:val="21"/>
              </w:rPr>
              <w:t>以上，实现更高水平</w:t>
            </w:r>
            <w:r>
              <w:rPr>
                <w:color w:val="000000"/>
                <w:szCs w:val="21"/>
              </w:rPr>
              <w:t>“</w:t>
            </w:r>
            <w:r>
              <w:rPr>
                <w:rFonts w:hAnsi="宋体"/>
                <w:color w:val="000000"/>
                <w:szCs w:val="21"/>
              </w:rPr>
              <w:t>两保两提</w:t>
            </w:r>
            <w:r>
              <w:rPr>
                <w:color w:val="000000"/>
                <w:szCs w:val="21"/>
              </w:rPr>
              <w:t>”</w:t>
            </w:r>
            <w:r>
              <w:rPr>
                <w:rFonts w:hAnsi="宋体"/>
                <w:color w:val="000000"/>
                <w:szCs w:val="21"/>
              </w:rPr>
              <w:t>。</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p>
            <w:pPr>
              <w:overflowPunct w:val="0"/>
              <w:autoSpaceDE w:val="0"/>
              <w:autoSpaceDN w:val="0"/>
              <w:adjustRightInd w:val="0"/>
              <w:snapToGrid w:val="0"/>
              <w:spacing w:line="280" w:lineRule="exact"/>
              <w:jc w:val="center"/>
              <w:rPr>
                <w:color w:val="000000"/>
                <w:szCs w:val="21"/>
              </w:rPr>
            </w:pPr>
            <w:r>
              <w:rPr>
                <w:rFonts w:hAnsi="宋体"/>
                <w:color w:val="000000"/>
                <w:szCs w:val="21"/>
              </w:rPr>
              <w:t>夏思军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市生态环境局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市水利局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49"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）城市生活污水收集处理率达</w:t>
            </w:r>
            <w:r>
              <w:rPr>
                <w:color w:val="000000"/>
                <w:szCs w:val="21"/>
              </w:rPr>
              <w:t>85%</w:t>
            </w:r>
            <w:r>
              <w:rPr>
                <w:rFonts w:hAnsi="宋体"/>
                <w:color w:val="000000"/>
                <w:szCs w:val="21"/>
              </w:rPr>
              <w:t>以上，农村生活污水治理率提升至</w:t>
            </w:r>
            <w:r>
              <w:rPr>
                <w:color w:val="000000"/>
                <w:szCs w:val="21"/>
              </w:rPr>
              <w:t>90%</w:t>
            </w:r>
            <w:r>
              <w:rPr>
                <w:rFonts w:hAnsi="宋体"/>
                <w:color w:val="000000"/>
                <w:szCs w:val="21"/>
              </w:rPr>
              <w:t>。</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p>
            <w:pPr>
              <w:overflowPunct w:val="0"/>
              <w:autoSpaceDE w:val="0"/>
              <w:autoSpaceDN w:val="0"/>
              <w:adjustRightInd w:val="0"/>
              <w:snapToGrid w:val="0"/>
              <w:spacing w:line="280" w:lineRule="exact"/>
              <w:jc w:val="center"/>
              <w:rPr>
                <w:color w:val="000000"/>
                <w:szCs w:val="21"/>
              </w:rPr>
            </w:pPr>
            <w:r>
              <w:rPr>
                <w:rFonts w:hAnsi="宋体"/>
                <w:color w:val="000000"/>
                <w:szCs w:val="21"/>
              </w:rPr>
              <w:t>夏思军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市住建局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市生态环境局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33"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16</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不遗余力</w:t>
            </w:r>
          </w:p>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攻坚污染</w:t>
            </w:r>
          </w:p>
          <w:p>
            <w:pPr>
              <w:overflowPunct w:val="0"/>
              <w:autoSpaceDE w:val="0"/>
              <w:autoSpaceDN w:val="0"/>
              <w:adjustRightInd w:val="0"/>
              <w:snapToGrid w:val="0"/>
              <w:spacing w:line="280" w:lineRule="exact"/>
              <w:jc w:val="center"/>
              <w:rPr>
                <w:color w:val="000000"/>
                <w:szCs w:val="21"/>
              </w:rPr>
            </w:pPr>
            <w:r>
              <w:rPr>
                <w:rFonts w:hAnsi="宋体"/>
                <w:color w:val="000000"/>
                <w:szCs w:val="21"/>
              </w:rPr>
              <w:t>防治</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）高质量完成中央和省生态环保督察反馈问题、省政府挂牌督办项目以及长江经济带生态环境警示片披露问题整改销号工作。</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夏思军</w:t>
            </w:r>
          </w:p>
        </w:tc>
        <w:tc>
          <w:tcPr>
            <w:tcW w:w="1993"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市生态环境局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）加快建设环太湖有机废弃物示范区。</w:t>
            </w:r>
          </w:p>
        </w:tc>
        <w:tc>
          <w:tcPr>
            <w:tcW w:w="1218"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993"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76"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）持续深入打好蓝天保卫战，大力推动氮氧化物和挥发性有机物减排，强化城市保洁及扬尘污染精细化治理。</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p>
            <w:pPr>
              <w:overflowPunct w:val="0"/>
              <w:autoSpaceDE w:val="0"/>
              <w:autoSpaceDN w:val="0"/>
              <w:adjustRightInd w:val="0"/>
              <w:snapToGrid w:val="0"/>
              <w:spacing w:line="280" w:lineRule="exact"/>
              <w:jc w:val="center"/>
              <w:rPr>
                <w:color w:val="000000"/>
                <w:szCs w:val="21"/>
              </w:rPr>
            </w:pPr>
            <w:r>
              <w:rPr>
                <w:rFonts w:hAnsi="宋体"/>
                <w:color w:val="000000"/>
                <w:szCs w:val="21"/>
              </w:rPr>
              <w:t>夏思军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市生态环境局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市城管局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4</w:t>
            </w:r>
            <w:r>
              <w:rPr>
                <w:rFonts w:hAnsi="宋体"/>
                <w:color w:val="000000"/>
                <w:szCs w:val="21"/>
              </w:rPr>
              <w:t>）加强农业面源污染防治，建立全过程土壤污染风险防控体系。</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市农业农村局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市生态环境局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37"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17</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持续用力</w:t>
            </w:r>
          </w:p>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建设生态</w:t>
            </w:r>
          </w:p>
          <w:p>
            <w:pPr>
              <w:overflowPunct w:val="0"/>
              <w:autoSpaceDE w:val="0"/>
              <w:autoSpaceDN w:val="0"/>
              <w:adjustRightInd w:val="0"/>
              <w:snapToGrid w:val="0"/>
              <w:spacing w:line="280" w:lineRule="exact"/>
              <w:jc w:val="center"/>
              <w:rPr>
                <w:color w:val="000000"/>
                <w:szCs w:val="21"/>
              </w:rPr>
            </w:pPr>
            <w:r>
              <w:rPr>
                <w:rFonts w:hAnsi="宋体"/>
                <w:color w:val="000000"/>
                <w:szCs w:val="21"/>
              </w:rPr>
              <w:t>绿城</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）坚持山水林田湖草综合治理，推进国土空间全域综合整治、历史遗留废弃矿山生态修复、损毁土地复垦、重点地区生态整治。</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w:t>
            </w:r>
            <w:r>
              <w:rPr>
                <w:rFonts w:hint="eastAsia" w:hAnsi="宋体"/>
                <w:color w:val="000000"/>
                <w:szCs w:val="21"/>
              </w:rPr>
              <w:t>资源规划</w:t>
            </w:r>
            <w:r>
              <w:rPr>
                <w:rFonts w:hAnsi="宋体"/>
                <w:color w:val="000000"/>
                <w:szCs w:val="21"/>
              </w:rPr>
              <w:t>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37"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）建设溧阳天目湖湖畔生态岛试验区，建成</w:t>
            </w:r>
            <w:r>
              <w:rPr>
                <w:color w:val="000000"/>
                <w:szCs w:val="21"/>
              </w:rPr>
              <w:t>2—3</w:t>
            </w:r>
            <w:r>
              <w:rPr>
                <w:rFonts w:hAnsi="宋体"/>
                <w:color w:val="000000"/>
                <w:szCs w:val="21"/>
              </w:rPr>
              <w:t>个生态安全缓冲区，不断优化生物多样性保护空间格局。</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夏思军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市生态环境局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）推动溧阳、金坛长荡湖国家湿地公园融合发展。</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w:t>
            </w:r>
            <w:r>
              <w:rPr>
                <w:rFonts w:hint="eastAsia" w:hAnsi="宋体"/>
                <w:color w:val="000000"/>
                <w:szCs w:val="21"/>
              </w:rPr>
              <w:t>资源规划</w:t>
            </w:r>
            <w:r>
              <w:rPr>
                <w:rFonts w:hAnsi="宋体"/>
                <w:color w:val="000000"/>
                <w:szCs w:val="21"/>
              </w:rPr>
              <w:t>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溧阳市</w:t>
            </w:r>
          </w:p>
          <w:p>
            <w:pPr>
              <w:overflowPunct w:val="0"/>
              <w:autoSpaceDE w:val="0"/>
              <w:autoSpaceDN w:val="0"/>
              <w:adjustRightInd w:val="0"/>
              <w:snapToGrid w:val="0"/>
              <w:spacing w:line="280" w:lineRule="exact"/>
              <w:jc w:val="center"/>
              <w:rPr>
                <w:color w:val="000000"/>
                <w:szCs w:val="21"/>
              </w:rPr>
            </w:pPr>
            <w:r>
              <w:rPr>
                <w:rFonts w:hAnsi="宋体"/>
                <w:color w:val="000000"/>
                <w:szCs w:val="21"/>
              </w:rPr>
              <w:t>金坛区</w:t>
            </w:r>
          </w:p>
        </w:tc>
        <w:tc>
          <w:tcPr>
            <w:tcW w:w="1436"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4</w:t>
            </w:r>
            <w:r>
              <w:rPr>
                <w:rFonts w:hAnsi="宋体"/>
                <w:color w:val="000000"/>
                <w:szCs w:val="21"/>
              </w:rPr>
              <w:t>）深入推进生态产品价值实现机制省级试点，支持各板块创建国家级生态文明示范区、</w:t>
            </w:r>
            <w:r>
              <w:rPr>
                <w:color w:val="000000"/>
                <w:szCs w:val="21"/>
              </w:rPr>
              <w:t>“</w:t>
            </w:r>
            <w:r>
              <w:rPr>
                <w:rFonts w:hAnsi="宋体"/>
                <w:color w:val="000000"/>
                <w:szCs w:val="21"/>
              </w:rPr>
              <w:t>两山</w:t>
            </w:r>
            <w:r>
              <w:rPr>
                <w:color w:val="000000"/>
                <w:szCs w:val="21"/>
              </w:rPr>
              <w:t>”</w:t>
            </w:r>
            <w:r>
              <w:rPr>
                <w:rFonts w:hAnsi="宋体"/>
                <w:color w:val="000000"/>
                <w:szCs w:val="21"/>
              </w:rPr>
              <w:t>实践创新基地。</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夏思军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市发改委</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市生态环境局</w:t>
            </w:r>
          </w:p>
        </w:tc>
        <w:tc>
          <w:tcPr>
            <w:tcW w:w="1436"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99"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18</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保持定力</w:t>
            </w:r>
          </w:p>
          <w:p>
            <w:pPr>
              <w:overflowPunct w:val="0"/>
              <w:autoSpaceDE w:val="0"/>
              <w:autoSpaceDN w:val="0"/>
              <w:adjustRightInd w:val="0"/>
              <w:snapToGrid w:val="0"/>
              <w:spacing w:line="280" w:lineRule="exact"/>
              <w:jc w:val="center"/>
              <w:rPr>
                <w:color w:val="000000"/>
                <w:szCs w:val="21"/>
              </w:rPr>
            </w:pPr>
            <w:r>
              <w:rPr>
                <w:rFonts w:hAnsi="宋体"/>
                <w:color w:val="000000"/>
                <w:szCs w:val="21"/>
              </w:rPr>
              <w:t>实施</w:t>
            </w:r>
            <w:r>
              <w:rPr>
                <w:color w:val="000000"/>
                <w:szCs w:val="21"/>
              </w:rPr>
              <w:t>“</w:t>
            </w:r>
            <w:r>
              <w:rPr>
                <w:rFonts w:hAnsi="宋体"/>
                <w:color w:val="000000"/>
                <w:szCs w:val="21"/>
              </w:rPr>
              <w:t>双碳</w:t>
            </w:r>
            <w:r>
              <w:rPr>
                <w:color w:val="000000"/>
                <w:szCs w:val="21"/>
              </w:rPr>
              <w:t>”</w:t>
            </w:r>
            <w:r>
              <w:rPr>
                <w:rFonts w:hAnsi="宋体"/>
                <w:color w:val="000000"/>
                <w:szCs w:val="21"/>
              </w:rPr>
              <w:t>战略</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）纵深推进</w:t>
            </w:r>
            <w:r>
              <w:rPr>
                <w:color w:val="000000"/>
                <w:szCs w:val="21"/>
              </w:rPr>
              <w:t>“</w:t>
            </w:r>
            <w:r>
              <w:rPr>
                <w:rFonts w:hAnsi="宋体"/>
                <w:color w:val="000000"/>
                <w:szCs w:val="21"/>
              </w:rPr>
              <w:t>危污乱散低</w:t>
            </w:r>
            <w:r>
              <w:rPr>
                <w:color w:val="000000"/>
                <w:szCs w:val="21"/>
              </w:rPr>
              <w:t>”</w:t>
            </w:r>
            <w:r>
              <w:rPr>
                <w:rFonts w:hAnsi="宋体"/>
                <w:color w:val="000000"/>
                <w:szCs w:val="21"/>
              </w:rPr>
              <w:t>综合治理，加快实施</w:t>
            </w:r>
            <w:r>
              <w:rPr>
                <w:color w:val="000000"/>
                <w:szCs w:val="21"/>
              </w:rPr>
              <w:t>10</w:t>
            </w:r>
            <w:r>
              <w:rPr>
                <w:rFonts w:hAnsi="宋体"/>
                <w:color w:val="000000"/>
                <w:szCs w:val="21"/>
              </w:rPr>
              <w:t>个绿色集聚区项目和</w:t>
            </w:r>
            <w:r>
              <w:rPr>
                <w:color w:val="000000"/>
                <w:szCs w:val="21"/>
              </w:rPr>
              <w:t>58</w:t>
            </w:r>
            <w:r>
              <w:rPr>
                <w:rFonts w:hAnsi="宋体"/>
                <w:color w:val="000000"/>
                <w:szCs w:val="21"/>
              </w:rPr>
              <w:t>个产业升级、园区更新项目，腾退盘活土地</w:t>
            </w:r>
            <w:r>
              <w:rPr>
                <w:color w:val="000000"/>
                <w:szCs w:val="21"/>
              </w:rPr>
              <w:t>2.3</w:t>
            </w:r>
            <w:r>
              <w:rPr>
                <w:rFonts w:hAnsi="宋体"/>
                <w:color w:val="000000"/>
                <w:szCs w:val="21"/>
              </w:rPr>
              <w:t>万亩，打造</w:t>
            </w:r>
            <w:r>
              <w:rPr>
                <w:color w:val="000000"/>
                <w:szCs w:val="21"/>
              </w:rPr>
              <w:t>“</w:t>
            </w:r>
            <w:r>
              <w:rPr>
                <w:rFonts w:hAnsi="宋体"/>
                <w:color w:val="000000"/>
                <w:szCs w:val="21"/>
              </w:rPr>
              <w:t>资源优配增效、空间优化重塑</w:t>
            </w:r>
            <w:r>
              <w:rPr>
                <w:color w:val="000000"/>
                <w:szCs w:val="21"/>
              </w:rPr>
              <w:t>”</w:t>
            </w:r>
            <w:r>
              <w:rPr>
                <w:rFonts w:hAnsi="宋体"/>
                <w:color w:val="000000"/>
                <w:szCs w:val="21"/>
              </w:rPr>
              <w:t>的常州样本。</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夏思军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市生态环境局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50"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）加快近零碳工厂、近零碳园区建设，研究解决绿色用电溯源问题，组织重点企业开展产品碳排放对标和碳足迹认证，争创国家碳达峰试点城市。</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市发改委</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42"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19</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推动就业</w:t>
            </w:r>
          </w:p>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创业更加</w:t>
            </w:r>
          </w:p>
          <w:p>
            <w:pPr>
              <w:overflowPunct w:val="0"/>
              <w:autoSpaceDE w:val="0"/>
              <w:autoSpaceDN w:val="0"/>
              <w:adjustRightInd w:val="0"/>
              <w:snapToGrid w:val="0"/>
              <w:spacing w:line="280" w:lineRule="exact"/>
              <w:jc w:val="center"/>
              <w:rPr>
                <w:color w:val="000000"/>
                <w:szCs w:val="21"/>
              </w:rPr>
            </w:pPr>
            <w:r>
              <w:rPr>
                <w:rFonts w:hAnsi="宋体"/>
                <w:color w:val="000000"/>
                <w:szCs w:val="21"/>
              </w:rPr>
              <w:t>灵活多元</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）坚持减负、稳岗、扩就业并举，积极拓宽市场化社会化就业新空间，抓好高校毕业生、农民工、退役军人、残疾人等重点群体就业帮扶，城镇新增就业</w:t>
            </w:r>
            <w:r>
              <w:rPr>
                <w:color w:val="000000"/>
                <w:szCs w:val="21"/>
              </w:rPr>
              <w:t>10</w:t>
            </w:r>
            <w:r>
              <w:rPr>
                <w:rFonts w:hAnsi="宋体"/>
                <w:color w:val="000000"/>
                <w:szCs w:val="21"/>
              </w:rPr>
              <w:t>万人左右，支持大学生创业</w:t>
            </w:r>
            <w:r>
              <w:rPr>
                <w:color w:val="000000"/>
                <w:szCs w:val="21"/>
              </w:rPr>
              <w:t>1500</w:t>
            </w:r>
            <w:r>
              <w:rPr>
                <w:rFonts w:hAnsi="宋体"/>
                <w:color w:val="000000"/>
                <w:szCs w:val="21"/>
              </w:rPr>
              <w:t>人以上。</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夏思军</w:t>
            </w:r>
          </w:p>
        </w:tc>
        <w:tc>
          <w:tcPr>
            <w:tcW w:w="1993"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市人社局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31"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）全面推进规范化零工市场建设，持续开展新时代和谐劳动关系创建活动，加强灵活就业和新就业形态劳动者权益保障。</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14"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）完善各类人才就业创业支撑体系，举办</w:t>
            </w:r>
            <w:r>
              <w:rPr>
                <w:color w:val="000000"/>
                <w:szCs w:val="21"/>
              </w:rPr>
              <w:t>“</w:t>
            </w:r>
            <w:r>
              <w:rPr>
                <w:rFonts w:hAnsi="宋体"/>
                <w:color w:val="000000"/>
                <w:szCs w:val="21"/>
              </w:rPr>
              <w:t>创响江苏</w:t>
            </w:r>
            <w:r>
              <w:rPr>
                <w:color w:val="000000"/>
                <w:szCs w:val="21"/>
              </w:rPr>
              <w:t>·</w:t>
            </w:r>
            <w:r>
              <w:rPr>
                <w:rFonts w:hAnsi="宋体"/>
                <w:color w:val="000000"/>
                <w:szCs w:val="21"/>
              </w:rPr>
              <w:t>春风行动</w:t>
            </w:r>
            <w:r>
              <w:rPr>
                <w:color w:val="000000"/>
                <w:szCs w:val="21"/>
              </w:rPr>
              <w:t>”“</w:t>
            </w:r>
            <w:r>
              <w:rPr>
                <w:rFonts w:hAnsi="宋体"/>
                <w:color w:val="000000"/>
                <w:szCs w:val="21"/>
              </w:rPr>
              <w:t>高校毕业生就业服务</w:t>
            </w:r>
            <w:r>
              <w:rPr>
                <w:color w:val="000000"/>
                <w:szCs w:val="21"/>
              </w:rPr>
              <w:t>”</w:t>
            </w:r>
            <w:r>
              <w:rPr>
                <w:rFonts w:hAnsi="宋体"/>
                <w:color w:val="000000"/>
                <w:szCs w:val="21"/>
              </w:rPr>
              <w:t>等主题活动，持续为在常高校、职业院校毕业生发放住房公积金缴存补贴，开展各类职业技能培训</w:t>
            </w:r>
            <w:r>
              <w:rPr>
                <w:color w:val="000000"/>
                <w:szCs w:val="21"/>
              </w:rPr>
              <w:t>5</w:t>
            </w:r>
            <w:r>
              <w:rPr>
                <w:rFonts w:hAnsi="宋体"/>
                <w:color w:val="000000"/>
                <w:szCs w:val="21"/>
              </w:rPr>
              <w:t>万人次以上。</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p>
            <w:pPr>
              <w:overflowPunct w:val="0"/>
              <w:autoSpaceDE w:val="0"/>
              <w:autoSpaceDN w:val="0"/>
              <w:adjustRightInd w:val="0"/>
              <w:snapToGrid w:val="0"/>
              <w:spacing w:line="280" w:lineRule="exact"/>
              <w:jc w:val="center"/>
              <w:rPr>
                <w:color w:val="000000"/>
                <w:szCs w:val="21"/>
              </w:rPr>
            </w:pPr>
            <w:r>
              <w:rPr>
                <w:rFonts w:hAnsi="宋体"/>
                <w:color w:val="000000"/>
                <w:szCs w:val="21"/>
              </w:rPr>
              <w:t>夏思军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市人社局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市公积金中心</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906" w:type="dxa"/>
            <w:vMerge w:val="restart"/>
            <w:noWrap w:val="0"/>
            <w:vAlign w:val="center"/>
          </w:tcPr>
          <w:p>
            <w:pPr>
              <w:overflowPunct w:val="0"/>
              <w:autoSpaceDE w:val="0"/>
              <w:autoSpaceDN w:val="0"/>
              <w:adjustRightInd w:val="0"/>
              <w:snapToGrid w:val="0"/>
              <w:spacing w:line="260" w:lineRule="exact"/>
              <w:jc w:val="center"/>
              <w:rPr>
                <w:color w:val="000000"/>
                <w:szCs w:val="21"/>
              </w:rPr>
            </w:pPr>
            <w:r>
              <w:rPr>
                <w:color w:val="000000"/>
                <w:szCs w:val="21"/>
              </w:rPr>
              <w:t>20</w:t>
            </w:r>
          </w:p>
        </w:tc>
        <w:tc>
          <w:tcPr>
            <w:tcW w:w="1329" w:type="dxa"/>
            <w:vMerge w:val="restart"/>
            <w:noWrap w:val="0"/>
            <w:vAlign w:val="center"/>
          </w:tcPr>
          <w:p>
            <w:pPr>
              <w:overflowPunct w:val="0"/>
              <w:autoSpaceDE w:val="0"/>
              <w:autoSpaceDN w:val="0"/>
              <w:adjustRightInd w:val="0"/>
              <w:snapToGrid w:val="0"/>
              <w:spacing w:line="260" w:lineRule="exact"/>
              <w:jc w:val="center"/>
              <w:rPr>
                <w:rFonts w:hint="eastAsia" w:hAnsi="宋体"/>
                <w:color w:val="000000"/>
                <w:szCs w:val="21"/>
              </w:rPr>
            </w:pPr>
            <w:r>
              <w:rPr>
                <w:rFonts w:hAnsi="宋体"/>
                <w:color w:val="000000"/>
                <w:szCs w:val="21"/>
              </w:rPr>
              <w:t>推动社会</w:t>
            </w:r>
          </w:p>
          <w:p>
            <w:pPr>
              <w:overflowPunct w:val="0"/>
              <w:autoSpaceDE w:val="0"/>
              <w:autoSpaceDN w:val="0"/>
              <w:adjustRightInd w:val="0"/>
              <w:snapToGrid w:val="0"/>
              <w:spacing w:line="260" w:lineRule="exact"/>
              <w:jc w:val="center"/>
              <w:rPr>
                <w:rFonts w:hint="eastAsia" w:hAnsi="宋体"/>
                <w:color w:val="000000"/>
                <w:szCs w:val="21"/>
              </w:rPr>
            </w:pPr>
            <w:r>
              <w:rPr>
                <w:rFonts w:hAnsi="宋体"/>
                <w:color w:val="000000"/>
                <w:szCs w:val="21"/>
              </w:rPr>
              <w:t>保障更加</w:t>
            </w:r>
          </w:p>
          <w:p>
            <w:pPr>
              <w:overflowPunct w:val="0"/>
              <w:autoSpaceDE w:val="0"/>
              <w:autoSpaceDN w:val="0"/>
              <w:adjustRightInd w:val="0"/>
              <w:snapToGrid w:val="0"/>
              <w:spacing w:line="260" w:lineRule="exact"/>
              <w:jc w:val="center"/>
              <w:rPr>
                <w:color w:val="000000"/>
                <w:szCs w:val="21"/>
              </w:rPr>
            </w:pPr>
            <w:r>
              <w:rPr>
                <w:rFonts w:hAnsi="宋体"/>
                <w:color w:val="000000"/>
                <w:szCs w:val="21"/>
              </w:rPr>
              <w:t>公平持续</w:t>
            </w: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1</w:t>
            </w:r>
            <w:r>
              <w:rPr>
                <w:rFonts w:hAnsi="宋体"/>
                <w:color w:val="000000"/>
                <w:szCs w:val="21"/>
              </w:rPr>
              <w:t>）积极开展城乡居民基本养老保险集体补助工作，稳步提升社保覆盖人群、待遇水平和服务质量。</w:t>
            </w:r>
          </w:p>
        </w:tc>
        <w:tc>
          <w:tcPr>
            <w:tcW w:w="1218" w:type="dxa"/>
            <w:vMerge w:val="restart"/>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夏思军</w:t>
            </w:r>
          </w:p>
        </w:tc>
        <w:tc>
          <w:tcPr>
            <w:tcW w:w="1993" w:type="dxa"/>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市人社局</w:t>
            </w:r>
          </w:p>
        </w:tc>
        <w:tc>
          <w:tcPr>
            <w:tcW w:w="1436" w:type="dxa"/>
            <w:vMerge w:val="restart"/>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6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6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906" w:type="dxa"/>
            <w:vMerge w:val="continue"/>
            <w:noWrap w:val="0"/>
            <w:vAlign w:val="center"/>
          </w:tcPr>
          <w:p>
            <w:pPr>
              <w:overflowPunct w:val="0"/>
              <w:autoSpaceDE w:val="0"/>
              <w:autoSpaceDN w:val="0"/>
              <w:adjustRightInd w:val="0"/>
              <w:snapToGrid w:val="0"/>
              <w:spacing w:line="26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60" w:lineRule="exact"/>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2</w:t>
            </w:r>
            <w:r>
              <w:rPr>
                <w:rFonts w:hAnsi="宋体"/>
                <w:color w:val="000000"/>
                <w:szCs w:val="21"/>
              </w:rPr>
              <w:t>）大力发展居家社区养老服务，完善</w:t>
            </w:r>
            <w:r>
              <w:rPr>
                <w:color w:val="000000"/>
                <w:szCs w:val="21"/>
              </w:rPr>
              <w:t>80</w:t>
            </w:r>
            <w:r>
              <w:rPr>
                <w:rFonts w:hAnsi="宋体"/>
                <w:color w:val="000000"/>
                <w:szCs w:val="21"/>
              </w:rPr>
              <w:t>周岁以上老年人综合服务体系，新增老年助餐点</w:t>
            </w:r>
            <w:r>
              <w:rPr>
                <w:color w:val="000000"/>
                <w:szCs w:val="21"/>
              </w:rPr>
              <w:t>83</w:t>
            </w:r>
            <w:r>
              <w:rPr>
                <w:rFonts w:hAnsi="宋体"/>
                <w:color w:val="000000"/>
                <w:szCs w:val="21"/>
              </w:rPr>
              <w:t>家，为</w:t>
            </w:r>
            <w:r>
              <w:rPr>
                <w:color w:val="000000"/>
                <w:szCs w:val="21"/>
              </w:rPr>
              <w:t>1</w:t>
            </w:r>
            <w:r>
              <w:rPr>
                <w:rFonts w:hAnsi="宋体"/>
                <w:color w:val="000000"/>
                <w:szCs w:val="21"/>
              </w:rPr>
              <w:t>万户老年人家庭提供适老化改造补贴。</w:t>
            </w:r>
          </w:p>
        </w:tc>
        <w:tc>
          <w:tcPr>
            <w:tcW w:w="1218"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c>
          <w:tcPr>
            <w:tcW w:w="1993" w:type="dxa"/>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市民政局</w:t>
            </w:r>
          </w:p>
        </w:tc>
        <w:tc>
          <w:tcPr>
            <w:tcW w:w="1436" w:type="dxa"/>
            <w:vMerge w:val="continue"/>
            <w:noWrap w:val="0"/>
            <w:vAlign w:val="center"/>
          </w:tcPr>
          <w:p>
            <w:pPr>
              <w:overflowPunct w:val="0"/>
              <w:autoSpaceDE w:val="0"/>
              <w:autoSpaceDN w:val="0"/>
              <w:adjustRightInd w:val="0"/>
              <w:snapToGrid w:val="0"/>
              <w:spacing w:line="26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906"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3</w:t>
            </w:r>
            <w:r>
              <w:rPr>
                <w:rFonts w:hAnsi="宋体"/>
                <w:color w:val="000000"/>
                <w:szCs w:val="21"/>
              </w:rPr>
              <w:t>）健全分层分类社会救助体系，强化基本医疗保险、大病保险、医疗救助综合保障，持续推进社会救助扩围增效。</w:t>
            </w:r>
          </w:p>
        </w:tc>
        <w:tc>
          <w:tcPr>
            <w:tcW w:w="1218" w:type="dxa"/>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夏思军</w:t>
            </w:r>
          </w:p>
          <w:p>
            <w:pPr>
              <w:overflowPunct w:val="0"/>
              <w:autoSpaceDE w:val="0"/>
              <w:autoSpaceDN w:val="0"/>
              <w:adjustRightInd w:val="0"/>
              <w:snapToGrid w:val="0"/>
              <w:spacing w:line="260" w:lineRule="exact"/>
              <w:jc w:val="center"/>
              <w:rPr>
                <w:color w:val="000000"/>
                <w:szCs w:val="21"/>
              </w:rPr>
            </w:pPr>
            <w:r>
              <w:rPr>
                <w:rFonts w:hAnsi="宋体"/>
                <w:color w:val="000000"/>
                <w:szCs w:val="21"/>
              </w:rPr>
              <w:t>潘冬铃</w:t>
            </w:r>
          </w:p>
        </w:tc>
        <w:tc>
          <w:tcPr>
            <w:tcW w:w="1993" w:type="dxa"/>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市民政局</w:t>
            </w:r>
          </w:p>
          <w:p>
            <w:pPr>
              <w:overflowPunct w:val="0"/>
              <w:autoSpaceDE w:val="0"/>
              <w:autoSpaceDN w:val="0"/>
              <w:adjustRightInd w:val="0"/>
              <w:snapToGrid w:val="0"/>
              <w:spacing w:line="260" w:lineRule="exact"/>
              <w:jc w:val="center"/>
              <w:rPr>
                <w:color w:val="000000"/>
                <w:szCs w:val="21"/>
              </w:rPr>
            </w:pPr>
            <w:r>
              <w:rPr>
                <w:rFonts w:hAnsi="宋体"/>
                <w:color w:val="000000"/>
                <w:szCs w:val="21"/>
              </w:rPr>
              <w:t>市医保局</w:t>
            </w:r>
          </w:p>
        </w:tc>
        <w:tc>
          <w:tcPr>
            <w:tcW w:w="1436"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906"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4</w:t>
            </w:r>
            <w:r>
              <w:rPr>
                <w:rFonts w:hAnsi="宋体"/>
                <w:color w:val="000000"/>
                <w:szCs w:val="21"/>
              </w:rPr>
              <w:t>）统筹推进幼儿园托幼一体化、普惠托育机构建设、家庭科学育儿指导，促进托育服务资源增量提质、结构持续优化。</w:t>
            </w:r>
          </w:p>
        </w:tc>
        <w:tc>
          <w:tcPr>
            <w:tcW w:w="1218" w:type="dxa"/>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潘冬铃</w:t>
            </w:r>
          </w:p>
        </w:tc>
        <w:tc>
          <w:tcPr>
            <w:tcW w:w="1993" w:type="dxa"/>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市卫健委</w:t>
            </w:r>
          </w:p>
          <w:p>
            <w:pPr>
              <w:overflowPunct w:val="0"/>
              <w:autoSpaceDE w:val="0"/>
              <w:autoSpaceDN w:val="0"/>
              <w:adjustRightInd w:val="0"/>
              <w:snapToGrid w:val="0"/>
              <w:spacing w:line="260" w:lineRule="exact"/>
              <w:jc w:val="center"/>
              <w:rPr>
                <w:color w:val="000000"/>
                <w:szCs w:val="21"/>
              </w:rPr>
            </w:pPr>
            <w:r>
              <w:rPr>
                <w:rFonts w:hAnsi="宋体"/>
                <w:color w:val="000000"/>
                <w:szCs w:val="21"/>
              </w:rPr>
              <w:t>市教育局</w:t>
            </w:r>
          </w:p>
        </w:tc>
        <w:tc>
          <w:tcPr>
            <w:tcW w:w="1436"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87" w:hRule="atLeast"/>
          <w:jc w:val="center"/>
        </w:trPr>
        <w:tc>
          <w:tcPr>
            <w:tcW w:w="906"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5</w:t>
            </w:r>
            <w:r>
              <w:rPr>
                <w:rFonts w:hAnsi="宋体"/>
                <w:color w:val="000000"/>
                <w:szCs w:val="21"/>
              </w:rPr>
              <w:t>）大力发展慈善事业，保障好妇女、儿童、残疾人、特殊困难群体等合法权益。</w:t>
            </w:r>
          </w:p>
        </w:tc>
        <w:tc>
          <w:tcPr>
            <w:tcW w:w="1218" w:type="dxa"/>
            <w:vMerge w:val="restart"/>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夏思军</w:t>
            </w:r>
          </w:p>
        </w:tc>
        <w:tc>
          <w:tcPr>
            <w:tcW w:w="1993" w:type="dxa"/>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市民政局</w:t>
            </w:r>
          </w:p>
          <w:p>
            <w:pPr>
              <w:overflowPunct w:val="0"/>
              <w:autoSpaceDE w:val="0"/>
              <w:autoSpaceDN w:val="0"/>
              <w:adjustRightInd w:val="0"/>
              <w:snapToGrid w:val="0"/>
              <w:spacing w:line="260" w:lineRule="exact"/>
              <w:jc w:val="center"/>
              <w:rPr>
                <w:color w:val="000000"/>
                <w:szCs w:val="21"/>
              </w:rPr>
            </w:pPr>
            <w:r>
              <w:rPr>
                <w:rFonts w:hAnsi="宋体"/>
                <w:color w:val="000000"/>
                <w:szCs w:val="21"/>
              </w:rPr>
              <w:t>市妇联</w:t>
            </w:r>
          </w:p>
          <w:p>
            <w:pPr>
              <w:overflowPunct w:val="0"/>
              <w:autoSpaceDE w:val="0"/>
              <w:autoSpaceDN w:val="0"/>
              <w:adjustRightInd w:val="0"/>
              <w:snapToGrid w:val="0"/>
              <w:spacing w:line="260" w:lineRule="exact"/>
              <w:jc w:val="center"/>
              <w:rPr>
                <w:color w:val="000000"/>
                <w:szCs w:val="21"/>
              </w:rPr>
            </w:pPr>
            <w:r>
              <w:rPr>
                <w:rFonts w:hAnsi="宋体"/>
                <w:color w:val="000000"/>
                <w:szCs w:val="21"/>
              </w:rPr>
              <w:t>市残联</w:t>
            </w:r>
          </w:p>
          <w:p>
            <w:pPr>
              <w:overflowPunct w:val="0"/>
              <w:autoSpaceDE w:val="0"/>
              <w:autoSpaceDN w:val="0"/>
              <w:adjustRightInd w:val="0"/>
              <w:snapToGrid w:val="0"/>
              <w:spacing w:line="260" w:lineRule="exact"/>
              <w:jc w:val="center"/>
              <w:rPr>
                <w:color w:val="000000"/>
                <w:szCs w:val="21"/>
              </w:rPr>
            </w:pPr>
            <w:r>
              <w:rPr>
                <w:rFonts w:hAnsi="宋体"/>
                <w:color w:val="000000"/>
                <w:szCs w:val="21"/>
              </w:rPr>
              <w:t>市慈善总会</w:t>
            </w:r>
          </w:p>
        </w:tc>
        <w:tc>
          <w:tcPr>
            <w:tcW w:w="1436"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continue"/>
            <w:noWrap w:val="0"/>
            <w:vAlign w:val="center"/>
          </w:tcPr>
          <w:p>
            <w:pPr>
              <w:overflowPunct w:val="0"/>
              <w:autoSpaceDE w:val="0"/>
              <w:autoSpaceDN w:val="0"/>
              <w:adjustRightInd w:val="0"/>
              <w:snapToGrid w:val="0"/>
              <w:spacing w:line="26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60" w:lineRule="exact"/>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6</w:t>
            </w:r>
            <w:r>
              <w:rPr>
                <w:rFonts w:hAnsi="宋体"/>
                <w:color w:val="000000"/>
                <w:szCs w:val="21"/>
              </w:rPr>
              <w:t>）争创全国双拥模范城</w:t>
            </w:r>
            <w:r>
              <w:rPr>
                <w:color w:val="000000"/>
                <w:szCs w:val="21"/>
              </w:rPr>
              <w:t>“</w:t>
            </w:r>
            <w:r>
              <w:rPr>
                <w:rFonts w:hAnsi="宋体"/>
                <w:color w:val="000000"/>
                <w:szCs w:val="21"/>
              </w:rPr>
              <w:t>八连冠</w:t>
            </w:r>
            <w:r>
              <w:rPr>
                <w:color w:val="000000"/>
                <w:szCs w:val="21"/>
              </w:rPr>
              <w:t>”</w:t>
            </w:r>
            <w:r>
              <w:rPr>
                <w:rFonts w:hAnsi="宋体"/>
                <w:color w:val="000000"/>
                <w:szCs w:val="21"/>
              </w:rPr>
              <w:t>。</w:t>
            </w:r>
          </w:p>
        </w:tc>
        <w:tc>
          <w:tcPr>
            <w:tcW w:w="1218"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c>
          <w:tcPr>
            <w:tcW w:w="1993" w:type="dxa"/>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市退役军人事务局</w:t>
            </w:r>
          </w:p>
        </w:tc>
        <w:tc>
          <w:tcPr>
            <w:tcW w:w="1436" w:type="dxa"/>
            <w:vMerge w:val="continue"/>
            <w:noWrap w:val="0"/>
            <w:vAlign w:val="center"/>
          </w:tcPr>
          <w:p>
            <w:pPr>
              <w:overflowPunct w:val="0"/>
              <w:autoSpaceDE w:val="0"/>
              <w:autoSpaceDN w:val="0"/>
              <w:adjustRightInd w:val="0"/>
              <w:snapToGrid w:val="0"/>
              <w:spacing w:line="26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49" w:hRule="atLeast"/>
          <w:jc w:val="center"/>
        </w:trPr>
        <w:tc>
          <w:tcPr>
            <w:tcW w:w="906" w:type="dxa"/>
            <w:vMerge w:val="restart"/>
            <w:noWrap w:val="0"/>
            <w:vAlign w:val="center"/>
          </w:tcPr>
          <w:p>
            <w:pPr>
              <w:overflowPunct w:val="0"/>
              <w:autoSpaceDE w:val="0"/>
              <w:autoSpaceDN w:val="0"/>
              <w:adjustRightInd w:val="0"/>
              <w:snapToGrid w:val="0"/>
              <w:spacing w:line="260" w:lineRule="exact"/>
              <w:jc w:val="center"/>
              <w:rPr>
                <w:color w:val="000000"/>
                <w:szCs w:val="21"/>
              </w:rPr>
            </w:pPr>
            <w:r>
              <w:rPr>
                <w:color w:val="000000"/>
                <w:szCs w:val="21"/>
              </w:rPr>
              <w:t>21</w:t>
            </w:r>
          </w:p>
        </w:tc>
        <w:tc>
          <w:tcPr>
            <w:tcW w:w="1329" w:type="dxa"/>
            <w:vMerge w:val="restart"/>
            <w:noWrap w:val="0"/>
            <w:vAlign w:val="center"/>
          </w:tcPr>
          <w:p>
            <w:pPr>
              <w:overflowPunct w:val="0"/>
              <w:autoSpaceDE w:val="0"/>
              <w:autoSpaceDN w:val="0"/>
              <w:adjustRightInd w:val="0"/>
              <w:snapToGrid w:val="0"/>
              <w:spacing w:line="260" w:lineRule="exact"/>
              <w:jc w:val="center"/>
              <w:rPr>
                <w:rFonts w:hint="eastAsia" w:hAnsi="宋体"/>
                <w:color w:val="000000"/>
                <w:szCs w:val="21"/>
              </w:rPr>
            </w:pPr>
            <w:r>
              <w:rPr>
                <w:rFonts w:hAnsi="宋体"/>
                <w:color w:val="000000"/>
                <w:szCs w:val="21"/>
              </w:rPr>
              <w:t>推动教育</w:t>
            </w:r>
          </w:p>
          <w:p>
            <w:pPr>
              <w:overflowPunct w:val="0"/>
              <w:autoSpaceDE w:val="0"/>
              <w:autoSpaceDN w:val="0"/>
              <w:adjustRightInd w:val="0"/>
              <w:snapToGrid w:val="0"/>
              <w:spacing w:line="260" w:lineRule="exact"/>
              <w:jc w:val="center"/>
              <w:rPr>
                <w:rFonts w:hint="eastAsia" w:hAnsi="宋体"/>
                <w:color w:val="000000"/>
                <w:szCs w:val="21"/>
              </w:rPr>
            </w:pPr>
            <w:r>
              <w:rPr>
                <w:rFonts w:hAnsi="宋体"/>
                <w:color w:val="000000"/>
                <w:szCs w:val="21"/>
              </w:rPr>
              <w:t>医疗更加</w:t>
            </w:r>
          </w:p>
          <w:p>
            <w:pPr>
              <w:overflowPunct w:val="0"/>
              <w:autoSpaceDE w:val="0"/>
              <w:autoSpaceDN w:val="0"/>
              <w:adjustRightInd w:val="0"/>
              <w:snapToGrid w:val="0"/>
              <w:spacing w:line="260" w:lineRule="exact"/>
              <w:jc w:val="center"/>
              <w:rPr>
                <w:color w:val="000000"/>
                <w:szCs w:val="21"/>
              </w:rPr>
            </w:pPr>
            <w:r>
              <w:rPr>
                <w:rFonts w:hAnsi="宋体"/>
                <w:color w:val="000000"/>
                <w:szCs w:val="21"/>
              </w:rPr>
              <w:t>优质均衡</w:t>
            </w: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1</w:t>
            </w:r>
            <w:r>
              <w:rPr>
                <w:rFonts w:hAnsi="宋体"/>
                <w:color w:val="000000"/>
                <w:szCs w:val="21"/>
              </w:rPr>
              <w:t>）加大教育投入力度，新改扩建学校</w:t>
            </w:r>
            <w:r>
              <w:rPr>
                <w:color w:val="000000"/>
                <w:szCs w:val="21"/>
              </w:rPr>
              <w:t>43</w:t>
            </w:r>
            <w:r>
              <w:rPr>
                <w:rFonts w:hAnsi="宋体"/>
                <w:color w:val="000000"/>
                <w:szCs w:val="21"/>
              </w:rPr>
              <w:t>所，新增学位</w:t>
            </w:r>
            <w:r>
              <w:rPr>
                <w:color w:val="000000"/>
                <w:szCs w:val="21"/>
              </w:rPr>
              <w:t>1.13</w:t>
            </w:r>
            <w:r>
              <w:rPr>
                <w:rFonts w:hAnsi="宋体"/>
                <w:color w:val="000000"/>
                <w:szCs w:val="21"/>
              </w:rPr>
              <w:t>万个。均衡配置办学资源，开展全国义务教育优质均衡发展县（市、区）创建，扩大普通高中资源供给，办好特殊教育、终身教育和普惠性学前教育。支持在常高校和职业院校特色发展、内涵发展。</w:t>
            </w:r>
          </w:p>
        </w:tc>
        <w:tc>
          <w:tcPr>
            <w:tcW w:w="1218" w:type="dxa"/>
            <w:vMerge w:val="restart"/>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潘冬铃</w:t>
            </w:r>
          </w:p>
        </w:tc>
        <w:tc>
          <w:tcPr>
            <w:tcW w:w="1993" w:type="dxa"/>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市教育局</w:t>
            </w:r>
          </w:p>
        </w:tc>
        <w:tc>
          <w:tcPr>
            <w:tcW w:w="1436" w:type="dxa"/>
            <w:vMerge w:val="restart"/>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6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6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669" w:hRule="atLeast"/>
          <w:jc w:val="center"/>
        </w:trPr>
        <w:tc>
          <w:tcPr>
            <w:tcW w:w="906"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2</w:t>
            </w:r>
            <w:r>
              <w:rPr>
                <w:rFonts w:hAnsi="宋体"/>
                <w:color w:val="000000"/>
                <w:szCs w:val="21"/>
              </w:rPr>
              <w:t>）深入实施</w:t>
            </w:r>
            <w:r>
              <w:rPr>
                <w:color w:val="000000"/>
                <w:szCs w:val="21"/>
              </w:rPr>
              <w:t>“</w:t>
            </w:r>
            <w:r>
              <w:rPr>
                <w:rFonts w:hAnsi="宋体"/>
                <w:color w:val="000000"/>
                <w:szCs w:val="21"/>
              </w:rPr>
              <w:t>龙城强医</w:t>
            </w:r>
            <w:r>
              <w:rPr>
                <w:color w:val="000000"/>
                <w:szCs w:val="21"/>
              </w:rPr>
              <w:t>”</w:t>
            </w:r>
            <w:r>
              <w:rPr>
                <w:rFonts w:hAnsi="宋体"/>
                <w:color w:val="000000"/>
                <w:szCs w:val="21"/>
              </w:rPr>
              <w:t>工程，推进市一院高新院区、市二院延陵院区改造等项目建设，加强高水平医院和国家级临床重点专科建设，有效提升急危重症救治能力。推动更多优质医疗资源下沉，加快分级诊疗体系有效运转，不断提高基层防病治病和健康管理能力。健全院前医疗急救服务网络，建成全市统一的急救指挥调度中心，基本形成市域快速急救圈。弘扬孟河医派，促进中医药传承创新发展。</w:t>
            </w:r>
          </w:p>
        </w:tc>
        <w:tc>
          <w:tcPr>
            <w:tcW w:w="1218"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c>
          <w:tcPr>
            <w:tcW w:w="1993" w:type="dxa"/>
            <w:noWrap w:val="0"/>
            <w:vAlign w:val="center"/>
          </w:tcPr>
          <w:p>
            <w:pPr>
              <w:overflowPunct w:val="0"/>
              <w:autoSpaceDE w:val="0"/>
              <w:autoSpaceDN w:val="0"/>
              <w:adjustRightInd w:val="0"/>
              <w:snapToGrid w:val="0"/>
              <w:spacing w:line="260" w:lineRule="exact"/>
              <w:jc w:val="center"/>
              <w:rPr>
                <w:color w:val="000000"/>
                <w:szCs w:val="21"/>
              </w:rPr>
            </w:pPr>
            <w:r>
              <w:rPr>
                <w:rFonts w:hAnsi="宋体"/>
                <w:color w:val="000000"/>
                <w:szCs w:val="21"/>
              </w:rPr>
              <w:t>市卫健委</w:t>
            </w:r>
          </w:p>
        </w:tc>
        <w:tc>
          <w:tcPr>
            <w:tcW w:w="1436" w:type="dxa"/>
            <w:vMerge w:val="continue"/>
            <w:noWrap w:val="0"/>
            <w:vAlign w:val="center"/>
          </w:tcPr>
          <w:p>
            <w:pPr>
              <w:overflowPunct w:val="0"/>
              <w:autoSpaceDE w:val="0"/>
              <w:autoSpaceDN w:val="0"/>
              <w:adjustRightInd w:val="0"/>
              <w:snapToGrid w:val="0"/>
              <w:spacing w:line="26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22</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推动文体</w:t>
            </w:r>
          </w:p>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生活更加</w:t>
            </w:r>
          </w:p>
          <w:p>
            <w:pPr>
              <w:overflowPunct w:val="0"/>
              <w:autoSpaceDE w:val="0"/>
              <w:autoSpaceDN w:val="0"/>
              <w:adjustRightInd w:val="0"/>
              <w:snapToGrid w:val="0"/>
              <w:spacing w:line="280" w:lineRule="exact"/>
              <w:jc w:val="center"/>
              <w:rPr>
                <w:color w:val="000000"/>
                <w:szCs w:val="21"/>
              </w:rPr>
            </w:pPr>
            <w:r>
              <w:rPr>
                <w:rFonts w:hAnsi="宋体"/>
                <w:color w:val="000000"/>
                <w:szCs w:val="21"/>
              </w:rPr>
              <w:t>丰富便捷</w:t>
            </w: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1</w:t>
            </w:r>
            <w:r>
              <w:rPr>
                <w:rFonts w:hAnsi="宋体"/>
                <w:color w:val="000000"/>
                <w:szCs w:val="21"/>
              </w:rPr>
              <w:t>）统筹抓好焦溪古镇、寺墩遗址等重点文物保护修缮工程，启动第四次全国文物普查工作。办好中吴文化艺术节等品牌活动，推出更多具有时代感的精品力作，让常州红色文化、名人文化、工商文化、运河文化更具生机与活力。</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蒋鹏举</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市文广旅局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2</w:t>
            </w:r>
            <w:r>
              <w:rPr>
                <w:rFonts w:hAnsi="宋体"/>
                <w:color w:val="000000"/>
                <w:szCs w:val="21"/>
              </w:rPr>
              <w:t>）积极举办中国羽毛球公开赛、全域马拉松等赛事活动，以优质体育产品供给营造浓厚全民健身氛围。</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市体育局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3</w:t>
            </w:r>
            <w:r>
              <w:rPr>
                <w:rFonts w:hAnsi="宋体"/>
                <w:color w:val="000000"/>
                <w:szCs w:val="21"/>
              </w:rPr>
              <w:t>）坚持文体惠民导向，加强秋白书苑、体育公园等文体设施建设，广泛开展群众性文体活动，让群众生活多姿多彩。</w:t>
            </w:r>
          </w:p>
        </w:tc>
        <w:tc>
          <w:tcPr>
            <w:tcW w:w="1218"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市文广旅局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市体育局</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23</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提升城市</w:t>
            </w:r>
          </w:p>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安全守护</w:t>
            </w:r>
          </w:p>
          <w:p>
            <w:pPr>
              <w:overflowPunct w:val="0"/>
              <w:autoSpaceDE w:val="0"/>
              <w:autoSpaceDN w:val="0"/>
              <w:adjustRightInd w:val="0"/>
              <w:snapToGrid w:val="0"/>
              <w:spacing w:line="280" w:lineRule="exact"/>
              <w:jc w:val="center"/>
              <w:rPr>
                <w:color w:val="000000"/>
                <w:szCs w:val="21"/>
              </w:rPr>
            </w:pPr>
            <w:r>
              <w:rPr>
                <w:rFonts w:hAnsi="宋体"/>
                <w:color w:val="000000"/>
                <w:szCs w:val="21"/>
              </w:rPr>
              <w:t>能力</w:t>
            </w: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1</w:t>
            </w:r>
            <w:r>
              <w:rPr>
                <w:rFonts w:hAnsi="宋体"/>
                <w:color w:val="000000"/>
                <w:szCs w:val="21"/>
              </w:rPr>
              <w:t>）持续推进</w:t>
            </w:r>
            <w:r>
              <w:rPr>
                <w:color w:val="000000"/>
                <w:szCs w:val="21"/>
              </w:rPr>
              <w:t>“1+29”</w:t>
            </w:r>
            <w:r>
              <w:rPr>
                <w:rFonts w:hAnsi="宋体"/>
                <w:color w:val="000000"/>
                <w:szCs w:val="21"/>
              </w:rPr>
              <w:t>公共安全体系建设，扎实开展安全生产治本攻坚三年行动，聚焦危化品、消防、道路交通、城镇燃气等重点行业领域，强化重大事故隐患排查整治和动态清零，坚决防范和遏制重特大事故发生。健全防灾减灾救灾体系，提高突发公共事件处置保障能力。</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市应急管理局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2</w:t>
            </w:r>
            <w:r>
              <w:rPr>
                <w:rFonts w:hAnsi="宋体"/>
                <w:color w:val="000000"/>
                <w:szCs w:val="21"/>
              </w:rPr>
              <w:t>）推动国家食品安全示范城市创建，守护人民群众舌尖上的安全。</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徐</w:t>
            </w:r>
            <w:r>
              <w:rPr>
                <w:color w:val="000000"/>
                <w:szCs w:val="21"/>
              </w:rPr>
              <w:t xml:space="preserve">  </w:t>
            </w:r>
            <w:r>
              <w:rPr>
                <w:rFonts w:hAnsi="宋体"/>
                <w:color w:val="000000"/>
                <w:szCs w:val="21"/>
              </w:rPr>
              <w:t>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市市场监管局</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3</w:t>
            </w:r>
            <w:r>
              <w:rPr>
                <w:rFonts w:hAnsi="宋体"/>
                <w:color w:val="000000"/>
                <w:szCs w:val="21"/>
              </w:rPr>
              <w:t>）纵深推进电信网络诈骗、养老诈骗打击整治，常态化开展扫黑除恶斗争，确保全市群众安全感稳居全省第一方阵。</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于贵平</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市公安局</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24</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完善基层</w:t>
            </w:r>
          </w:p>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社会治理</w:t>
            </w:r>
          </w:p>
          <w:p>
            <w:pPr>
              <w:overflowPunct w:val="0"/>
              <w:autoSpaceDE w:val="0"/>
              <w:autoSpaceDN w:val="0"/>
              <w:adjustRightInd w:val="0"/>
              <w:snapToGrid w:val="0"/>
              <w:spacing w:line="280" w:lineRule="exact"/>
              <w:jc w:val="center"/>
              <w:rPr>
                <w:color w:val="000000"/>
                <w:szCs w:val="21"/>
              </w:rPr>
            </w:pPr>
            <w:r>
              <w:rPr>
                <w:rFonts w:hAnsi="宋体"/>
                <w:color w:val="000000"/>
                <w:szCs w:val="21"/>
              </w:rPr>
              <w:t>体系</w:t>
            </w:r>
          </w:p>
        </w:tc>
        <w:tc>
          <w:tcPr>
            <w:tcW w:w="7336" w:type="dxa"/>
            <w:noWrap w:val="0"/>
            <w:vAlign w:val="center"/>
          </w:tcPr>
          <w:p>
            <w:pPr>
              <w:overflowPunct w:val="0"/>
              <w:autoSpaceDE w:val="0"/>
              <w:autoSpaceDN w:val="0"/>
              <w:adjustRightInd w:val="0"/>
              <w:snapToGrid w:val="0"/>
              <w:spacing w:line="260" w:lineRule="exact"/>
              <w:rPr>
                <w:color w:val="000000"/>
                <w:szCs w:val="21"/>
              </w:rPr>
            </w:pPr>
            <w:r>
              <w:rPr>
                <w:rFonts w:hAnsi="宋体"/>
                <w:color w:val="000000"/>
                <w:szCs w:val="21"/>
              </w:rPr>
              <w:t>（</w:t>
            </w:r>
            <w:r>
              <w:rPr>
                <w:color w:val="000000"/>
                <w:szCs w:val="21"/>
              </w:rPr>
              <w:t>1</w:t>
            </w:r>
            <w:r>
              <w:rPr>
                <w:rFonts w:hAnsi="宋体"/>
                <w:color w:val="000000"/>
                <w:szCs w:val="21"/>
              </w:rPr>
              <w:t>）实施</w:t>
            </w:r>
            <w:r>
              <w:rPr>
                <w:color w:val="000000"/>
                <w:szCs w:val="21"/>
              </w:rPr>
              <w:t>“</w:t>
            </w:r>
            <w:r>
              <w:rPr>
                <w:rFonts w:hAnsi="宋体"/>
                <w:color w:val="000000"/>
                <w:szCs w:val="21"/>
              </w:rPr>
              <w:t>精网微格</w:t>
            </w:r>
            <w:r>
              <w:rPr>
                <w:color w:val="000000"/>
                <w:szCs w:val="21"/>
              </w:rPr>
              <w:t>”</w:t>
            </w:r>
            <w:r>
              <w:rPr>
                <w:rFonts w:hAnsi="宋体"/>
                <w:color w:val="000000"/>
                <w:szCs w:val="21"/>
              </w:rPr>
              <w:t>精准增效工程，发展壮大基层治理队伍和群防群治力量。坚持和发展新时代</w:t>
            </w:r>
            <w:r>
              <w:rPr>
                <w:color w:val="000000"/>
                <w:szCs w:val="21"/>
              </w:rPr>
              <w:t>“</w:t>
            </w:r>
            <w:r>
              <w:rPr>
                <w:rFonts w:hAnsi="宋体"/>
                <w:color w:val="000000"/>
                <w:szCs w:val="21"/>
              </w:rPr>
              <w:t>枫桥经验</w:t>
            </w:r>
            <w:r>
              <w:rPr>
                <w:color w:val="000000"/>
                <w:szCs w:val="21"/>
              </w:rPr>
              <w:t>”</w:t>
            </w:r>
            <w:r>
              <w:rPr>
                <w:rFonts w:hAnsi="宋体"/>
                <w:color w:val="000000"/>
                <w:szCs w:val="21"/>
              </w:rPr>
              <w:t>，建好矛盾纠纷多元化解</w:t>
            </w:r>
            <w:r>
              <w:rPr>
                <w:color w:val="000000"/>
                <w:szCs w:val="21"/>
              </w:rPr>
              <w:t>“</w:t>
            </w:r>
            <w:r>
              <w:rPr>
                <w:rFonts w:hAnsi="宋体"/>
                <w:color w:val="000000"/>
                <w:szCs w:val="21"/>
              </w:rPr>
              <w:t>一站式</w:t>
            </w:r>
            <w:r>
              <w:rPr>
                <w:color w:val="000000"/>
                <w:szCs w:val="21"/>
              </w:rPr>
              <w:t>”</w:t>
            </w:r>
            <w:r>
              <w:rPr>
                <w:rFonts w:hAnsi="宋体"/>
                <w:color w:val="000000"/>
                <w:szCs w:val="21"/>
              </w:rPr>
              <w:t>平台，及时把矛盾纠纷化解在萌芽状态</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于贵平</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政法委</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）提高信访工作法治化水平。</w:t>
            </w:r>
          </w:p>
        </w:tc>
        <w:tc>
          <w:tcPr>
            <w:tcW w:w="1218"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市信访局</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）提升社区综合服务设施，打造</w:t>
            </w:r>
            <w:r>
              <w:rPr>
                <w:color w:val="000000"/>
                <w:szCs w:val="21"/>
              </w:rPr>
              <w:t>“</w:t>
            </w:r>
            <w:r>
              <w:rPr>
                <w:rFonts w:hAnsi="宋体"/>
                <w:color w:val="000000"/>
                <w:szCs w:val="21"/>
              </w:rPr>
              <w:t>全科社工</w:t>
            </w:r>
            <w:r>
              <w:rPr>
                <w:color w:val="000000"/>
                <w:szCs w:val="21"/>
              </w:rPr>
              <w:t>”</w:t>
            </w:r>
            <w:r>
              <w:rPr>
                <w:rFonts w:hAnsi="宋体"/>
                <w:color w:val="000000"/>
                <w:szCs w:val="21"/>
              </w:rPr>
              <w:t>示范窗口。</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夏思军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市民政局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4</w:t>
            </w:r>
            <w:r>
              <w:rPr>
                <w:rFonts w:hAnsi="宋体"/>
                <w:color w:val="000000"/>
                <w:szCs w:val="21"/>
              </w:rPr>
              <w:t>）探索</w:t>
            </w:r>
            <w:r>
              <w:rPr>
                <w:color w:val="000000"/>
                <w:szCs w:val="21"/>
              </w:rPr>
              <w:t>“</w:t>
            </w:r>
            <w:r>
              <w:rPr>
                <w:rFonts w:hAnsi="宋体"/>
                <w:color w:val="000000"/>
                <w:szCs w:val="21"/>
              </w:rPr>
              <w:t>阳光信托制</w:t>
            </w:r>
            <w:r>
              <w:rPr>
                <w:color w:val="000000"/>
                <w:szCs w:val="21"/>
              </w:rPr>
              <w:t>”</w:t>
            </w:r>
            <w:r>
              <w:rPr>
                <w:rFonts w:hAnsi="宋体"/>
                <w:color w:val="000000"/>
                <w:szCs w:val="21"/>
              </w:rPr>
              <w:t>物业管理模式，持续推进物管会组建工作，提升小区物业管理服务水平。</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市住建局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25</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有效化解</w:t>
            </w:r>
          </w:p>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重点领域</w:t>
            </w:r>
          </w:p>
          <w:p>
            <w:pPr>
              <w:overflowPunct w:val="0"/>
              <w:autoSpaceDE w:val="0"/>
              <w:autoSpaceDN w:val="0"/>
              <w:adjustRightInd w:val="0"/>
              <w:snapToGrid w:val="0"/>
              <w:spacing w:line="280" w:lineRule="exact"/>
              <w:jc w:val="center"/>
              <w:rPr>
                <w:color w:val="000000"/>
                <w:szCs w:val="21"/>
              </w:rPr>
            </w:pPr>
            <w:r>
              <w:rPr>
                <w:rFonts w:hAnsi="宋体"/>
                <w:color w:val="000000"/>
                <w:szCs w:val="21"/>
              </w:rPr>
              <w:t>风险</w:t>
            </w:r>
          </w:p>
        </w:tc>
        <w:tc>
          <w:tcPr>
            <w:tcW w:w="7336" w:type="dxa"/>
            <w:noWrap w:val="0"/>
            <w:vAlign w:val="center"/>
          </w:tcPr>
          <w:p>
            <w:pPr>
              <w:overflowPunct w:val="0"/>
              <w:autoSpaceDE w:val="0"/>
              <w:autoSpaceDN w:val="0"/>
              <w:adjustRightInd w:val="0"/>
              <w:snapToGrid w:val="0"/>
              <w:spacing w:line="280" w:lineRule="exact"/>
              <w:jc w:val="left"/>
              <w:rPr>
                <w:color w:val="000000"/>
                <w:szCs w:val="21"/>
              </w:rPr>
            </w:pPr>
            <w:r>
              <w:rPr>
                <w:rFonts w:hAnsi="宋体"/>
                <w:color w:val="000000"/>
                <w:szCs w:val="21"/>
              </w:rPr>
              <w:t>（</w:t>
            </w:r>
            <w:r>
              <w:rPr>
                <w:color w:val="000000"/>
                <w:szCs w:val="21"/>
              </w:rPr>
              <w:t>1</w:t>
            </w:r>
            <w:r>
              <w:rPr>
                <w:rFonts w:hAnsi="宋体"/>
                <w:color w:val="000000"/>
                <w:szCs w:val="21"/>
              </w:rPr>
              <w:t>）提高金融监管效能，严厉打击非法金融活动。</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徐</w:t>
            </w:r>
            <w:r>
              <w:rPr>
                <w:color w:val="000000"/>
                <w:szCs w:val="21"/>
              </w:rPr>
              <w:t xml:space="preserve">  </w:t>
            </w:r>
            <w:r>
              <w:rPr>
                <w:rFonts w:hAnsi="宋体"/>
                <w:color w:val="000000"/>
                <w:szCs w:val="21"/>
              </w:rPr>
              <w:t>军</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市金融监管局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）持续做好</w:t>
            </w:r>
            <w:r>
              <w:rPr>
                <w:color w:val="000000"/>
                <w:szCs w:val="21"/>
              </w:rPr>
              <w:t>“</w:t>
            </w:r>
            <w:r>
              <w:rPr>
                <w:rFonts w:hAnsi="宋体"/>
                <w:color w:val="000000"/>
                <w:szCs w:val="21"/>
              </w:rPr>
              <w:t>保交楼</w:t>
            </w:r>
            <w:r>
              <w:rPr>
                <w:color w:val="000000"/>
                <w:szCs w:val="21"/>
              </w:rPr>
              <w:t>”</w:t>
            </w:r>
            <w:r>
              <w:rPr>
                <w:rFonts w:hAnsi="宋体"/>
                <w:color w:val="000000"/>
                <w:szCs w:val="21"/>
              </w:rPr>
              <w:t>工作，积极稳妥化解房地产风险，促进房地产市场平稳健康发展。</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狄志强</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市住建局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pacing w:val="-6"/>
                <w:szCs w:val="21"/>
              </w:rPr>
            </w:pPr>
            <w:r>
              <w:rPr>
                <w:rFonts w:hAnsi="宋体"/>
                <w:color w:val="000000"/>
                <w:spacing w:val="-6"/>
                <w:szCs w:val="21"/>
              </w:rPr>
              <w:t>（</w:t>
            </w:r>
            <w:r>
              <w:rPr>
                <w:color w:val="000000"/>
                <w:spacing w:val="-6"/>
                <w:szCs w:val="21"/>
              </w:rPr>
              <w:t>3</w:t>
            </w:r>
            <w:r>
              <w:rPr>
                <w:rFonts w:hAnsi="宋体"/>
                <w:color w:val="000000"/>
                <w:spacing w:val="-6"/>
                <w:szCs w:val="21"/>
              </w:rPr>
              <w:t>）严格落实既定化债举措，健全化债长效机制，有效防范化解地方债务风险。</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市财政局</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37"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26</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坚定信仰</w:t>
            </w:r>
          </w:p>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锤炼一流</w:t>
            </w:r>
          </w:p>
          <w:p>
            <w:pPr>
              <w:overflowPunct w:val="0"/>
              <w:autoSpaceDE w:val="0"/>
              <w:autoSpaceDN w:val="0"/>
              <w:adjustRightInd w:val="0"/>
              <w:snapToGrid w:val="0"/>
              <w:spacing w:line="280" w:lineRule="exact"/>
              <w:jc w:val="center"/>
              <w:rPr>
                <w:color w:val="000000"/>
                <w:szCs w:val="21"/>
              </w:rPr>
            </w:pPr>
            <w:r>
              <w:rPr>
                <w:rFonts w:hAnsi="宋体"/>
                <w:color w:val="000000"/>
                <w:szCs w:val="21"/>
              </w:rPr>
              <w:t>品格</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）巩固拓展主题教育成果，勤学深悟笃行习近平新时代中国特色社会主义思想，在把握科学体系、核心要义、实践要求上融会贯通，增强</w:t>
            </w:r>
            <w:r>
              <w:rPr>
                <w:color w:val="000000"/>
                <w:szCs w:val="21"/>
              </w:rPr>
              <w:t>“</w:t>
            </w:r>
            <w:r>
              <w:rPr>
                <w:rFonts w:hAnsi="宋体"/>
                <w:color w:val="000000"/>
                <w:szCs w:val="21"/>
              </w:rPr>
              <w:t>四个意识</w:t>
            </w:r>
            <w:r>
              <w:rPr>
                <w:color w:val="000000"/>
                <w:szCs w:val="21"/>
              </w:rPr>
              <w:t>”</w:t>
            </w:r>
            <w:r>
              <w:rPr>
                <w:rFonts w:hAnsi="宋体"/>
                <w:color w:val="000000"/>
                <w:szCs w:val="21"/>
              </w:rPr>
              <w:t>，坚定</w:t>
            </w:r>
            <w:r>
              <w:rPr>
                <w:color w:val="000000"/>
                <w:szCs w:val="21"/>
              </w:rPr>
              <w:t>“</w:t>
            </w:r>
            <w:r>
              <w:rPr>
                <w:rFonts w:hAnsi="宋体"/>
                <w:color w:val="000000"/>
                <w:szCs w:val="21"/>
              </w:rPr>
              <w:t>四个自信</w:t>
            </w:r>
            <w:r>
              <w:rPr>
                <w:color w:val="000000"/>
                <w:szCs w:val="21"/>
              </w:rPr>
              <w:t>”</w:t>
            </w:r>
            <w:r>
              <w:rPr>
                <w:rFonts w:hAnsi="宋体"/>
                <w:color w:val="000000"/>
                <w:szCs w:val="21"/>
              </w:rPr>
              <w:t>，坚定不移做</w:t>
            </w:r>
            <w:r>
              <w:rPr>
                <w:color w:val="000000"/>
                <w:szCs w:val="21"/>
              </w:rPr>
              <w:t>“</w:t>
            </w:r>
            <w:r>
              <w:rPr>
                <w:rFonts w:hAnsi="宋体"/>
                <w:color w:val="000000"/>
                <w:szCs w:val="21"/>
              </w:rPr>
              <w:t>两个确立</w:t>
            </w:r>
            <w:r>
              <w:rPr>
                <w:color w:val="000000"/>
                <w:szCs w:val="21"/>
              </w:rPr>
              <w:t>”</w:t>
            </w:r>
            <w:r>
              <w:rPr>
                <w:rFonts w:hAnsi="宋体"/>
                <w:color w:val="000000"/>
                <w:szCs w:val="21"/>
              </w:rPr>
              <w:t>忠诚拥护者、</w:t>
            </w:r>
            <w:r>
              <w:rPr>
                <w:color w:val="000000"/>
                <w:szCs w:val="21"/>
              </w:rPr>
              <w:t>“</w:t>
            </w:r>
            <w:r>
              <w:rPr>
                <w:rFonts w:hAnsi="宋体"/>
                <w:color w:val="000000"/>
                <w:szCs w:val="21"/>
              </w:rPr>
              <w:t>两个维护</w:t>
            </w:r>
            <w:r>
              <w:rPr>
                <w:color w:val="000000"/>
                <w:szCs w:val="21"/>
              </w:rPr>
              <w:t>”</w:t>
            </w:r>
            <w:r>
              <w:rPr>
                <w:rFonts w:hAnsi="宋体"/>
                <w:color w:val="000000"/>
                <w:szCs w:val="21"/>
              </w:rPr>
              <w:t>示范引领者。</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盛</w:t>
            </w:r>
            <w:r>
              <w:rPr>
                <w:color w:val="000000"/>
                <w:szCs w:val="21"/>
              </w:rPr>
              <w:t xml:space="preserve">  </w:t>
            </w:r>
            <w:r>
              <w:rPr>
                <w:rFonts w:hAnsi="宋体"/>
                <w:color w:val="000000"/>
                <w:szCs w:val="21"/>
              </w:rPr>
              <w:t>蕾</w:t>
            </w:r>
          </w:p>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市政府办公室</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市各部门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99"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）时刻牢记</w:t>
            </w:r>
            <w:r>
              <w:rPr>
                <w:color w:val="000000"/>
                <w:szCs w:val="21"/>
              </w:rPr>
              <w:t>“</w:t>
            </w:r>
            <w:r>
              <w:rPr>
                <w:rFonts w:hAnsi="宋体"/>
                <w:color w:val="000000"/>
                <w:szCs w:val="21"/>
              </w:rPr>
              <w:t>国之大者</w:t>
            </w:r>
            <w:r>
              <w:rPr>
                <w:color w:val="000000"/>
                <w:szCs w:val="21"/>
              </w:rPr>
              <w:t>”</w:t>
            </w:r>
            <w:r>
              <w:rPr>
                <w:rFonts w:hAnsi="宋体"/>
                <w:color w:val="000000"/>
                <w:szCs w:val="21"/>
              </w:rPr>
              <w:t>，着力提高政治判断力、政治领悟力、政治执行力，努力以一域之力尽全局之责、以一域之光为全局添彩，确保中央决策部署条条落实、件件落地、事事见效。</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77"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27</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实干担当</w:t>
            </w:r>
          </w:p>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提供一流</w:t>
            </w:r>
          </w:p>
          <w:p>
            <w:pPr>
              <w:overflowPunct w:val="0"/>
              <w:autoSpaceDE w:val="0"/>
              <w:autoSpaceDN w:val="0"/>
              <w:adjustRightInd w:val="0"/>
              <w:snapToGrid w:val="0"/>
              <w:spacing w:line="280" w:lineRule="exact"/>
              <w:jc w:val="center"/>
              <w:rPr>
                <w:color w:val="000000"/>
                <w:szCs w:val="21"/>
              </w:rPr>
            </w:pPr>
            <w:r>
              <w:rPr>
                <w:rFonts w:hAnsi="宋体"/>
                <w:color w:val="000000"/>
                <w:szCs w:val="21"/>
              </w:rPr>
              <w:t>服务</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）立足见势早、预判准、措施实，全面落实各项助企纾困政策，及时出台更有针对性、更加可持续的增量政策，提升惠企政策</w:t>
            </w:r>
            <w:r>
              <w:rPr>
                <w:color w:val="000000"/>
                <w:szCs w:val="21"/>
              </w:rPr>
              <w:t>“</w:t>
            </w:r>
            <w:r>
              <w:rPr>
                <w:rFonts w:hAnsi="宋体"/>
                <w:color w:val="000000"/>
                <w:szCs w:val="21"/>
              </w:rPr>
              <w:t>非申即享、直达快享</w:t>
            </w:r>
            <w:r>
              <w:rPr>
                <w:color w:val="000000"/>
                <w:szCs w:val="21"/>
              </w:rPr>
              <w:t>”</w:t>
            </w:r>
            <w:r>
              <w:rPr>
                <w:rFonts w:hAnsi="宋体"/>
                <w:color w:val="000000"/>
                <w:szCs w:val="21"/>
              </w:rPr>
              <w:t>实效性和感知度，为广大市场主体增信心、稳预期。</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市发改委</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市政务办</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）提升</w:t>
            </w:r>
            <w:r>
              <w:rPr>
                <w:color w:val="000000"/>
                <w:szCs w:val="21"/>
              </w:rPr>
              <w:t>“</w:t>
            </w:r>
            <w:r>
              <w:rPr>
                <w:rFonts w:hAnsi="宋体"/>
                <w:color w:val="000000"/>
                <w:szCs w:val="21"/>
              </w:rPr>
              <w:t>一网通办</w:t>
            </w:r>
            <w:r>
              <w:rPr>
                <w:color w:val="000000"/>
                <w:szCs w:val="21"/>
              </w:rPr>
              <w:t>”</w:t>
            </w:r>
            <w:r>
              <w:rPr>
                <w:rFonts w:hAnsi="宋体"/>
                <w:color w:val="000000"/>
                <w:szCs w:val="21"/>
              </w:rPr>
              <w:t>运行质效，丰富</w:t>
            </w:r>
            <w:r>
              <w:rPr>
                <w:color w:val="000000"/>
                <w:szCs w:val="21"/>
              </w:rPr>
              <w:t>“</w:t>
            </w:r>
            <w:r>
              <w:rPr>
                <w:rFonts w:hAnsi="宋体"/>
                <w:color w:val="000000"/>
                <w:szCs w:val="21"/>
              </w:rPr>
              <w:t>一件事一次办</w:t>
            </w:r>
            <w:r>
              <w:rPr>
                <w:color w:val="000000"/>
                <w:szCs w:val="21"/>
              </w:rPr>
              <w:t>”</w:t>
            </w:r>
            <w:r>
              <w:rPr>
                <w:rFonts w:hAnsi="宋体"/>
                <w:color w:val="000000"/>
                <w:szCs w:val="21"/>
              </w:rPr>
              <w:t>应用场景，完善</w:t>
            </w:r>
            <w:r>
              <w:rPr>
                <w:color w:val="000000"/>
                <w:szCs w:val="21"/>
              </w:rPr>
              <w:t>“</w:t>
            </w:r>
            <w:r>
              <w:rPr>
                <w:rFonts w:hAnsi="宋体"/>
                <w:color w:val="000000"/>
                <w:szCs w:val="21"/>
              </w:rPr>
              <w:t>畅通办</w:t>
            </w:r>
            <w:r>
              <w:rPr>
                <w:color w:val="000000"/>
                <w:szCs w:val="21"/>
              </w:rPr>
              <w:t>”</w:t>
            </w:r>
            <w:r>
              <w:rPr>
                <w:rFonts w:hAnsi="宋体"/>
                <w:color w:val="000000"/>
                <w:szCs w:val="21"/>
              </w:rPr>
              <w:t>全生命周期服务体系，织密</w:t>
            </w:r>
            <w:r>
              <w:rPr>
                <w:color w:val="000000"/>
                <w:szCs w:val="21"/>
              </w:rPr>
              <w:t>“15</w:t>
            </w:r>
            <w:r>
              <w:rPr>
                <w:rFonts w:hAnsi="宋体"/>
                <w:color w:val="000000"/>
                <w:szCs w:val="21"/>
              </w:rPr>
              <w:t>分钟政务便民服务圈</w:t>
            </w:r>
            <w:r>
              <w:rPr>
                <w:color w:val="000000"/>
                <w:szCs w:val="21"/>
              </w:rPr>
              <w:t>”</w:t>
            </w:r>
            <w:r>
              <w:rPr>
                <w:rFonts w:hAnsi="宋体"/>
                <w:color w:val="000000"/>
                <w:szCs w:val="21"/>
              </w:rPr>
              <w:t>。</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市政务办</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）优化</w:t>
            </w:r>
            <w:r>
              <w:rPr>
                <w:color w:val="000000"/>
                <w:szCs w:val="21"/>
              </w:rPr>
              <w:t>“12345”</w:t>
            </w:r>
            <w:r>
              <w:rPr>
                <w:rFonts w:hAnsi="宋体"/>
                <w:color w:val="000000"/>
                <w:szCs w:val="21"/>
              </w:rPr>
              <w:t>热线和人民建议闭环办理机制，努力把解决群众问题的关口前移，推动</w:t>
            </w:r>
            <w:r>
              <w:rPr>
                <w:color w:val="000000"/>
                <w:szCs w:val="21"/>
              </w:rPr>
              <w:t>“</w:t>
            </w:r>
            <w:r>
              <w:rPr>
                <w:rFonts w:hAnsi="宋体"/>
                <w:color w:val="000000"/>
                <w:szCs w:val="21"/>
              </w:rPr>
              <w:t>接诉即办</w:t>
            </w:r>
            <w:r>
              <w:rPr>
                <w:color w:val="000000"/>
                <w:szCs w:val="21"/>
              </w:rPr>
              <w:t>”</w:t>
            </w:r>
            <w:r>
              <w:rPr>
                <w:rFonts w:hAnsi="宋体"/>
                <w:color w:val="000000"/>
                <w:szCs w:val="21"/>
              </w:rPr>
              <w:t>向</w:t>
            </w:r>
            <w:r>
              <w:rPr>
                <w:color w:val="000000"/>
                <w:szCs w:val="21"/>
              </w:rPr>
              <w:t>“</w:t>
            </w:r>
            <w:r>
              <w:rPr>
                <w:rFonts w:hAnsi="宋体"/>
                <w:color w:val="000000"/>
                <w:szCs w:val="21"/>
              </w:rPr>
              <w:t>未诉先办</w:t>
            </w:r>
            <w:r>
              <w:rPr>
                <w:color w:val="000000"/>
                <w:szCs w:val="21"/>
              </w:rPr>
              <w:t>”</w:t>
            </w:r>
            <w:r>
              <w:rPr>
                <w:rFonts w:hAnsi="宋体"/>
                <w:color w:val="000000"/>
                <w:szCs w:val="21"/>
              </w:rPr>
              <w:t>、</w:t>
            </w:r>
            <w:r>
              <w:rPr>
                <w:color w:val="000000"/>
                <w:szCs w:val="21"/>
              </w:rPr>
              <w:t>“</w:t>
            </w:r>
            <w:r>
              <w:rPr>
                <w:rFonts w:hAnsi="宋体"/>
                <w:color w:val="000000"/>
                <w:szCs w:val="21"/>
              </w:rPr>
              <w:t>被动办理</w:t>
            </w:r>
            <w:r>
              <w:rPr>
                <w:color w:val="000000"/>
                <w:szCs w:val="21"/>
              </w:rPr>
              <w:t>”</w:t>
            </w:r>
            <w:r>
              <w:rPr>
                <w:rFonts w:hAnsi="宋体"/>
                <w:color w:val="000000"/>
                <w:szCs w:val="21"/>
              </w:rPr>
              <w:t>向</w:t>
            </w:r>
            <w:r>
              <w:rPr>
                <w:color w:val="000000"/>
                <w:szCs w:val="21"/>
              </w:rPr>
              <w:t>“</w:t>
            </w:r>
            <w:r>
              <w:rPr>
                <w:rFonts w:hAnsi="宋体"/>
                <w:color w:val="000000"/>
                <w:szCs w:val="21"/>
              </w:rPr>
              <w:t>主动治理</w:t>
            </w:r>
            <w:r>
              <w:rPr>
                <w:color w:val="000000"/>
                <w:szCs w:val="21"/>
              </w:rPr>
              <w:t>”</w:t>
            </w:r>
            <w:r>
              <w:rPr>
                <w:rFonts w:hAnsi="宋体"/>
                <w:color w:val="000000"/>
                <w:szCs w:val="21"/>
              </w:rPr>
              <w:t>发展。</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于贵平</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市政务办</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市信访局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28</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依法履职</w:t>
            </w:r>
          </w:p>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树立一流</w:t>
            </w:r>
          </w:p>
          <w:p>
            <w:pPr>
              <w:overflowPunct w:val="0"/>
              <w:autoSpaceDE w:val="0"/>
              <w:autoSpaceDN w:val="0"/>
              <w:adjustRightInd w:val="0"/>
              <w:snapToGrid w:val="0"/>
              <w:spacing w:line="280" w:lineRule="exact"/>
              <w:jc w:val="center"/>
              <w:rPr>
                <w:color w:val="000000"/>
                <w:szCs w:val="21"/>
              </w:rPr>
            </w:pPr>
            <w:r>
              <w:rPr>
                <w:rFonts w:hAnsi="宋体"/>
                <w:color w:val="000000"/>
                <w:szCs w:val="21"/>
              </w:rPr>
              <w:t>标准</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）加强重点领域、新兴领域政府立法，严格规范公正文明执法，全面提升法治政府建设水平。</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盛</w:t>
            </w:r>
            <w:r>
              <w:rPr>
                <w:color w:val="000000"/>
                <w:szCs w:val="21"/>
              </w:rPr>
              <w:t xml:space="preserve">  </w:t>
            </w:r>
            <w:r>
              <w:rPr>
                <w:rFonts w:hAnsi="宋体"/>
                <w:color w:val="000000"/>
                <w:szCs w:val="21"/>
              </w:rPr>
              <w:t>蕾</w:t>
            </w:r>
          </w:p>
          <w:p>
            <w:pPr>
              <w:overflowPunct w:val="0"/>
              <w:autoSpaceDE w:val="0"/>
              <w:autoSpaceDN w:val="0"/>
              <w:adjustRightInd w:val="0"/>
              <w:snapToGrid w:val="0"/>
              <w:spacing w:line="280" w:lineRule="exact"/>
              <w:jc w:val="center"/>
              <w:rPr>
                <w:color w:val="000000"/>
                <w:szCs w:val="21"/>
              </w:rPr>
            </w:pPr>
            <w:r>
              <w:rPr>
                <w:rFonts w:hAnsi="宋体"/>
                <w:color w:val="000000"/>
                <w:szCs w:val="21"/>
              </w:rPr>
              <w:t>于贵平</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市司法局</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市相关部门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）严格履行重大行政决策程序，健全专家咨询制度，提高政府科学决策、民主决策水平。</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盛</w:t>
            </w:r>
            <w:r>
              <w:rPr>
                <w:color w:val="000000"/>
                <w:szCs w:val="21"/>
              </w:rPr>
              <w:t xml:space="preserve">  </w:t>
            </w:r>
            <w:r>
              <w:rPr>
                <w:rFonts w:hAnsi="宋体"/>
                <w:color w:val="000000"/>
                <w:szCs w:val="21"/>
              </w:rPr>
              <w:t>蕾</w:t>
            </w:r>
          </w:p>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p>
            <w:pPr>
              <w:overflowPunct w:val="0"/>
              <w:autoSpaceDE w:val="0"/>
              <w:autoSpaceDN w:val="0"/>
              <w:adjustRightInd w:val="0"/>
              <w:snapToGrid w:val="0"/>
              <w:spacing w:line="280" w:lineRule="exact"/>
              <w:jc w:val="center"/>
              <w:rPr>
                <w:color w:val="000000"/>
                <w:szCs w:val="21"/>
              </w:rPr>
            </w:pPr>
            <w:r>
              <w:rPr>
                <w:rFonts w:hAnsi="宋体"/>
                <w:color w:val="000000"/>
                <w:szCs w:val="21"/>
              </w:rPr>
              <w:t>于贵平</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市政府办公室</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市司法局</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）依法接受市人大及其常委会监督，自觉接受人民政协民主监督，主动接受纪检监察和司法、社会、舆论监督，切实强化财会、审计、统计、行政执法监督，使政府所有工作都在法律框架内进行。</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盛</w:t>
            </w:r>
            <w:r>
              <w:rPr>
                <w:color w:val="000000"/>
                <w:szCs w:val="21"/>
              </w:rPr>
              <w:t xml:space="preserve">  </w:t>
            </w:r>
            <w:r>
              <w:rPr>
                <w:rFonts w:hAnsi="宋体"/>
                <w:color w:val="000000"/>
                <w:szCs w:val="21"/>
              </w:rPr>
              <w:t>蕾</w:t>
            </w:r>
          </w:p>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市政府办公室</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4</w:t>
            </w:r>
            <w:r>
              <w:rPr>
                <w:rFonts w:hAnsi="宋体"/>
                <w:color w:val="000000"/>
                <w:szCs w:val="21"/>
              </w:rPr>
              <w:t>）深入实施</w:t>
            </w:r>
            <w:r>
              <w:rPr>
                <w:color w:val="000000"/>
                <w:szCs w:val="21"/>
              </w:rPr>
              <w:t>“</w:t>
            </w:r>
            <w:r>
              <w:rPr>
                <w:rFonts w:hAnsi="宋体"/>
                <w:color w:val="000000"/>
                <w:szCs w:val="21"/>
              </w:rPr>
              <w:t>八五</w:t>
            </w:r>
            <w:r>
              <w:rPr>
                <w:color w:val="000000"/>
                <w:szCs w:val="21"/>
              </w:rPr>
              <w:t>”</w:t>
            </w:r>
            <w:r>
              <w:rPr>
                <w:rFonts w:hAnsi="宋体"/>
                <w:color w:val="000000"/>
                <w:szCs w:val="21"/>
              </w:rPr>
              <w:t>普法，完善现代公共法律服务体系。</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于贵平</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市司法局</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06"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5</w:t>
            </w:r>
            <w:r>
              <w:rPr>
                <w:rFonts w:hAnsi="宋体"/>
                <w:color w:val="000000"/>
                <w:szCs w:val="21"/>
              </w:rPr>
              <w:t>）完成第五次全国经济普查工作，依法科学摸清全市经济家底。</w:t>
            </w:r>
          </w:p>
        </w:tc>
        <w:tc>
          <w:tcPr>
            <w:tcW w:w="1218"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市统计局</w:t>
            </w:r>
          </w:p>
        </w:tc>
        <w:tc>
          <w:tcPr>
            <w:tcW w:w="1436" w:type="dxa"/>
            <w:vMerge w:val="continue"/>
            <w:noWrap w:val="0"/>
            <w:vAlign w:val="center"/>
          </w:tcPr>
          <w:p>
            <w:pPr>
              <w:overflowPunct w:val="0"/>
              <w:autoSpaceDE w:val="0"/>
              <w:autoSpaceDN w:val="0"/>
              <w:adjustRightInd w:val="0"/>
              <w:snapToGrid w:val="0"/>
              <w:spacing w:line="280" w:lineRule="exact"/>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90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color w:val="000000"/>
                <w:szCs w:val="21"/>
              </w:rPr>
              <w:t>29</w:t>
            </w:r>
          </w:p>
        </w:tc>
        <w:tc>
          <w:tcPr>
            <w:tcW w:w="1329" w:type="dxa"/>
            <w:vMerge w:val="restart"/>
            <w:noWrap w:val="0"/>
            <w:vAlign w:val="center"/>
          </w:tcPr>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廉洁自律</w:t>
            </w:r>
          </w:p>
          <w:p>
            <w:pPr>
              <w:overflowPunct w:val="0"/>
              <w:autoSpaceDE w:val="0"/>
              <w:autoSpaceDN w:val="0"/>
              <w:adjustRightInd w:val="0"/>
              <w:snapToGrid w:val="0"/>
              <w:spacing w:line="280" w:lineRule="exact"/>
              <w:jc w:val="center"/>
              <w:rPr>
                <w:rFonts w:hint="eastAsia" w:hAnsi="宋体"/>
                <w:color w:val="000000"/>
                <w:szCs w:val="21"/>
              </w:rPr>
            </w:pPr>
            <w:r>
              <w:rPr>
                <w:rFonts w:hAnsi="宋体"/>
                <w:color w:val="000000"/>
                <w:szCs w:val="21"/>
              </w:rPr>
              <w:t>展现一流</w:t>
            </w:r>
          </w:p>
          <w:p>
            <w:pPr>
              <w:overflowPunct w:val="0"/>
              <w:autoSpaceDE w:val="0"/>
              <w:autoSpaceDN w:val="0"/>
              <w:adjustRightInd w:val="0"/>
              <w:snapToGrid w:val="0"/>
              <w:spacing w:line="280" w:lineRule="exact"/>
              <w:jc w:val="center"/>
              <w:rPr>
                <w:color w:val="000000"/>
                <w:szCs w:val="21"/>
              </w:rPr>
            </w:pPr>
            <w:r>
              <w:rPr>
                <w:rFonts w:hAnsi="宋体"/>
                <w:color w:val="000000"/>
                <w:szCs w:val="21"/>
              </w:rPr>
              <w:t>形象</w:t>
            </w: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1</w:t>
            </w:r>
            <w:r>
              <w:rPr>
                <w:rFonts w:hAnsi="宋体"/>
                <w:color w:val="000000"/>
                <w:szCs w:val="21"/>
              </w:rPr>
              <w:t>）坚持纠</w:t>
            </w:r>
            <w:r>
              <w:rPr>
                <w:color w:val="000000"/>
                <w:szCs w:val="21"/>
              </w:rPr>
              <w:t>“</w:t>
            </w:r>
            <w:r>
              <w:rPr>
                <w:rFonts w:hAnsi="宋体"/>
                <w:color w:val="000000"/>
                <w:szCs w:val="21"/>
              </w:rPr>
              <w:t>四风</w:t>
            </w:r>
            <w:r>
              <w:rPr>
                <w:color w:val="000000"/>
                <w:szCs w:val="21"/>
              </w:rPr>
              <w:t>”</w:t>
            </w:r>
            <w:r>
              <w:rPr>
                <w:rFonts w:hAnsi="宋体"/>
                <w:color w:val="000000"/>
                <w:szCs w:val="21"/>
              </w:rPr>
              <w:t>树新风并举，锲而不舍落实中央八项规定精神，推动作风建设常态化长效化，树牢造福人民的政绩观。</w:t>
            </w:r>
          </w:p>
        </w:tc>
        <w:tc>
          <w:tcPr>
            <w:tcW w:w="1218"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盛</w:t>
            </w:r>
            <w:r>
              <w:rPr>
                <w:color w:val="000000"/>
                <w:szCs w:val="21"/>
              </w:rPr>
              <w:t xml:space="preserve">  </w:t>
            </w:r>
            <w:r>
              <w:rPr>
                <w:rFonts w:hAnsi="宋体"/>
                <w:color w:val="000000"/>
                <w:szCs w:val="21"/>
              </w:rPr>
              <w:t>蕾</w:t>
            </w:r>
          </w:p>
          <w:p>
            <w:pPr>
              <w:overflowPunct w:val="0"/>
              <w:autoSpaceDE w:val="0"/>
              <w:autoSpaceDN w:val="0"/>
              <w:adjustRightInd w:val="0"/>
              <w:snapToGrid w:val="0"/>
              <w:spacing w:line="280" w:lineRule="exact"/>
              <w:jc w:val="center"/>
              <w:rPr>
                <w:color w:val="000000"/>
                <w:szCs w:val="21"/>
              </w:rPr>
            </w:pPr>
            <w:r>
              <w:rPr>
                <w:rFonts w:hAnsi="宋体"/>
                <w:color w:val="000000"/>
                <w:szCs w:val="21"/>
              </w:rPr>
              <w:t>李</w:t>
            </w:r>
            <w:r>
              <w:rPr>
                <w:color w:val="000000"/>
                <w:szCs w:val="21"/>
              </w:rPr>
              <w:t xml:space="preserve">  </w:t>
            </w:r>
            <w:r>
              <w:rPr>
                <w:rFonts w:hAnsi="宋体"/>
                <w:color w:val="000000"/>
                <w:szCs w:val="21"/>
              </w:rPr>
              <w:t>林</w:t>
            </w: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市政府办公室</w:t>
            </w:r>
          </w:p>
        </w:tc>
        <w:tc>
          <w:tcPr>
            <w:tcW w:w="1436" w:type="dxa"/>
            <w:vMerge w:val="restart"/>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各辖市</w:t>
            </w:r>
            <w:r>
              <w:rPr>
                <w:rFonts w:hint="eastAsia" w:hAnsi="宋体"/>
                <w:color w:val="000000"/>
                <w:szCs w:val="21"/>
              </w:rPr>
              <w:t>、</w:t>
            </w:r>
            <w:r>
              <w:rPr>
                <w:rFonts w:hAnsi="宋体"/>
                <w:color w:val="000000"/>
                <w:szCs w:val="21"/>
              </w:rPr>
              <w:t>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常州经开区</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市各部门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2</w:t>
            </w:r>
            <w:r>
              <w:rPr>
                <w:rFonts w:hAnsi="宋体"/>
                <w:color w:val="000000"/>
                <w:szCs w:val="21"/>
              </w:rPr>
              <w:t>）习惯过紧日子，严控</w:t>
            </w:r>
            <w:r>
              <w:rPr>
                <w:color w:val="000000"/>
                <w:szCs w:val="21"/>
              </w:rPr>
              <w:t>“</w:t>
            </w:r>
            <w:r>
              <w:rPr>
                <w:rFonts w:hAnsi="宋体"/>
                <w:color w:val="000000"/>
                <w:szCs w:val="21"/>
              </w:rPr>
              <w:t>三公</w:t>
            </w:r>
            <w:r>
              <w:rPr>
                <w:color w:val="000000"/>
                <w:szCs w:val="21"/>
              </w:rPr>
              <w:t>”</w:t>
            </w:r>
            <w:r>
              <w:rPr>
                <w:rFonts w:hAnsi="宋体"/>
                <w:color w:val="000000"/>
                <w:szCs w:val="21"/>
              </w:rPr>
              <w:t>经费支出规模，强化全过程预算绩效管理。</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市财政局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3</w:t>
            </w:r>
            <w:r>
              <w:rPr>
                <w:rFonts w:hAnsi="宋体"/>
                <w:color w:val="000000"/>
                <w:szCs w:val="21"/>
              </w:rPr>
              <w:t>）加强国资监管专业化、体系化、法治化建设，健全行政事业性国有资产全周期管理机制。</w:t>
            </w:r>
          </w:p>
        </w:tc>
        <w:tc>
          <w:tcPr>
            <w:tcW w:w="1218"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市国资委</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市财政局</w:t>
            </w:r>
          </w:p>
          <w:p>
            <w:pPr>
              <w:overflowPunct w:val="0"/>
              <w:autoSpaceDE w:val="0"/>
              <w:autoSpaceDN w:val="0"/>
              <w:adjustRightInd w:val="0"/>
              <w:snapToGrid w:val="0"/>
              <w:spacing w:line="280" w:lineRule="exact"/>
              <w:jc w:val="center"/>
              <w:rPr>
                <w:color w:val="000000"/>
                <w:szCs w:val="21"/>
              </w:rPr>
            </w:pPr>
            <w:r>
              <w:rPr>
                <w:rFonts w:hAnsi="宋体"/>
                <w:color w:val="000000"/>
                <w:szCs w:val="21"/>
              </w:rPr>
              <w:t>市机关事务管理局</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90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1329"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c>
          <w:tcPr>
            <w:tcW w:w="7336" w:type="dxa"/>
            <w:noWrap w:val="0"/>
            <w:vAlign w:val="center"/>
          </w:tcPr>
          <w:p>
            <w:pPr>
              <w:overflowPunct w:val="0"/>
              <w:autoSpaceDE w:val="0"/>
              <w:autoSpaceDN w:val="0"/>
              <w:adjustRightInd w:val="0"/>
              <w:snapToGrid w:val="0"/>
              <w:spacing w:line="280" w:lineRule="exact"/>
              <w:rPr>
                <w:color w:val="000000"/>
                <w:szCs w:val="21"/>
              </w:rPr>
            </w:pPr>
            <w:r>
              <w:rPr>
                <w:rFonts w:hAnsi="宋体"/>
                <w:color w:val="000000"/>
                <w:szCs w:val="21"/>
              </w:rPr>
              <w:t>（</w:t>
            </w:r>
            <w:r>
              <w:rPr>
                <w:color w:val="000000"/>
                <w:szCs w:val="21"/>
              </w:rPr>
              <w:t>4</w:t>
            </w:r>
            <w:r>
              <w:rPr>
                <w:rFonts w:hAnsi="宋体"/>
                <w:color w:val="000000"/>
                <w:szCs w:val="21"/>
              </w:rPr>
              <w:t>）突出重点领域、重要部门、关键岗位廉政风险防控，坚决整治各种损害群众利益的突出问题，让清正之气在政府系统蔚然成风。</w:t>
            </w:r>
          </w:p>
        </w:tc>
        <w:tc>
          <w:tcPr>
            <w:tcW w:w="1218" w:type="dxa"/>
            <w:vMerge w:val="continue"/>
            <w:noWrap w:val="0"/>
            <w:vAlign w:val="center"/>
          </w:tcPr>
          <w:p>
            <w:pPr>
              <w:overflowPunct w:val="0"/>
              <w:autoSpaceDE w:val="0"/>
              <w:autoSpaceDN w:val="0"/>
              <w:adjustRightInd w:val="0"/>
              <w:snapToGrid w:val="0"/>
              <w:spacing w:line="280" w:lineRule="exact"/>
              <w:rPr>
                <w:color w:val="000000"/>
                <w:szCs w:val="21"/>
              </w:rPr>
            </w:pPr>
          </w:p>
        </w:tc>
        <w:tc>
          <w:tcPr>
            <w:tcW w:w="1993" w:type="dxa"/>
            <w:noWrap w:val="0"/>
            <w:vAlign w:val="center"/>
          </w:tcPr>
          <w:p>
            <w:pPr>
              <w:overflowPunct w:val="0"/>
              <w:autoSpaceDE w:val="0"/>
              <w:autoSpaceDN w:val="0"/>
              <w:adjustRightInd w:val="0"/>
              <w:snapToGrid w:val="0"/>
              <w:spacing w:line="280" w:lineRule="exact"/>
              <w:jc w:val="center"/>
              <w:rPr>
                <w:color w:val="000000"/>
                <w:szCs w:val="21"/>
              </w:rPr>
            </w:pPr>
            <w:r>
              <w:rPr>
                <w:rFonts w:hAnsi="宋体"/>
                <w:color w:val="000000"/>
                <w:szCs w:val="21"/>
              </w:rPr>
              <w:t>市政府办公室</w:t>
            </w:r>
          </w:p>
        </w:tc>
        <w:tc>
          <w:tcPr>
            <w:tcW w:w="1436" w:type="dxa"/>
            <w:vMerge w:val="continue"/>
            <w:noWrap w:val="0"/>
            <w:vAlign w:val="center"/>
          </w:tcPr>
          <w:p>
            <w:pPr>
              <w:overflowPunct w:val="0"/>
              <w:autoSpaceDE w:val="0"/>
              <w:autoSpaceDN w:val="0"/>
              <w:adjustRightInd w:val="0"/>
              <w:snapToGrid w:val="0"/>
              <w:spacing w:line="280" w:lineRule="exact"/>
              <w:jc w:val="center"/>
              <w:rPr>
                <w:color w:val="000000"/>
                <w:szCs w:val="21"/>
              </w:rPr>
            </w:pPr>
          </w:p>
        </w:tc>
      </w:tr>
    </w:tbl>
    <w:p>
      <w:pPr>
        <w:rPr>
          <w:vanish/>
          <w:color w:val="000000"/>
        </w:rPr>
      </w:pPr>
    </w:p>
    <w:tbl>
      <w:tblPr>
        <w:tblStyle w:val="4"/>
        <w:tblpPr w:leftFromText="180" w:rightFromText="180" w:vertAnchor="text" w:tblpX="15506" w:tblpY="26548"/>
        <w:tblOverlap w:val="never"/>
        <w:tblW w:w="1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460" w:type="dxa"/>
            <w:noWrap w:val="0"/>
            <w:vAlign w:val="top"/>
          </w:tcPr>
          <w:p>
            <w:pPr>
              <w:ind w:left="420" w:leftChars="200"/>
              <w:rPr>
                <w:color w:val="000000"/>
                <w:szCs w:val="20"/>
              </w:rPr>
            </w:pPr>
          </w:p>
        </w:tc>
      </w:tr>
    </w:tbl>
    <w:p>
      <w:pPr>
        <w:adjustRightInd w:val="0"/>
        <w:snapToGrid w:val="0"/>
        <w:spacing w:line="570" w:lineRule="exact"/>
        <w:rPr>
          <w:rFonts w:eastAsia="方正仿宋_GBK"/>
          <w:color w:val="000000"/>
          <w:sz w:val="32"/>
        </w:rPr>
        <w:sectPr>
          <w:pgSz w:w="16838" w:h="11906" w:orient="landscape"/>
          <w:pgMar w:top="1440" w:right="1800" w:bottom="1440" w:left="1800" w:header="709" w:footer="1361" w:gutter="0"/>
          <w:cols w:space="720" w:num="1"/>
          <w:docGrid w:type="lines" w:linePitch="312" w:charSpace="0"/>
        </w:sect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65870E7-69C2-4454-B5C7-6AC1E1E2555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485F328-4F37-4411-895A-ED2449E34057}"/>
  </w:font>
  <w:font w:name="方正黑体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panose1 w:val="02000000000000000000"/>
    <w:charset w:val="86"/>
    <w:family w:val="script"/>
    <w:pitch w:val="default"/>
    <w:sig w:usb0="A00002BF" w:usb1="38CF7CFA" w:usb2="00082016" w:usb3="00000000" w:csb0="00040001" w:csb1="00000000"/>
    <w:embedRegular r:id="rId3" w:fontKey="{9E833B50-943B-4767-80E3-35C5E53028A3}"/>
  </w:font>
  <w:font w:name="方正仿宋_GBK">
    <w:altName w:val="Arial Unicode MS"/>
    <w:panose1 w:val="03000509000000000000"/>
    <w:charset w:val="86"/>
    <w:family w:val="script"/>
    <w:pitch w:val="default"/>
    <w:sig w:usb0="00000000" w:usb1="00000000" w:usb2="00000000" w:usb3="00000000" w:csb0="00040000" w:csb1="00000000"/>
    <w:embedRegular r:id="rId4" w:fontKey="{3F55D30E-0A79-4D2C-8D93-6978161DA4C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NWQ2OTU1OGVjMGY1ODg1NzM3NDc2ZDYxMjhkZTIifQ=="/>
  </w:docVars>
  <w:rsids>
    <w:rsidRoot w:val="7C2012A0"/>
    <w:rsid w:val="7C201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2024-02-04T02:08:00Z</dcterms:created>
  <dc:creator>未遂</dc:creator>
  <cp:lastModifiedBy>未遂</cp:lastModifiedBy>
  <dcterms:modified xsi:type="dcterms:W3CDTF">2024-02-04T02:09:09Z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1AD014844F0A4E68839CCE1B964FC599_11</vt:lpwstr>
  </property>
</Properties>
</file>