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700" w:lineRule="exact"/>
        <w:jc w:val="center"/>
        <w:rPr>
          <w:rFonts w:ascii="方正小标宋简体" w:hAnsi="方正小标宋简体" w:eastAsia="方正小标宋简体" w:cs="Times New Roman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常州市特殊教育指导中心工作职责</w:t>
      </w:r>
    </w:p>
    <w:p>
      <w:pPr>
        <w:spacing w:line="560" w:lineRule="exact"/>
        <w:ind w:firstLine="640" w:firstLineChars="200"/>
        <w:jc w:val="left"/>
        <w:rPr>
          <w:rFonts w:ascii="黑体" w:hAnsi="宋体" w:eastAsia="黑体" w:cs="Times New Roman"/>
          <w:color w:val="333333"/>
          <w:kern w:val="0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hint="eastAsia" w:ascii="黑体" w:hAnsi="宋体" w:eastAsia="黑体" w:cs="黑体"/>
          <w:color w:val="333333"/>
          <w:kern w:val="0"/>
          <w:sz w:val="32"/>
          <w:szCs w:val="32"/>
        </w:rPr>
        <w:t>一、落实特殊教育联席会议部署。</w:t>
      </w:r>
      <w:r>
        <w:rPr>
          <w:rFonts w:hint="eastAsia" w:ascii="仿宋_GB2312" w:hAnsi="仿宋_GB2312" w:eastAsia="仿宋_GB2312" w:cs="仿宋_GB2312"/>
          <w:sz w:val="32"/>
          <w:szCs w:val="32"/>
        </w:rPr>
        <w:t>按照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特殊教育联席会议要求，制定相关政策并具体实施。接受联席会议委托，完成特殊教育发展各类政策制定、专项建设、过程指导、质量评估、专业研究等任务。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hint="eastAsia" w:ascii="黑体" w:hAnsi="宋体" w:eastAsia="黑体" w:cs="黑体"/>
          <w:color w:val="333333"/>
          <w:kern w:val="0"/>
          <w:sz w:val="32"/>
          <w:szCs w:val="32"/>
        </w:rPr>
        <w:t>二、协助制定区域特教资源规划。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根据区域内特殊儿童的年龄、残障类别、居住地等分布情况，协助当地教育行政部门制定区域特殊教育发展规划。学前与义务教育阶段以乡镇（街道）为布局单位，高中教育阶段以县（区）为布局单位。</w:t>
      </w:r>
      <w:r>
        <w:rPr>
          <w:rFonts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万以上常住人口地区至少建设一所独立设置的特殊教育学校；在普通幼儿园、小学、初中、中等职业学校等分别设置若干融合教育资源中心；在融合教育资源中心不能覆盖的地区，根据需要灵活设置融合教育资源教室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hint="eastAsia" w:ascii="黑体" w:hAnsi="宋体" w:eastAsia="黑体" w:cs="黑体"/>
          <w:color w:val="333333"/>
          <w:kern w:val="0"/>
          <w:sz w:val="32"/>
          <w:szCs w:val="32"/>
        </w:rPr>
        <w:t>三、指导建设融合教育资源中心。</w:t>
      </w:r>
      <w:r>
        <w:rPr>
          <w:rFonts w:hint="eastAsia" w:ascii="仿宋_GB2312" w:hAnsi="仿宋_GB2312" w:eastAsia="仿宋_GB2312" w:cs="仿宋_GB2312"/>
          <w:sz w:val="32"/>
          <w:szCs w:val="32"/>
        </w:rPr>
        <w:t>指导每个乡镇（街道）依托普通学校建设学前融合教育资源中心、小学融合教育资源中心、初中融合教育资源中心至少各一个，依托中等职业学校建设一个职业教育融合资源中心。指导普通学校通过配备专职特教教师、设置特教班、配建资源教室、改造无障碍环境、创设生活化教育环境等方式，建设适合特殊儿童学习发展需求的融合教育资源中心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hint="eastAsia" w:ascii="黑体" w:hAnsi="宋体" w:eastAsia="黑体" w:cs="黑体"/>
          <w:color w:val="333333"/>
          <w:kern w:val="0"/>
          <w:sz w:val="32"/>
          <w:szCs w:val="32"/>
        </w:rPr>
        <w:t>四、组织实施教育诊断与评估。</w:t>
      </w:r>
      <w:r>
        <w:rPr>
          <w:rFonts w:hint="eastAsia" w:ascii="仿宋_GB2312" w:hAnsi="仿宋_GB2312" w:eastAsia="仿宋_GB2312" w:cs="仿宋_GB2312"/>
          <w:sz w:val="32"/>
          <w:szCs w:val="32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特殊教育联席会议和特殊教育专家委员会指导下，组建由教育、医疗、心理、康复、社会工作、家长、志愿者等方面专家组成的特殊教育专家资源库。结合残疾鉴定委员会相关工作，对区域内适龄特殊儿童少年的身体状况、接受教育的能力和适应学校学习生活的能力进行评估，提出教育安置、转衔建议。指导学校做好特殊学生多元化评价工作，将学生阶段性发展情况纳入各学校教育质量评价中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hint="eastAsia" w:ascii="黑体" w:hAnsi="宋体" w:eastAsia="黑体" w:cs="黑体"/>
          <w:color w:val="333333"/>
          <w:kern w:val="0"/>
          <w:sz w:val="32"/>
          <w:szCs w:val="32"/>
        </w:rPr>
        <w:t>五、普通学校个别化教育指导。</w:t>
      </w:r>
      <w:r>
        <w:rPr>
          <w:rFonts w:hint="eastAsia" w:ascii="仿宋_GB2312" w:hAnsi="仿宋_GB2312" w:eastAsia="仿宋_GB2312" w:cs="仿宋_GB2312"/>
          <w:sz w:val="32"/>
          <w:szCs w:val="32"/>
        </w:rPr>
        <w:t>依据国家普通学校课程标准和特殊教育课程标准，指导各融合教育资源中心制定符合特殊学生需求的个别化教育方案，提供过程性教育评估与课程调适建议，实施适宜的教育服务。协调卫生、残联等部门资源，为特殊需要学生提供康复服务，指导家长做好家庭康复训练。指导初高中学校制定实施特殊学生生涯发展规划，指导职业技能教育。协助残疾人之家、指导普通中小学校实施义务教育阶段送教（康）上门工作。依托巡回指导教师构建特殊教育教研员团队，通过集体审议提高个别化教育指导和服务能力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hint="eastAsia" w:ascii="黑体" w:hAnsi="宋体" w:eastAsia="黑体" w:cs="黑体"/>
          <w:color w:val="333333"/>
          <w:kern w:val="0"/>
          <w:sz w:val="32"/>
          <w:szCs w:val="32"/>
        </w:rPr>
        <w:t>六、区域特殊教育评估与管理。</w:t>
      </w:r>
      <w:r>
        <w:rPr>
          <w:rFonts w:hint="eastAsia" w:ascii="仿宋_GB2312" w:hAnsi="仿宋_GB2312" w:eastAsia="仿宋_GB2312" w:cs="仿宋_GB2312"/>
          <w:sz w:val="32"/>
          <w:szCs w:val="32"/>
        </w:rPr>
        <w:t>制定特殊教育工作管理办法，视导区域内各普通学校及特殊教育机构的融合教育、送教上门等工作，并将视导结果纳入教育行政部门对学校的年度综合考评。会同民政、卫生、残联等部门，全面掌握本行政区域内适龄残疾儿童、少年的数量和残疾情况，实现职能部门间数据对接共享。搜集管理本地区特殊教育信息、资源，为学校、家长、学生提供辅导、咨询、远程教育等专业支持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hint="eastAsia" w:ascii="黑体" w:hAnsi="宋体" w:eastAsia="黑体" w:cs="黑体"/>
          <w:color w:val="333333"/>
          <w:kern w:val="0"/>
          <w:sz w:val="32"/>
          <w:szCs w:val="32"/>
        </w:rPr>
        <w:t>七、特殊教育研究与师资培训。</w:t>
      </w:r>
      <w:r>
        <w:rPr>
          <w:rFonts w:hint="eastAsia" w:ascii="仿宋_GB2312" w:hAnsi="仿宋_GB2312" w:eastAsia="仿宋_GB2312" w:cs="仿宋_GB2312"/>
          <w:sz w:val="32"/>
          <w:szCs w:val="32"/>
        </w:rPr>
        <w:t>联合专业力量开展特殊教育教学研究，探索解决特殊教育实践中的重点难点问题，为普通学校提供专业支持，为教育行政部门提供决策建议。关注特殊教育教师专业发展，组织开展系统性全员培训、特教教师培训、管理人员培训，加强对特殊教育骨干教师队伍建设的指导与培养。建立特殊教育服务清单、特需学生教育评估与认定、特需学生教育安置与转衔、个别化教育与质量评价、跨地域和跨领域集体教研等制度。</w:t>
      </w:r>
    </w:p>
    <w:p>
      <w:pPr>
        <w:spacing w:line="600" w:lineRule="exact"/>
        <w:ind w:firstLine="640" w:firstLineChars="200"/>
        <w:rPr>
          <w:rFonts w:ascii="仿宋_GB2312" w:eastAsia="仿宋_GB2312" w:cs="Times New Roman"/>
          <w:color w:val="333333"/>
        </w:rPr>
      </w:pPr>
      <w:r>
        <w:rPr>
          <w:rFonts w:hint="eastAsia" w:ascii="黑体" w:hAnsi="宋体" w:eastAsia="黑体" w:cs="黑体"/>
          <w:color w:val="333333"/>
          <w:kern w:val="0"/>
          <w:sz w:val="32"/>
          <w:szCs w:val="32"/>
        </w:rPr>
        <w:t>八、市特殊教育指导中心负责指导各辖市（区）特殊教育指导中心的业务工作。</w:t>
      </w:r>
    </w:p>
    <w:p>
      <w:pPr>
        <w:spacing w:line="560" w:lineRule="exact"/>
        <w:rPr>
          <w:rFonts w:ascii="????_GB2312" w:hAnsi="????_GB2312" w:eastAsia="Times New Roman" w:cs="Times New Roman"/>
          <w:sz w:val="32"/>
          <w:szCs w:val="32"/>
        </w:rPr>
      </w:pPr>
    </w:p>
    <w:p>
      <w:pPr>
        <w:rPr>
          <w:rFonts w:cs="Times New Roman"/>
        </w:rPr>
      </w:pPr>
    </w:p>
    <w:sectPr>
      <w:footerReference r:id="rId3" w:type="default"/>
      <w:pgSz w:w="11906" w:h="16838"/>
      <w:pgMar w:top="2098" w:right="1531" w:bottom="1985" w:left="1531" w:header="851" w:footer="992" w:gutter="0"/>
      <w:pgNumType w:fmt="numberInDash" w:start="4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??_GB2312">
    <w:altName w:val="C059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uto" w:vAnchor="text" w:hAnchor="margin" w:xAlign="outside" w:y="1"/>
      <w:rPr>
        <w:rStyle w:val="6"/>
        <w:rFonts w:ascii="Times New Roman" w:hAnsi="Times New Roman" w:cs="Times New Roman"/>
        <w:sz w:val="28"/>
        <w:szCs w:val="28"/>
      </w:rPr>
    </w:pPr>
    <w:r>
      <w:rPr>
        <w:rStyle w:val="6"/>
        <w:rFonts w:ascii="Times New Roman" w:hAnsi="Times New Roman" w:cs="Times New Roman"/>
        <w:sz w:val="28"/>
        <w:szCs w:val="28"/>
      </w:rPr>
      <w:fldChar w:fldCharType="begin"/>
    </w:r>
    <w:r>
      <w:rPr>
        <w:rStyle w:val="6"/>
        <w:rFonts w:ascii="Times New Roman" w:hAnsi="Times New Roman" w:cs="Times New Roman"/>
        <w:sz w:val="28"/>
        <w:szCs w:val="28"/>
      </w:rPr>
      <w:instrText xml:space="preserve">PAGE  </w:instrText>
    </w:r>
    <w:r>
      <w:rPr>
        <w:rStyle w:val="6"/>
        <w:rFonts w:ascii="Times New Roman" w:hAnsi="Times New Roman" w:cs="Times New Roman"/>
        <w:sz w:val="28"/>
        <w:szCs w:val="28"/>
      </w:rPr>
      <w:fldChar w:fldCharType="separate"/>
    </w:r>
    <w:r>
      <w:rPr>
        <w:rStyle w:val="6"/>
        <w:rFonts w:ascii="Times New Roman" w:hAnsi="Times New Roman" w:cs="Times New Roman"/>
        <w:sz w:val="28"/>
        <w:szCs w:val="28"/>
      </w:rPr>
      <w:t>- 6 -</w:t>
    </w:r>
    <w:r>
      <w:rPr>
        <w:rStyle w:val="6"/>
        <w:rFonts w:ascii="Times New Roman" w:hAnsi="Times New Roman" w:cs="Times New Roman"/>
        <w:sz w:val="28"/>
        <w:szCs w:val="28"/>
      </w:rPr>
      <w:fldChar w:fldCharType="end"/>
    </w:r>
  </w:p>
  <w:p>
    <w:pPr>
      <w:pStyle w:val="2"/>
      <w:ind w:right="360" w:firstLine="360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FA6DB60E"/>
    <w:rsid w:val="001D73F9"/>
    <w:rsid w:val="00325449"/>
    <w:rsid w:val="0036076B"/>
    <w:rsid w:val="005C5FCB"/>
    <w:rsid w:val="00701BA2"/>
    <w:rsid w:val="007E7873"/>
    <w:rsid w:val="008115DA"/>
    <w:rsid w:val="008165F2"/>
    <w:rsid w:val="008B7412"/>
    <w:rsid w:val="009A4F4B"/>
    <w:rsid w:val="00B5757D"/>
    <w:rsid w:val="00FB52C4"/>
    <w:rsid w:val="DFF7285D"/>
    <w:rsid w:val="FA6DB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</w:style>
  <w:style w:type="character" w:customStyle="1" w:styleId="7">
    <w:name w:val="页眉 Char"/>
    <w:basedOn w:val="5"/>
    <w:link w:val="3"/>
    <w:qFormat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locked/>
    <w:uiPriority w:val="99"/>
    <w:rPr>
      <w:rFonts w:ascii="Calibri" w:hAnsi="Calibri" w:eastAsia="宋体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199</Words>
  <Characters>1138</Characters>
  <Lines>9</Lines>
  <Paragraphs>2</Paragraphs>
  <TotalTime>4</TotalTime>
  <ScaleCrop>false</ScaleCrop>
  <LinksUpToDate>false</LinksUpToDate>
  <CharactersWithSpaces>1335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2024-01-25T23:37:00Z</dcterms:created>
  <dc:creator>kylinsp</dc:creator>
  <cp:lastModifiedBy>kylinsp</cp:lastModifiedBy>
  <dcterms:modified xsi:type="dcterms:W3CDTF">2024-02-01T09:46:29Z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</Properties>
</file>