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582C" w:rsidRPr="0005301B" w:rsidRDefault="00CA51DF" w:rsidP="00BD4AD5">
      <w:pPr>
        <w:spacing w:line="520" w:lineRule="exact"/>
        <w:rPr>
          <w:rFonts w:ascii="Times New Roman" w:eastAsia="方正仿宋_GBK" w:hAnsi="Times New Roman" w:cs="Times New Roman"/>
          <w:sz w:val="32"/>
          <w:szCs w:val="32"/>
        </w:rPr>
      </w:pPr>
      <w:r w:rsidRPr="0005301B">
        <w:rPr>
          <w:rFonts w:ascii="Times New Roman" w:eastAsia="方正仿宋_GBK" w:hAnsi="Times New Roman" w:cs="Times New Roman"/>
          <w:sz w:val="32"/>
          <w:szCs w:val="32"/>
        </w:rPr>
        <w:t>附件</w:t>
      </w:r>
      <w:r w:rsidR="00BB3028" w:rsidRPr="0005301B">
        <w:rPr>
          <w:rFonts w:ascii="Times New Roman" w:eastAsia="方正仿宋_GBK" w:hAnsi="Times New Roman" w:cs="Times New Roman"/>
          <w:sz w:val="32"/>
          <w:szCs w:val="32"/>
        </w:rPr>
        <w:t>5</w:t>
      </w:r>
    </w:p>
    <w:p w:rsidR="006844D3" w:rsidRPr="0005301B" w:rsidRDefault="006844D3" w:rsidP="00BD4AD5">
      <w:pPr>
        <w:pStyle w:val="a5"/>
        <w:widowControl w:val="0"/>
        <w:shd w:val="clear" w:color="auto" w:fill="FFFFFF"/>
        <w:topLinePunct/>
        <w:adjustRightInd w:val="0"/>
        <w:snapToGrid w:val="0"/>
        <w:spacing w:before="0" w:beforeAutospacing="0" w:after="0" w:afterAutospacing="0" w:line="520" w:lineRule="exact"/>
        <w:jc w:val="center"/>
        <w:rPr>
          <w:rStyle w:val="a6"/>
          <w:rFonts w:ascii="Times New Roman" w:eastAsia="方正小标宋_GBK" w:hAnsi="Times New Roman" w:cs="Times New Roman"/>
          <w:b w:val="0"/>
          <w:sz w:val="44"/>
          <w:szCs w:val="44"/>
        </w:rPr>
      </w:pPr>
    </w:p>
    <w:p w:rsidR="007D582C" w:rsidRPr="0005301B" w:rsidRDefault="00CA51DF" w:rsidP="00BD4AD5">
      <w:pPr>
        <w:pStyle w:val="a5"/>
        <w:widowControl w:val="0"/>
        <w:shd w:val="clear" w:color="auto" w:fill="FFFFFF"/>
        <w:topLinePunct/>
        <w:adjustRightInd w:val="0"/>
        <w:snapToGrid w:val="0"/>
        <w:spacing w:before="0" w:beforeAutospacing="0" w:after="0" w:afterAutospacing="0" w:line="520" w:lineRule="exact"/>
        <w:jc w:val="center"/>
        <w:rPr>
          <w:rStyle w:val="a6"/>
          <w:rFonts w:ascii="Times New Roman" w:eastAsia="方正小标宋_GBK" w:hAnsi="Times New Roman" w:cs="Times New Roman"/>
          <w:b w:val="0"/>
          <w:sz w:val="44"/>
          <w:szCs w:val="44"/>
        </w:rPr>
      </w:pPr>
      <w:r w:rsidRPr="0005301B">
        <w:rPr>
          <w:rStyle w:val="a6"/>
          <w:rFonts w:ascii="Times New Roman" w:eastAsia="方正小标宋_GBK" w:hAnsi="Times New Roman" w:cs="Times New Roman"/>
          <w:b w:val="0"/>
          <w:sz w:val="44"/>
          <w:szCs w:val="44"/>
        </w:rPr>
        <w:t>部分指标和要求说明</w:t>
      </w:r>
    </w:p>
    <w:p w:rsidR="006844D3" w:rsidRPr="0005301B" w:rsidRDefault="006844D3" w:rsidP="00BD4AD5">
      <w:pPr>
        <w:pStyle w:val="a5"/>
        <w:widowControl w:val="0"/>
        <w:shd w:val="clear" w:color="auto" w:fill="FFFFFF"/>
        <w:topLinePunct/>
        <w:adjustRightInd w:val="0"/>
        <w:snapToGrid w:val="0"/>
        <w:spacing w:before="0" w:beforeAutospacing="0" w:after="0" w:afterAutospacing="0" w:line="520" w:lineRule="exact"/>
        <w:jc w:val="center"/>
        <w:rPr>
          <w:rFonts w:ascii="Times New Roman" w:eastAsia="方正小标宋_GBK" w:hAnsi="Times New Roman" w:cs="Times New Roman"/>
          <w:b/>
          <w:sz w:val="44"/>
          <w:szCs w:val="44"/>
        </w:rPr>
      </w:pPr>
    </w:p>
    <w:p w:rsidR="007D582C" w:rsidRPr="0005301B" w:rsidRDefault="00CA51DF" w:rsidP="00BD4AD5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05301B">
        <w:rPr>
          <w:rFonts w:ascii="Times New Roman" w:eastAsia="仿宋_GB2312" w:hAnsi="Times New Roman" w:cs="Times New Roman"/>
          <w:sz w:val="32"/>
          <w:szCs w:val="32"/>
        </w:rPr>
        <w:t>（一）指标中如对期限无特殊说明，一般使用企业近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1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年的年度数据，具体定义为：指企业上一完整会计年度，以企业上一年度审计报告期末数为准。对于存在子公司或母公司的企业，按财政部印发的《企业会计准则》有关规定执行。</w:t>
      </w:r>
    </w:p>
    <w:p w:rsidR="007D582C" w:rsidRPr="0005301B" w:rsidRDefault="00CA51DF" w:rsidP="00BD4AD5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05301B">
        <w:rPr>
          <w:rFonts w:ascii="Times New Roman" w:eastAsia="仿宋_GB2312" w:hAnsi="Times New Roman" w:cs="Times New Roman"/>
          <w:sz w:val="32"/>
          <w:szCs w:val="32"/>
        </w:rPr>
        <w:t>（二）所称拥有自主品牌是指主营业务产品或服务具有自主知识产权，且符合下列条件之一：</w:t>
      </w:r>
    </w:p>
    <w:p w:rsidR="007D582C" w:rsidRPr="0005301B" w:rsidRDefault="00CA51DF" w:rsidP="00BD4AD5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05301B">
        <w:rPr>
          <w:rFonts w:ascii="Times New Roman" w:eastAsia="仿宋_GB2312" w:hAnsi="Times New Roman" w:cs="Times New Roman"/>
          <w:sz w:val="32"/>
          <w:szCs w:val="32"/>
        </w:rPr>
        <w:t>1.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产品或服务品牌已经国家知识产权局商标局正式注册。</w:t>
      </w:r>
    </w:p>
    <w:p w:rsidR="007D582C" w:rsidRPr="0005301B" w:rsidRDefault="00CA51DF" w:rsidP="00BD4AD5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05301B">
        <w:rPr>
          <w:rFonts w:ascii="Times New Roman" w:eastAsia="仿宋_GB2312" w:hAnsi="Times New Roman" w:cs="Times New Roman"/>
          <w:sz w:val="32"/>
          <w:szCs w:val="32"/>
        </w:rPr>
        <w:t>2.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产品或服务已经实现收入。</w:t>
      </w:r>
    </w:p>
    <w:p w:rsidR="007D582C" w:rsidRPr="0005301B" w:rsidRDefault="00CA51DF" w:rsidP="00BD4AD5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05301B">
        <w:rPr>
          <w:rFonts w:ascii="Times New Roman" w:eastAsia="仿宋_GB2312" w:hAnsi="Times New Roman" w:cs="Times New Roman"/>
          <w:sz w:val="32"/>
          <w:szCs w:val="32"/>
        </w:rPr>
        <w:t>（三）所称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“Ⅰ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类知识产权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包括发明专利（含国防专利）、植物新品种、国家级农作物品种、国家新药、国家一级中药保护品种、集成电路布图设计专有权（均不包含转让未满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1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年的知识产权）。</w:t>
      </w:r>
    </w:p>
    <w:p w:rsidR="007D582C" w:rsidRPr="0005301B" w:rsidRDefault="00CA51DF" w:rsidP="00BD4AD5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05301B">
        <w:rPr>
          <w:rFonts w:ascii="Times New Roman" w:eastAsia="仿宋_GB2312" w:hAnsi="Times New Roman" w:cs="Times New Roman"/>
          <w:sz w:val="32"/>
          <w:szCs w:val="32"/>
        </w:rPr>
        <w:t>（四）所称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“Ⅰ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类高价值知识产权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须符合以下条件之一：</w:t>
      </w:r>
    </w:p>
    <w:p w:rsidR="007D582C" w:rsidRPr="0005301B" w:rsidRDefault="00CA51DF" w:rsidP="00BD4AD5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05301B">
        <w:rPr>
          <w:rFonts w:ascii="Times New Roman" w:eastAsia="仿宋_GB2312" w:hAnsi="Times New Roman" w:cs="Times New Roman"/>
          <w:sz w:val="32"/>
          <w:szCs w:val="32"/>
        </w:rPr>
        <w:t>1.</w:t>
      </w:r>
      <w:r w:rsidR="00F713AC" w:rsidRPr="0005301B">
        <w:rPr>
          <w:rFonts w:ascii="Times New Roman" w:eastAsia="仿宋_GB2312" w:hAnsi="Times New Roman" w:cs="Times New Roman"/>
          <w:sz w:val="32"/>
          <w:szCs w:val="32"/>
        </w:rPr>
        <w:t>在海外有同族专利权的发明专利或在海外取得收入的其它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Ⅰ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类知识产权，其中专利限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G20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成员、新加坡以及欧洲专利局经实质审查后获得授权的发明专利。</w:t>
      </w:r>
    </w:p>
    <w:p w:rsidR="007D582C" w:rsidRPr="0005301B" w:rsidRDefault="00CA51DF" w:rsidP="00BD4AD5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05301B">
        <w:rPr>
          <w:rFonts w:ascii="Times New Roman" w:eastAsia="仿宋_GB2312" w:hAnsi="Times New Roman" w:cs="Times New Roman"/>
          <w:sz w:val="32"/>
          <w:szCs w:val="32"/>
        </w:rPr>
        <w:t>2.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维持年限超过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10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年的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Ⅰ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类知识产权。</w:t>
      </w:r>
    </w:p>
    <w:p w:rsidR="007D582C" w:rsidRPr="0005301B" w:rsidRDefault="00CA51DF" w:rsidP="00BD4AD5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05301B">
        <w:rPr>
          <w:rFonts w:ascii="Times New Roman" w:eastAsia="仿宋_GB2312" w:hAnsi="Times New Roman" w:cs="Times New Roman"/>
          <w:sz w:val="32"/>
          <w:szCs w:val="32"/>
        </w:rPr>
        <w:t>3.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实现较高质押融资金额的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Ⅰ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类知识产权。</w:t>
      </w:r>
    </w:p>
    <w:p w:rsidR="007D582C" w:rsidRPr="0005301B" w:rsidRDefault="00CA51DF" w:rsidP="00BD4AD5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05301B">
        <w:rPr>
          <w:rFonts w:ascii="Times New Roman" w:eastAsia="仿宋_GB2312" w:hAnsi="Times New Roman" w:cs="Times New Roman"/>
          <w:sz w:val="32"/>
          <w:szCs w:val="32"/>
        </w:rPr>
        <w:t>4.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获得国家科学技术奖或中国专利奖的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Ⅰ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类知识产权。</w:t>
      </w:r>
    </w:p>
    <w:p w:rsidR="007D582C" w:rsidRPr="0005301B" w:rsidRDefault="00CA51DF" w:rsidP="00BD4AD5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05301B">
        <w:rPr>
          <w:rFonts w:ascii="Times New Roman" w:eastAsia="仿宋_GB2312" w:hAnsi="Times New Roman" w:cs="Times New Roman"/>
          <w:sz w:val="32"/>
          <w:szCs w:val="32"/>
        </w:rPr>
        <w:t>（五）所称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“Ⅱ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类知识产权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包括与主导产品相关的软件著作权（不含商标）、授权后维持超过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2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年的实用新型专利或外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lastRenderedPageBreak/>
        <w:t>观设计专利（均不包含转让未满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1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年的知识产权）。</w:t>
      </w:r>
    </w:p>
    <w:p w:rsidR="007D582C" w:rsidRPr="0005301B" w:rsidRDefault="00CA51DF" w:rsidP="00BD4AD5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05301B">
        <w:rPr>
          <w:rFonts w:ascii="Times New Roman" w:eastAsia="仿宋_GB2312" w:hAnsi="Times New Roman" w:cs="Times New Roman"/>
          <w:sz w:val="32"/>
          <w:szCs w:val="32"/>
        </w:rPr>
        <w:t>（六）所称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企业数字化转型水平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是指在工信部</w:t>
      </w:r>
      <w:bookmarkStart w:id="0" w:name="_GoBack"/>
      <w:bookmarkEnd w:id="0"/>
      <w:r w:rsidRPr="0005301B">
        <w:rPr>
          <w:rFonts w:ascii="Times New Roman" w:eastAsia="仿宋_GB2312" w:hAnsi="Times New Roman" w:cs="Times New Roman"/>
          <w:sz w:val="32"/>
          <w:szCs w:val="32"/>
        </w:rPr>
        <w:t>优质中小企业梯度培育平台完成数字化水平免费自测（网址：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http://caii-sme.indusforce.com/#/Selftest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）。</w:t>
      </w:r>
    </w:p>
    <w:p w:rsidR="007D582C" w:rsidRPr="0005301B" w:rsidRDefault="00CA51DF" w:rsidP="00BD4AD5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05301B">
        <w:rPr>
          <w:rFonts w:ascii="Times New Roman" w:eastAsia="仿宋_GB2312" w:hAnsi="Times New Roman" w:cs="Times New Roman"/>
          <w:sz w:val="32"/>
          <w:szCs w:val="32"/>
        </w:rPr>
        <w:t>（七）所称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重大安全（含网络安全、数据安全）、质量、环境污染等事故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是指产品安全、生产安全、工程质量安全、环境保护、网络安全等各级监管部门，依据《中华人民共和国安全生产法》《中华人民共和国环境保护法》《生产安全事故报告和调查处理条例》《中华人民共和国网络安全法》《中华人民共和国数据安全法》等法律法规，最高人民法院、最高人民检察院司法解释，部门规章以及地方法规等出具的判定意见。</w:t>
      </w:r>
    </w:p>
    <w:p w:rsidR="007D582C" w:rsidRPr="0005301B" w:rsidRDefault="00CA51DF" w:rsidP="00BD4AD5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05301B">
        <w:rPr>
          <w:rFonts w:ascii="Times New Roman" w:eastAsia="仿宋_GB2312" w:hAnsi="Times New Roman" w:cs="Times New Roman"/>
          <w:sz w:val="32"/>
          <w:szCs w:val="32"/>
        </w:rPr>
        <w:t>（八）所称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股权融资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是指公司股东稀释部分公司股权给投资人，以增资扩股（出让股权不超过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30%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）的方式引进新的股东，从而取得公司融资的方式。</w:t>
      </w:r>
    </w:p>
    <w:p w:rsidR="007D582C" w:rsidRPr="0005301B" w:rsidRDefault="00CA51DF" w:rsidP="00BD4AD5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05301B">
        <w:rPr>
          <w:rFonts w:ascii="Times New Roman" w:eastAsia="仿宋_GB2312" w:hAnsi="Times New Roman" w:cs="Times New Roman"/>
          <w:sz w:val="32"/>
          <w:szCs w:val="32"/>
        </w:rPr>
        <w:t>（九）所称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合格机构投资者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是指符合《创业投资企业管理暂行办法》（发展改革委等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10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部门令第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39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号）或者《私募投资基金监督管理暂行办法》（证监会令第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105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号）相关规定，按照上述规定完成备案</w:t>
      </w:r>
      <w:proofErr w:type="gramStart"/>
      <w:r w:rsidRPr="0005301B">
        <w:rPr>
          <w:rFonts w:ascii="Times New Roman" w:eastAsia="仿宋_GB2312" w:hAnsi="Times New Roman" w:cs="Times New Roman"/>
          <w:sz w:val="32"/>
          <w:szCs w:val="32"/>
        </w:rPr>
        <w:t>且规范</w:t>
      </w:r>
      <w:proofErr w:type="gramEnd"/>
      <w:r w:rsidRPr="0005301B">
        <w:rPr>
          <w:rFonts w:ascii="Times New Roman" w:eastAsia="仿宋_GB2312" w:hAnsi="Times New Roman" w:cs="Times New Roman"/>
          <w:sz w:val="32"/>
          <w:szCs w:val="32"/>
        </w:rPr>
        <w:t>运作的创业投资基金及私</w:t>
      </w:r>
      <w:proofErr w:type="gramStart"/>
      <w:r w:rsidRPr="0005301B">
        <w:rPr>
          <w:rFonts w:ascii="Times New Roman" w:eastAsia="仿宋_GB2312" w:hAnsi="Times New Roman" w:cs="Times New Roman"/>
          <w:sz w:val="32"/>
          <w:szCs w:val="32"/>
        </w:rPr>
        <w:t>募股权投资</w:t>
      </w:r>
      <w:proofErr w:type="gramEnd"/>
      <w:r w:rsidRPr="0005301B">
        <w:rPr>
          <w:rFonts w:ascii="Times New Roman" w:eastAsia="仿宋_GB2312" w:hAnsi="Times New Roman" w:cs="Times New Roman"/>
          <w:sz w:val="32"/>
          <w:szCs w:val="32"/>
        </w:rPr>
        <w:t>基金。</w:t>
      </w:r>
    </w:p>
    <w:p w:rsidR="007D582C" w:rsidRPr="0005301B" w:rsidRDefault="00CA51DF" w:rsidP="00BD4AD5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05301B">
        <w:rPr>
          <w:rFonts w:ascii="Times New Roman" w:eastAsia="仿宋_GB2312" w:hAnsi="Times New Roman" w:cs="Times New Roman"/>
          <w:sz w:val="32"/>
          <w:szCs w:val="32"/>
        </w:rPr>
        <w:t>（十）所称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主导产品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是指企业核心技术在产品中发挥重要作用，且产品收入之和占企业同期营业收入比重超过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50%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7D582C" w:rsidRPr="0005301B" w:rsidRDefault="00CA51DF" w:rsidP="00BD4AD5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05301B">
        <w:rPr>
          <w:rFonts w:ascii="Times New Roman" w:eastAsia="仿宋_GB2312" w:hAnsi="Times New Roman" w:cs="Times New Roman"/>
          <w:sz w:val="32"/>
          <w:szCs w:val="32"/>
        </w:rPr>
        <w:t>（十一）所称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主导产品在全国细分市场占有率达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10%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以上，且享有较高知名度和影响力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可通过企业自证或其他方式佐证。</w:t>
      </w:r>
    </w:p>
    <w:p w:rsidR="007D582C" w:rsidRPr="0005301B" w:rsidRDefault="00CA51DF" w:rsidP="00BD4AD5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05301B">
        <w:rPr>
          <w:rFonts w:ascii="Times New Roman" w:eastAsia="仿宋_GB2312" w:hAnsi="Times New Roman" w:cs="Times New Roman"/>
          <w:sz w:val="32"/>
          <w:szCs w:val="32"/>
        </w:rPr>
        <w:t>（十二）所称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省级科技奖励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包括各省、自治区、直辖市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lastRenderedPageBreak/>
        <w:t>科学技术奖的一、二、三等奖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;“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国家级科技奖励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包括国家科学技术进步奖、国家自然科学奖、国家技术发明奖，以及国防科技奖。</w:t>
      </w:r>
    </w:p>
    <w:p w:rsidR="007D582C" w:rsidRPr="0005301B" w:rsidRDefault="00CA51DF" w:rsidP="00BD4AD5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05301B">
        <w:rPr>
          <w:rFonts w:ascii="Times New Roman" w:eastAsia="仿宋_GB2312" w:hAnsi="Times New Roman" w:cs="Times New Roman"/>
          <w:sz w:val="32"/>
          <w:szCs w:val="32"/>
        </w:rPr>
        <w:t>（十三）如无特殊说明，所称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以上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、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以下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，包括本数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;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所称的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超过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，不包括本数。在计算评价指标得分时，如指标</w:t>
      </w:r>
      <w:proofErr w:type="gramStart"/>
      <w:r w:rsidRPr="0005301B">
        <w:rPr>
          <w:rFonts w:ascii="Times New Roman" w:eastAsia="仿宋_GB2312" w:hAnsi="Times New Roman" w:cs="Times New Roman"/>
          <w:sz w:val="32"/>
          <w:szCs w:val="32"/>
        </w:rPr>
        <w:t>值位于</w:t>
      </w:r>
      <w:proofErr w:type="gramEnd"/>
      <w:r w:rsidRPr="0005301B">
        <w:rPr>
          <w:rFonts w:ascii="Times New Roman" w:eastAsia="仿宋_GB2312" w:hAnsi="Times New Roman" w:cs="Times New Roman"/>
          <w:sz w:val="32"/>
          <w:szCs w:val="32"/>
        </w:rPr>
        <w:t>两个评分区间边界上，按高分计算得分。</w:t>
      </w:r>
    </w:p>
    <w:p w:rsidR="007D582C" w:rsidRPr="0005301B" w:rsidRDefault="00CA51DF" w:rsidP="00BD4AD5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05301B">
        <w:rPr>
          <w:rFonts w:ascii="Times New Roman" w:eastAsia="仿宋_GB2312" w:hAnsi="Times New Roman" w:cs="Times New Roman"/>
          <w:sz w:val="32"/>
          <w:szCs w:val="32"/>
        </w:rPr>
        <w:t>（十四）本办法部分指标计算公式</w:t>
      </w:r>
    </w:p>
    <w:p w:rsidR="007D582C" w:rsidRPr="0005301B" w:rsidRDefault="00CA51DF" w:rsidP="00BD4AD5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05301B">
        <w:rPr>
          <w:rFonts w:ascii="Times New Roman" w:eastAsia="仿宋_GB2312" w:hAnsi="Times New Roman" w:cs="Times New Roman"/>
          <w:sz w:val="32"/>
          <w:szCs w:val="32"/>
        </w:rPr>
        <w:t>近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2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年主营业务收入平均增长率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=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（企业上一年度主营业务收入增长率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+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企业上上年度主营业务收入增长率）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/2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7D582C" w:rsidRPr="0005301B" w:rsidRDefault="00CA51DF" w:rsidP="00BD4AD5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05301B">
        <w:rPr>
          <w:rFonts w:ascii="Times New Roman" w:eastAsia="仿宋_GB2312" w:hAnsi="Times New Roman" w:cs="Times New Roman"/>
          <w:sz w:val="32"/>
          <w:szCs w:val="32"/>
        </w:rPr>
        <w:t>企业上一年度主营业务收入增长率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=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（企业上一年度主营业务收入总额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-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企业上上年度主营业务收入总额）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/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企业上上年度主营业务收入总额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*100%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。其他年度主营业务收入增长率计算方法以此类推。</w:t>
      </w:r>
    </w:p>
    <w:p w:rsidR="007D582C" w:rsidRPr="0005301B" w:rsidRDefault="00CA51DF" w:rsidP="00BD4AD5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05301B">
        <w:rPr>
          <w:rFonts w:ascii="Times New Roman" w:eastAsia="仿宋_GB2312" w:hAnsi="Times New Roman" w:cs="Times New Roman"/>
          <w:sz w:val="32"/>
          <w:szCs w:val="32"/>
        </w:rPr>
        <w:t>（十五）所称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被列入经营异常名录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以国家企业信用信息公示系统（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http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：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//www.gsxt.gov.cn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）查询结果为准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;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所称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严重失信主体名单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以信用中国（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http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：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//www.creditchina.gov.cn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）查询结果为准。</w:t>
      </w:r>
    </w:p>
    <w:p w:rsidR="007D582C" w:rsidRPr="0005301B" w:rsidRDefault="00CA51DF" w:rsidP="00BD4AD5">
      <w:pPr>
        <w:pStyle w:val="a5"/>
        <w:widowControl w:val="0"/>
        <w:shd w:val="clear" w:color="auto" w:fill="FFFFFF"/>
        <w:overflowPunct w:val="0"/>
        <w:adjustRightInd w:val="0"/>
        <w:snapToGrid w:val="0"/>
        <w:spacing w:before="0" w:beforeAutospacing="0" w:after="0" w:afterAutospacing="0" w:line="52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05301B">
        <w:rPr>
          <w:rFonts w:ascii="Times New Roman" w:eastAsia="仿宋_GB2312" w:hAnsi="Times New Roman" w:cs="Times New Roman"/>
          <w:sz w:val="32"/>
          <w:szCs w:val="32"/>
        </w:rPr>
        <w:t>（十六）所称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创客中国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中小企业创新创业大赛全国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500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强、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50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强企业组名单是指该大赛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2021</w:t>
      </w:r>
      <w:r w:rsidRPr="0005301B">
        <w:rPr>
          <w:rFonts w:ascii="Times New Roman" w:eastAsia="仿宋_GB2312" w:hAnsi="Times New Roman" w:cs="Times New Roman"/>
          <w:sz w:val="32"/>
          <w:szCs w:val="32"/>
        </w:rPr>
        <w:t>年以来正式发布的名单。</w:t>
      </w:r>
    </w:p>
    <w:p w:rsidR="002F2810" w:rsidRPr="0005301B" w:rsidRDefault="000E4A88" w:rsidP="00BD4AD5">
      <w:pPr>
        <w:overflowPunct w:val="0"/>
        <w:adjustRightInd w:val="0"/>
        <w:snapToGrid w:val="0"/>
        <w:spacing w:line="520" w:lineRule="exact"/>
        <w:ind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5301B">
        <w:rPr>
          <w:rFonts w:ascii="Times New Roman" w:eastAsia="仿宋_GB2312" w:hAnsi="Times New Roman" w:cs="Times New Roman"/>
          <w:sz w:val="32"/>
          <w:szCs w:val="32"/>
        </w:rPr>
        <w:t>（十七</w:t>
      </w:r>
      <w:r w:rsidR="00CA51DF" w:rsidRPr="0005301B">
        <w:rPr>
          <w:rFonts w:ascii="Times New Roman" w:eastAsia="仿宋_GB2312" w:hAnsi="Times New Roman" w:cs="Times New Roman"/>
          <w:sz w:val="32"/>
          <w:szCs w:val="32"/>
        </w:rPr>
        <w:t>）国家级</w:t>
      </w:r>
      <w:r w:rsidR="00CA51DF"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先进制造业集群：</w:t>
      </w:r>
      <w:r w:rsidR="002F2810"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常州市新型碳材料集群</w:t>
      </w:r>
      <w:r w:rsidR="008070FE"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、</w:t>
      </w:r>
      <w:r w:rsidR="002F2810"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溧阳</w:t>
      </w:r>
      <w:r w:rsidR="00B30E2E"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市</w:t>
      </w:r>
      <w:r w:rsidR="008070FE"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动力电池</w:t>
      </w:r>
      <w:r w:rsidR="002F2810"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中小企业特色产业集群</w:t>
      </w:r>
      <w:r w:rsidR="00590517"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、</w:t>
      </w:r>
      <w:r w:rsidR="00291244"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新北区新能源汽车电气设备</w:t>
      </w:r>
      <w:r w:rsidR="00C17D48"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中小企业特色</w:t>
      </w:r>
      <w:r w:rsidR="00291244"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产业集群</w:t>
      </w:r>
      <w:r w:rsidR="008070FE"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。</w:t>
      </w:r>
    </w:p>
    <w:p w:rsidR="003572AD" w:rsidRPr="0005301B" w:rsidRDefault="0020204B" w:rsidP="00BD4AD5">
      <w:pPr>
        <w:overflowPunct w:val="0"/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（十八）江苏省</w:t>
      </w:r>
      <w:r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16</w:t>
      </w:r>
      <w:r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个先进制造业集群包括：新型电力装备、</w:t>
      </w:r>
      <w:r w:rsidR="003572AD"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新能源、物联网、生物医药、高端纺织、新材料、半导</w:t>
      </w:r>
      <w:r w:rsidR="003572AD"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lastRenderedPageBreak/>
        <w:t>体、高端装备、航空航天、高技术船舶</w:t>
      </w:r>
      <w:proofErr w:type="gramStart"/>
      <w:r w:rsidR="003572AD"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与海工装备</w:t>
      </w:r>
      <w:proofErr w:type="gramEnd"/>
      <w:r w:rsidR="003572AD"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、新能源汽车、新一代信息通信、节能环保、新型食品、软件与信息服务、新兴数字产业。</w:t>
      </w:r>
    </w:p>
    <w:p w:rsidR="0020204B" w:rsidRPr="0005301B" w:rsidRDefault="0013532F" w:rsidP="00BD4AD5">
      <w:pPr>
        <w:overflowPunct w:val="0"/>
        <w:adjustRightInd w:val="0"/>
        <w:snapToGrid w:val="0"/>
        <w:spacing w:line="520" w:lineRule="exact"/>
        <w:ind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（十九）</w:t>
      </w:r>
      <w:r w:rsidR="00F0246B"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常州</w:t>
      </w:r>
      <w:r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市</w:t>
      </w:r>
      <w:r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“1028”</w:t>
      </w:r>
      <w:r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产业体系十大先进制造业集群包括：新能源</w:t>
      </w:r>
      <w:r w:rsidR="00F0246B"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、</w:t>
      </w:r>
      <w:r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新能源汽车及汽车零部件</w:t>
      </w:r>
      <w:r w:rsidR="00F0246B"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、</w:t>
      </w:r>
      <w:r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高端装备</w:t>
      </w:r>
      <w:r w:rsidR="00F0246B"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、</w:t>
      </w:r>
      <w:r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新型电力装备集群</w:t>
      </w:r>
      <w:r w:rsidR="00F0246B"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、</w:t>
      </w:r>
      <w:r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新材料</w:t>
      </w:r>
      <w:r w:rsidR="00F0246B"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、</w:t>
      </w:r>
      <w:r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生物技术及新型医疗器械</w:t>
      </w:r>
      <w:r w:rsidR="00F0246B"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、</w:t>
      </w:r>
      <w:r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新一代电子信息产业</w:t>
      </w:r>
      <w:r w:rsidR="00F0246B"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、</w:t>
      </w:r>
      <w:r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数字信息产业</w:t>
      </w:r>
      <w:r w:rsidR="00F0246B"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、</w:t>
      </w:r>
      <w:r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节能环保</w:t>
      </w:r>
      <w:r w:rsidR="00F0246B"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、</w:t>
      </w:r>
      <w:r w:rsidRPr="0005301B">
        <w:rPr>
          <w:rFonts w:ascii="Times New Roman" w:eastAsia="仿宋_GB2312" w:hAnsi="Times New Roman" w:cs="Times New Roman"/>
          <w:kern w:val="0"/>
          <w:sz w:val="32"/>
          <w:szCs w:val="32"/>
        </w:rPr>
        <w:t>高端纺织服装。</w:t>
      </w:r>
    </w:p>
    <w:p w:rsidR="007D582C" w:rsidRPr="0005301B" w:rsidRDefault="007D582C" w:rsidP="00BD4AD5">
      <w:pPr>
        <w:overflowPunct w:val="0"/>
        <w:adjustRightInd w:val="0"/>
        <w:snapToGrid w:val="0"/>
        <w:spacing w:line="520" w:lineRule="exact"/>
        <w:ind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sectPr w:rsidR="007D582C" w:rsidRPr="0005301B" w:rsidSect="007D582C">
      <w:footerReference w:type="default" r:id="rId7"/>
      <w:pgSz w:w="11906" w:h="16838"/>
      <w:pgMar w:top="1814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3DD2" w:rsidRDefault="00E13DD2" w:rsidP="007D582C">
      <w:r>
        <w:separator/>
      </w:r>
    </w:p>
  </w:endnote>
  <w:endnote w:type="continuationSeparator" w:id="0">
    <w:p w:rsidR="00E13DD2" w:rsidRDefault="00E13DD2" w:rsidP="007D58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582C" w:rsidRDefault="007D582C">
    <w:pPr>
      <w:pStyle w:val="a3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3DD2" w:rsidRDefault="00E13DD2" w:rsidP="007D582C">
      <w:r>
        <w:separator/>
      </w:r>
    </w:p>
  </w:footnote>
  <w:footnote w:type="continuationSeparator" w:id="0">
    <w:p w:rsidR="00E13DD2" w:rsidRDefault="00E13DD2" w:rsidP="007D58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doNotCompress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3384"/>
    <w:rsid w:val="0005301B"/>
    <w:rsid w:val="000E4A88"/>
    <w:rsid w:val="0013532F"/>
    <w:rsid w:val="001A5812"/>
    <w:rsid w:val="0020204B"/>
    <w:rsid w:val="00213384"/>
    <w:rsid w:val="00291244"/>
    <w:rsid w:val="002D3E53"/>
    <w:rsid w:val="002F2810"/>
    <w:rsid w:val="00316D3B"/>
    <w:rsid w:val="003572AD"/>
    <w:rsid w:val="00370D0B"/>
    <w:rsid w:val="00504072"/>
    <w:rsid w:val="00527767"/>
    <w:rsid w:val="005754E7"/>
    <w:rsid w:val="00590517"/>
    <w:rsid w:val="006844D3"/>
    <w:rsid w:val="006A7462"/>
    <w:rsid w:val="006B1C84"/>
    <w:rsid w:val="007A2D88"/>
    <w:rsid w:val="007D582C"/>
    <w:rsid w:val="007E6088"/>
    <w:rsid w:val="007F23A7"/>
    <w:rsid w:val="008070FE"/>
    <w:rsid w:val="0083007F"/>
    <w:rsid w:val="00887B2C"/>
    <w:rsid w:val="0089092E"/>
    <w:rsid w:val="008C7FF7"/>
    <w:rsid w:val="009111D1"/>
    <w:rsid w:val="009618FB"/>
    <w:rsid w:val="00981E30"/>
    <w:rsid w:val="009B5461"/>
    <w:rsid w:val="009D13EC"/>
    <w:rsid w:val="009D3C37"/>
    <w:rsid w:val="00A152B7"/>
    <w:rsid w:val="00B30E2E"/>
    <w:rsid w:val="00B336D4"/>
    <w:rsid w:val="00BB3028"/>
    <w:rsid w:val="00BC1EAD"/>
    <w:rsid w:val="00BD4AD5"/>
    <w:rsid w:val="00BD4E10"/>
    <w:rsid w:val="00C07B5E"/>
    <w:rsid w:val="00C17D48"/>
    <w:rsid w:val="00C42E9D"/>
    <w:rsid w:val="00CA51DF"/>
    <w:rsid w:val="00D22A4F"/>
    <w:rsid w:val="00D40BA1"/>
    <w:rsid w:val="00DA6D4B"/>
    <w:rsid w:val="00E13DD2"/>
    <w:rsid w:val="00E4213C"/>
    <w:rsid w:val="00E960D4"/>
    <w:rsid w:val="00F0246B"/>
    <w:rsid w:val="00F713AC"/>
    <w:rsid w:val="00F745FC"/>
    <w:rsid w:val="00FF7892"/>
    <w:rsid w:val="5FF3DA97"/>
    <w:rsid w:val="7FBA88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82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D58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D58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7D58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D582C"/>
    <w:rPr>
      <w:b/>
      <w:bCs/>
    </w:rPr>
  </w:style>
  <w:style w:type="character" w:customStyle="1" w:styleId="Char0">
    <w:name w:val="页眉 Char"/>
    <w:basedOn w:val="a0"/>
    <w:link w:val="a4"/>
    <w:uiPriority w:val="99"/>
    <w:qFormat/>
    <w:rsid w:val="007D582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D582C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83007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3007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283</Words>
  <Characters>1619</Characters>
  <Application>Microsoft Office Word</Application>
  <DocSecurity>0</DocSecurity>
  <Lines>13</Lines>
  <Paragraphs>3</Paragraphs>
  <ScaleCrop>false</ScaleCrop>
  <Company>Microsoft</Company>
  <LinksUpToDate>false</LinksUpToDate>
  <CharactersWithSpaces>1899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24</cp:revision>
  <cp:lastPrinted>2023-06-05T01:11:00Z</cp:lastPrinted>
  <dcterms:created xsi:type="dcterms:W3CDTF">2022-09-16T02:51:00Z</dcterms:created>
  <dcterms:modified xsi:type="dcterms:W3CDTF">2024-03-06T01:24:00Z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