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jc w:val="center"/>
        <w:rPr>
          <w:rFonts w:ascii="方正小标宋简体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sz w:val="44"/>
          <w:szCs w:val="44"/>
        </w:rPr>
        <w:t>常州市“终身学习品牌项目”认定标准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1555"/>
        <w:gridCol w:w="55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一级指标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二级指标</w:t>
            </w:r>
          </w:p>
        </w:tc>
        <w:tc>
          <w:tcPr>
            <w:tcW w:w="5502" w:type="dxa"/>
            <w:vAlign w:val="center"/>
          </w:tcPr>
          <w:p>
            <w:pPr>
              <w:jc w:val="center"/>
              <w:rPr>
                <w:rFonts w:ascii="仿宋_GB2312" w:eastAsia="仿宋_GB2312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b/>
                <w:bCs/>
                <w:sz w:val="24"/>
                <w:szCs w:val="24"/>
              </w:rPr>
              <w:t>认定标准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上级领导重视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地方党委政府重视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地方党委政府重视社区教育工作，社区教育工作委员会能够发挥积极作用。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地方党委政府分管领导听取社区教育品牌项目建设工作汇报，参与品牌项目的活动指导，给予一定的条件支持。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教育部门支持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社区教育网络体系健全，机制健全，社区教育没有明显的城乡差距和地区差距。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教育部门积极引导，开展社区教育品牌项目建设的评比表彰交流活动。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社区教育机构主导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社区教育机构重视本地区品牌项目建设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将社区教育品牌项目建设纳入社区教育机构的年度工作计划和总结。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社区教育机构每年召开品牌项目建设会议。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社区教育机构主导本品牌项目的建设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品牌项目建设由社区教育机构主导，组织管理规范。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品牌项目有长期发展规划，坚持社会主义核心价值观，定位准确，学习内容积极健康，符合国家有关要求。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推进措施有力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资源统筹</w:t>
            </w:r>
          </w:p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品牌项目能够较好地发挥统筹各类资源的作用，发挥众建共享的功能。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队伍建设</w:t>
            </w:r>
          </w:p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品牌项目有连续的主要负责人主导。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拥有一支素质高，热心服务的专家、教师和管理服务人员或志愿者队伍。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组织保障</w:t>
            </w:r>
          </w:p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★品牌项目有详细的年度学习教育培训计划，能够通过培育学习型组织、学习型团队和社区学习共同体等多种组织方式具体实施。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经费保障</w:t>
            </w:r>
          </w:p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社区教育机构负责筹集专项资金，品牌项目每年有稳定的资金支持。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内涵特色鲜明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特色鲜明</w:t>
            </w:r>
          </w:p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品牌项目有丰富的文化内涵时代特征，具有传承性和创新性。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品牌项目有标识，有口号，有能够集中体现本项活动主题、容易记忆的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LOGO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品牌项目有能够集中体现本项活动主题的主题词或口号。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服务形式优化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内涵丰富</w:t>
            </w:r>
          </w:p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品牌项目活动组织形式多样。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能够发挥信息技术优势，支持多种形式的学习活动。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学习活动常态化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能够请进来、走出去，参与方式便捷。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学习资源丰富，有典型教材或学习资料。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学习场所、时间、服务内容相对稳定，环境条件较好。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成果效益显著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活动成果</w:t>
            </w:r>
          </w:p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3-6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个通过本项活动产生了感染力强、影响度大、传递正能量的典型故事、事例。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获得相应的表彰奖励。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在当地媒体被多次宣传报道。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在本地区、本行业内有较大影响，具有引领性和示范性。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465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eastAsia="仿宋_GB2312" w:cs="Times New Roman"/>
                <w:sz w:val="24"/>
                <w:szCs w:val="24"/>
              </w:rPr>
            </w:pP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参与率与满意度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502" w:type="dxa"/>
            <w:vAlign w:val="center"/>
          </w:tcPr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创建时间原则上不少于三年。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有详细的活动记录，有相对固定的学习群体，参与学习的人数多，一般每年不少于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人或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5000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人次。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  <w:p>
            <w:pPr>
              <w:rPr>
                <w:rFonts w:hint="eastAsia" w:ascii="仿宋_GB2312" w:hAnsi="仿宋_GB2312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参与者满意度高，抽样调查满意度达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90%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以上，形成良好社会影响，对促进全民终身学习作出积极贡献。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分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)</w:t>
            </w:r>
          </w:p>
        </w:tc>
      </w:tr>
    </w:tbl>
    <w:p>
      <w:pPr>
        <w:rPr>
          <w:rFonts w:cs="Times New Roman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注：★为核心指标，</w:t>
      </w:r>
      <w:r>
        <w:rPr>
          <w:rFonts w:ascii="仿宋_GB2312" w:hAnsi="仿宋_GB2312" w:eastAsia="仿宋_GB2312" w:cs="仿宋_GB2312"/>
          <w:sz w:val="24"/>
          <w:szCs w:val="24"/>
        </w:rPr>
        <w:t>10</w:t>
      </w:r>
      <w:r>
        <w:rPr>
          <w:rFonts w:hint="eastAsia" w:ascii="仿宋_GB2312" w:hAnsi="仿宋_GB2312" w:eastAsia="仿宋_GB2312" w:cs="仿宋_GB2312"/>
          <w:sz w:val="24"/>
          <w:szCs w:val="24"/>
        </w:rPr>
        <w:t>个核心指标全部达标，且总分在</w:t>
      </w:r>
      <w:r>
        <w:rPr>
          <w:rFonts w:ascii="仿宋_GB2312" w:hAnsi="仿宋_GB2312" w:eastAsia="仿宋_GB2312" w:cs="仿宋_GB2312"/>
          <w:sz w:val="24"/>
          <w:szCs w:val="24"/>
        </w:rPr>
        <w:t>80</w:t>
      </w:r>
      <w:r>
        <w:rPr>
          <w:rFonts w:hint="eastAsia" w:ascii="仿宋_GB2312" w:hAnsi="仿宋_GB2312" w:eastAsia="仿宋_GB2312" w:cs="仿宋_GB2312"/>
          <w:sz w:val="24"/>
          <w:szCs w:val="24"/>
        </w:rPr>
        <w:t>分以上</w:t>
      </w:r>
      <w:r>
        <w:rPr>
          <w:rFonts w:hint="default" w:ascii="仿宋_GB2312" w:hAnsi="仿宋_GB2312" w:eastAsia="仿宋_GB2312" w:cs="仿宋_GB2312"/>
          <w:sz w:val="24"/>
          <w:szCs w:val="24"/>
        </w:rPr>
        <w:t>，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24"/>
          <w:szCs w:val="24"/>
        </w:rPr>
        <w:t>可</w:t>
      </w:r>
      <w:r>
        <w:rPr>
          <w:rFonts w:hint="eastAsia" w:ascii="仿宋_GB2312" w:hAnsi="仿宋_GB2312" w:eastAsia="仿宋_GB2312" w:cs="仿宋_GB2312"/>
          <w:sz w:val="24"/>
          <w:szCs w:val="24"/>
        </w:rPr>
        <w:t>认定为常州市</w:t>
      </w:r>
      <w:r>
        <w:rPr>
          <w:rFonts w:hint="default" w:ascii="仿宋_GB2312" w:hAnsi="仿宋_GB2312" w:eastAsia="仿宋_GB2312" w:cs="仿宋_GB2312"/>
          <w:sz w:val="24"/>
          <w:szCs w:val="24"/>
        </w:rPr>
        <w:t>终身学习</w:t>
      </w:r>
      <w:r>
        <w:rPr>
          <w:rFonts w:hint="eastAsia" w:ascii="仿宋_GB2312" w:hAnsi="仿宋_GB2312" w:eastAsia="仿宋_GB2312" w:cs="仿宋_GB2312"/>
          <w:sz w:val="24"/>
          <w:szCs w:val="24"/>
        </w:rPr>
        <w:t>品牌项目。</w:t>
      </w: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7"/>
        <w:rFonts w:ascii="Times New Roman" w:hAnsi="Times New Roman" w:cs="Times New Roman"/>
        <w:sz w:val="28"/>
        <w:szCs w:val="28"/>
      </w:rPr>
    </w:pPr>
    <w:r>
      <w:rPr>
        <w:rStyle w:val="7"/>
        <w:rFonts w:ascii="Times New Roman" w:hAnsi="Times New Roman" w:cs="Times New Roman"/>
        <w:sz w:val="28"/>
        <w:szCs w:val="28"/>
      </w:rPr>
      <w:fldChar w:fldCharType="begin"/>
    </w:r>
    <w:r>
      <w:rPr>
        <w:rStyle w:val="7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7"/>
        <w:rFonts w:ascii="Times New Roman" w:hAnsi="Times New Roman" w:cs="Times New Roman"/>
        <w:sz w:val="28"/>
        <w:szCs w:val="28"/>
      </w:rPr>
      <w:fldChar w:fldCharType="separate"/>
    </w:r>
    <w:r>
      <w:rPr>
        <w:rStyle w:val="7"/>
        <w:rFonts w:ascii="Times New Roman" w:hAnsi="Times New Roman" w:cs="Times New Roman"/>
        <w:sz w:val="28"/>
        <w:szCs w:val="28"/>
      </w:rPr>
      <w:t>- 7 -</w:t>
    </w:r>
    <w:r>
      <w:rPr>
        <w:rStyle w:val="7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5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DZiM2E5YjRmYTBiY2EyODk1YjMzOGFjZmE2ZDcxOTYifQ=="/>
  </w:docVars>
  <w:rsids>
    <w:rsidRoot w:val="57C27E1D"/>
    <w:rsid w:val="00020F50"/>
    <w:rsid w:val="000A7092"/>
    <w:rsid w:val="001A0A89"/>
    <w:rsid w:val="002C0B48"/>
    <w:rsid w:val="00764D94"/>
    <w:rsid w:val="008918F9"/>
    <w:rsid w:val="008A0A3A"/>
    <w:rsid w:val="00963FCB"/>
    <w:rsid w:val="009B55B6"/>
    <w:rsid w:val="00B46B68"/>
    <w:rsid w:val="00B93E50"/>
    <w:rsid w:val="00C019A2"/>
    <w:rsid w:val="00FC7D69"/>
    <w:rsid w:val="049323D3"/>
    <w:rsid w:val="05CB1883"/>
    <w:rsid w:val="069B049F"/>
    <w:rsid w:val="080170AB"/>
    <w:rsid w:val="0AF75751"/>
    <w:rsid w:val="0BDA2324"/>
    <w:rsid w:val="0C580406"/>
    <w:rsid w:val="10B43477"/>
    <w:rsid w:val="110B64C6"/>
    <w:rsid w:val="118D4A40"/>
    <w:rsid w:val="120909F3"/>
    <w:rsid w:val="12F71CBA"/>
    <w:rsid w:val="1398736B"/>
    <w:rsid w:val="13B95DA7"/>
    <w:rsid w:val="168E5198"/>
    <w:rsid w:val="17E74356"/>
    <w:rsid w:val="1AAB72B2"/>
    <w:rsid w:val="1B9C5FFE"/>
    <w:rsid w:val="1D7B6D1C"/>
    <w:rsid w:val="20D22838"/>
    <w:rsid w:val="220137C6"/>
    <w:rsid w:val="268A7C0A"/>
    <w:rsid w:val="285662AD"/>
    <w:rsid w:val="29C9706D"/>
    <w:rsid w:val="2BEF705F"/>
    <w:rsid w:val="2F5E7D69"/>
    <w:rsid w:val="300C48A2"/>
    <w:rsid w:val="35241EA5"/>
    <w:rsid w:val="37002CEB"/>
    <w:rsid w:val="3BA736F3"/>
    <w:rsid w:val="3C3F1671"/>
    <w:rsid w:val="3D9339A4"/>
    <w:rsid w:val="40946CA5"/>
    <w:rsid w:val="42D35AA5"/>
    <w:rsid w:val="46890F3D"/>
    <w:rsid w:val="49D517DE"/>
    <w:rsid w:val="4A6A0A12"/>
    <w:rsid w:val="4AEB2AC8"/>
    <w:rsid w:val="4C376353"/>
    <w:rsid w:val="4D441B1C"/>
    <w:rsid w:val="4F73639A"/>
    <w:rsid w:val="50B93A61"/>
    <w:rsid w:val="52B5515A"/>
    <w:rsid w:val="55175A13"/>
    <w:rsid w:val="57C27E1D"/>
    <w:rsid w:val="58A3487E"/>
    <w:rsid w:val="5B053525"/>
    <w:rsid w:val="5DFF2073"/>
    <w:rsid w:val="5FEF2273"/>
    <w:rsid w:val="60BE38EB"/>
    <w:rsid w:val="686B4171"/>
    <w:rsid w:val="69D32B9D"/>
    <w:rsid w:val="6AE44266"/>
    <w:rsid w:val="6C18506F"/>
    <w:rsid w:val="6CD67A3D"/>
    <w:rsid w:val="6EE36CD6"/>
    <w:rsid w:val="714B0C86"/>
    <w:rsid w:val="72A14B3C"/>
    <w:rsid w:val="73A31BD0"/>
    <w:rsid w:val="755845DF"/>
    <w:rsid w:val="785A2E96"/>
    <w:rsid w:val="7E653FF3"/>
    <w:rsid w:val="7E92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99"/>
  </w:style>
  <w:style w:type="character" w:customStyle="1" w:styleId="8">
    <w:name w:val="Header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9">
    <w:name w:val="Footer Char"/>
    <w:basedOn w:val="6"/>
    <w:link w:val="2"/>
    <w:semiHidden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2</Pages>
  <Words>1163</Words>
  <Characters>1195</Characters>
  <Lines>0</Lines>
  <Paragraphs>0</Paragraphs>
  <TotalTime>27</TotalTime>
  <ScaleCrop>false</ScaleCrop>
  <LinksUpToDate>false</LinksUpToDate>
  <CharactersWithSpaces>1195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2017-10-27T23:05:00Z</dcterms:created>
  <dc:creator>Administrator</dc:creator>
  <cp:lastModifiedBy>kylinsp</cp:lastModifiedBy>
  <dcterms:modified xsi:type="dcterms:W3CDTF">2024-03-12T11:13:27Z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  <property fmtid="{D5CDD505-2E9C-101B-9397-08002B2CF9AE}" pid="3" name="ICV">
    <vt:lpwstr>8B07D1821F5249DEB7E9968699F05875</vt:lpwstr>
  </property>
</Properties>
</file>