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rPr>
          <w:rFonts w:ascii="Times New Roman" w:hAnsi="Times New Roman" w:eastAsia="黑体" w:cs="Times New Roman"/>
          <w:sz w:val="32"/>
          <w:szCs w:val="32"/>
        </w:rPr>
      </w:pPr>
      <w:r>
        <w:rPr>
          <w:rFonts w:ascii="Times New Roman" w:hAnsi="Times New Roman" w:eastAsia="黑体" w:cs="Times New Roman"/>
          <w:sz w:val="32"/>
          <w:szCs w:val="32"/>
        </w:rPr>
        <w:t>附件</w:t>
      </w:r>
    </w:p>
    <w:p>
      <w:pPr>
        <w:adjustRightInd w:val="0"/>
        <w:snapToGrid w:val="0"/>
        <w:spacing w:line="560" w:lineRule="exact"/>
        <w:jc w:val="center"/>
        <w:rPr>
          <w:rFonts w:ascii="Times New Roman" w:hAnsi="Times New Roman" w:eastAsia="方正小标宋简体" w:cs="Times New Roman"/>
          <w:sz w:val="44"/>
          <w:szCs w:val="44"/>
        </w:rPr>
      </w:pPr>
      <w:bookmarkStart w:id="1" w:name="_GoBack"/>
      <w:r>
        <w:rPr>
          <w:rFonts w:ascii="Times New Roman" w:hAnsi="Times New Roman" w:eastAsia="方正小标宋简体" w:cs="Times New Roman"/>
          <w:sz w:val="44"/>
          <w:szCs w:val="44"/>
        </w:rPr>
        <w:t>2024年常州市</w:t>
      </w:r>
      <w:r>
        <w:rPr>
          <w:rFonts w:hint="eastAsia" w:ascii="Times New Roman" w:hAnsi="Times New Roman" w:eastAsia="方正小标宋简体" w:cs="Times New Roman"/>
          <w:sz w:val="44"/>
          <w:szCs w:val="44"/>
        </w:rPr>
        <w:t>合成生物学领域</w:t>
      </w:r>
      <w:r>
        <w:rPr>
          <w:rFonts w:ascii="Times New Roman" w:hAnsi="Times New Roman" w:eastAsia="方正小标宋简体" w:cs="Times New Roman"/>
          <w:sz w:val="44"/>
          <w:szCs w:val="44"/>
        </w:rPr>
        <w:t>“揭榜挂帅”</w:t>
      </w:r>
    </w:p>
    <w:p>
      <w:pPr>
        <w:adjustRightInd w:val="0"/>
        <w:snapToGrid w:val="0"/>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科技攻关</w:t>
      </w:r>
      <w:r>
        <w:rPr>
          <w:rFonts w:ascii="Times New Roman" w:hAnsi="Times New Roman" w:eastAsia="方正小标宋简体" w:cs="Times New Roman"/>
          <w:sz w:val="44"/>
          <w:szCs w:val="44"/>
        </w:rPr>
        <w:t>拟中榜名单</w:t>
      </w:r>
      <w:bookmarkEnd w:id="1"/>
    </w:p>
    <w:p>
      <w:pPr>
        <w:adjustRightInd w:val="0"/>
        <w:snapToGrid w:val="0"/>
        <w:spacing w:line="560" w:lineRule="exact"/>
        <w:jc w:val="center"/>
        <w:rPr>
          <w:rFonts w:ascii="Times New Roman" w:hAnsi="Times New Roman" w:eastAsia="方正小标宋简体" w:cs="Times New Roman"/>
          <w:sz w:val="24"/>
        </w:rPr>
      </w:pPr>
    </w:p>
    <w:tbl>
      <w:tblPr>
        <w:tblStyle w:val="5"/>
        <w:tblW w:w="5248" w:type="pct"/>
        <w:tblInd w:w="0" w:type="dxa"/>
        <w:tblLayout w:type="fixed"/>
        <w:tblCellMar>
          <w:top w:w="0" w:type="dxa"/>
          <w:left w:w="108" w:type="dxa"/>
          <w:bottom w:w="0" w:type="dxa"/>
          <w:right w:w="108" w:type="dxa"/>
        </w:tblCellMar>
      </w:tblPr>
      <w:tblGrid>
        <w:gridCol w:w="841"/>
        <w:gridCol w:w="3591"/>
        <w:gridCol w:w="2974"/>
        <w:gridCol w:w="2103"/>
      </w:tblGrid>
      <w:tr>
        <w:tblPrEx>
          <w:tblCellMar>
            <w:top w:w="0" w:type="dxa"/>
            <w:left w:w="108" w:type="dxa"/>
            <w:bottom w:w="0" w:type="dxa"/>
            <w:right w:w="108" w:type="dxa"/>
          </w:tblCellMar>
        </w:tblPrEx>
        <w:trPr>
          <w:trHeight w:val="558"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序号</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kern w:val="0"/>
                <w:sz w:val="24"/>
                <w:lang w:bidi="ar"/>
              </w:rPr>
            </w:pPr>
            <w:r>
              <w:rPr>
                <w:rFonts w:hint="eastAsia" w:ascii="宋体" w:hAnsi="宋体" w:cs="宋体"/>
                <w:b/>
                <w:bCs/>
                <w:color w:val="000000"/>
                <w:kern w:val="0"/>
                <w:sz w:val="24"/>
                <w:lang w:bidi="ar"/>
              </w:rPr>
              <w:t>技术需求名称</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发榜单位</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揭榜单位</w:t>
            </w:r>
          </w:p>
        </w:tc>
      </w:tr>
      <w:tr>
        <w:tblPrEx>
          <w:tblCellMar>
            <w:top w:w="0" w:type="dxa"/>
            <w:left w:w="108" w:type="dxa"/>
            <w:bottom w:w="0" w:type="dxa"/>
            <w:right w:w="108" w:type="dxa"/>
          </w:tblCellMar>
        </w:tblPrEx>
        <w:trPr>
          <w:trHeight w:val="765"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cs="Times New Roman"/>
                <w:color w:val="000000"/>
                <w:sz w:val="22"/>
                <w:szCs w:val="22"/>
              </w:rPr>
            </w:pPr>
            <w:r>
              <w:rPr>
                <w:rStyle w:val="10"/>
                <w:rFonts w:hint="default" w:ascii="Times New Roman" w:hAnsi="Times New Roman" w:cs="Times New Roman"/>
                <w:lang w:bidi="ar"/>
              </w:rPr>
              <w:t>基于合成生物学的GLP-1多肽类药物制备工艺开发</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常州制药厂有限公司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上海交通大学</w:t>
            </w:r>
          </w:p>
        </w:tc>
      </w:tr>
      <w:tr>
        <w:tblPrEx>
          <w:tblCellMar>
            <w:top w:w="0" w:type="dxa"/>
            <w:left w:w="108" w:type="dxa"/>
            <w:bottom w:w="0" w:type="dxa"/>
            <w:right w:w="108" w:type="dxa"/>
          </w:tblCellMar>
        </w:tblPrEx>
        <w:trPr>
          <w:trHeight w:val="827"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cs="Times New Roman"/>
                <w:color w:val="000000"/>
                <w:sz w:val="22"/>
                <w:szCs w:val="22"/>
              </w:rPr>
            </w:pPr>
            <w:r>
              <w:rPr>
                <w:rStyle w:val="10"/>
                <w:rFonts w:hint="default" w:ascii="Times New Roman" w:hAnsi="Times New Roman" w:cs="Times New Roman"/>
                <w:lang w:bidi="ar"/>
              </w:rPr>
              <w:t>类人翻译后修饰模式毕氏酵母底盘宿主菌株的研究</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江苏创健医疗科技股份有限公司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江南大学</w:t>
            </w:r>
          </w:p>
        </w:tc>
      </w:tr>
      <w:tr>
        <w:tblPrEx>
          <w:tblCellMar>
            <w:top w:w="0" w:type="dxa"/>
            <w:left w:w="108" w:type="dxa"/>
            <w:bottom w:w="0" w:type="dxa"/>
            <w:right w:w="108" w:type="dxa"/>
          </w:tblCellMar>
        </w:tblPrEx>
        <w:trPr>
          <w:trHeight w:val="665"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cs="Times New Roman"/>
                <w:color w:val="000000"/>
                <w:sz w:val="22"/>
                <w:szCs w:val="22"/>
              </w:rPr>
            </w:pPr>
            <w:r>
              <w:rPr>
                <w:rStyle w:val="10"/>
                <w:rFonts w:hint="default" w:ascii="Times New Roman" w:hAnsi="Times New Roman" w:cs="Times New Roman"/>
                <w:lang w:bidi="ar"/>
              </w:rPr>
              <w:t>高蛋白玉米底盘品种的研发</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常州新米生物科技有限公司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华中农业大学</w:t>
            </w:r>
          </w:p>
        </w:tc>
      </w:tr>
      <w:tr>
        <w:tblPrEx>
          <w:tblCellMar>
            <w:top w:w="0" w:type="dxa"/>
            <w:left w:w="108" w:type="dxa"/>
            <w:bottom w:w="0" w:type="dxa"/>
            <w:right w:w="108" w:type="dxa"/>
          </w:tblCellMar>
        </w:tblPrEx>
        <w:trPr>
          <w:trHeight w:val="775"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cs="Times New Roman"/>
                <w:color w:val="000000"/>
                <w:sz w:val="22"/>
                <w:szCs w:val="22"/>
              </w:rPr>
            </w:pPr>
            <w:r>
              <w:rPr>
                <w:rStyle w:val="10"/>
                <w:rFonts w:hint="default" w:ascii="Times New Roman" w:hAnsi="Times New Roman" w:cs="Times New Roman"/>
                <w:lang w:bidi="ar"/>
              </w:rPr>
              <w:t>顺酐为原料生物催化合成系列丙氨酸及其衍生物的全流程技术</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常茂生物化学工程股份有限公司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江南大学</w:t>
            </w:r>
          </w:p>
        </w:tc>
      </w:tr>
      <w:tr>
        <w:tblPrEx>
          <w:tblCellMar>
            <w:top w:w="0" w:type="dxa"/>
            <w:left w:w="108" w:type="dxa"/>
            <w:bottom w:w="0" w:type="dxa"/>
            <w:right w:w="108" w:type="dxa"/>
          </w:tblCellMar>
        </w:tblPrEx>
        <w:trPr>
          <w:trHeight w:val="573"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cs="Times New Roman"/>
                <w:color w:val="000000"/>
                <w:sz w:val="22"/>
                <w:szCs w:val="22"/>
              </w:rPr>
            </w:pPr>
            <w:r>
              <w:rPr>
                <w:rStyle w:val="10"/>
                <w:rFonts w:hint="default" w:ascii="Times New Roman" w:hAnsi="Times New Roman" w:cs="Times New Roman"/>
                <w:lang w:bidi="ar"/>
              </w:rPr>
              <w:t>果胶酶高产细胞工厂创制及高效生物制造</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常州三高生物技术工程设备有限公司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常州大学</w:t>
            </w:r>
          </w:p>
        </w:tc>
      </w:tr>
      <w:tr>
        <w:tblPrEx>
          <w:tblCellMar>
            <w:top w:w="0" w:type="dxa"/>
            <w:left w:w="108" w:type="dxa"/>
            <w:bottom w:w="0" w:type="dxa"/>
            <w:right w:w="108" w:type="dxa"/>
          </w:tblCellMar>
        </w:tblPrEx>
        <w:trPr>
          <w:trHeight w:val="579"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imes New Roman" w:hAnsi="Times New Roman" w:cs="Times New Roman"/>
                <w:color w:val="000000"/>
                <w:sz w:val="22"/>
                <w:szCs w:val="22"/>
              </w:rPr>
            </w:pPr>
            <w:r>
              <w:rPr>
                <w:rStyle w:val="10"/>
                <w:rFonts w:hint="default" w:ascii="Times New Roman" w:hAnsi="Times New Roman" w:cs="Times New Roman"/>
                <w:lang w:bidi="ar"/>
              </w:rPr>
              <w:t>α-半乳糖苷酶的生物合成技术研发</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江苏道宁药业有限公司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常州大学</w:t>
            </w:r>
          </w:p>
        </w:tc>
      </w:tr>
      <w:tr>
        <w:tblPrEx>
          <w:tblCellMar>
            <w:top w:w="0" w:type="dxa"/>
            <w:left w:w="108" w:type="dxa"/>
            <w:bottom w:w="0" w:type="dxa"/>
            <w:right w:w="108" w:type="dxa"/>
          </w:tblCellMar>
        </w:tblPrEx>
        <w:trPr>
          <w:trHeight w:val="933"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2"/>
                <w:szCs w:val="22"/>
              </w:rPr>
            </w:pPr>
            <w:r>
              <w:rPr>
                <w:rStyle w:val="10"/>
                <w:rFonts w:hint="default"/>
                <w:lang w:bidi="ar"/>
              </w:rPr>
              <w:t>能量高效利用的同步硝化反硝化工程菌构建及产业化应用</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德恩特（江苏）环境科技有限公司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江苏理工学院</w:t>
            </w:r>
          </w:p>
        </w:tc>
      </w:tr>
      <w:tr>
        <w:tblPrEx>
          <w:tblCellMar>
            <w:top w:w="0" w:type="dxa"/>
            <w:left w:w="108" w:type="dxa"/>
            <w:bottom w:w="0" w:type="dxa"/>
            <w:right w:w="108" w:type="dxa"/>
          </w:tblCellMar>
        </w:tblPrEx>
        <w:trPr>
          <w:trHeight w:val="884"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2"/>
                <w:szCs w:val="22"/>
              </w:rPr>
            </w:pPr>
            <w:r>
              <w:rPr>
                <w:rStyle w:val="10"/>
                <w:rFonts w:hint="default"/>
                <w:lang w:bidi="ar"/>
              </w:rPr>
              <w:t>地衣芽孢杆菌作为非洲猪瘟病毒口服疫苗递送载体的研究和应用</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惠农达生物技术（江苏）有限公司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bookmarkStart w:id="0" w:name="OLE_LINK1"/>
            <w:r>
              <w:rPr>
                <w:rStyle w:val="10"/>
                <w:rFonts w:hint="default"/>
                <w:lang w:bidi="ar"/>
              </w:rPr>
              <w:t>赛斯澜德（天津）生物科技有限公司</w:t>
            </w:r>
            <w:bookmarkEnd w:id="0"/>
          </w:p>
        </w:tc>
      </w:tr>
      <w:tr>
        <w:tblPrEx>
          <w:tblCellMar>
            <w:top w:w="0" w:type="dxa"/>
            <w:left w:w="108" w:type="dxa"/>
            <w:bottom w:w="0" w:type="dxa"/>
            <w:right w:w="108" w:type="dxa"/>
          </w:tblCellMar>
        </w:tblPrEx>
        <w:trPr>
          <w:trHeight w:val="831"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2"/>
                <w:szCs w:val="22"/>
              </w:rPr>
            </w:pPr>
            <w:r>
              <w:rPr>
                <w:rStyle w:val="10"/>
                <w:rFonts w:hint="default"/>
                <w:lang w:bidi="ar"/>
              </w:rPr>
              <w:t>基于合成生物学技术的金黄色葡萄球菌疫苗开发项目</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江苏康润生物科技有限公司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上海泰楚生物技术有限公司</w:t>
            </w:r>
          </w:p>
        </w:tc>
      </w:tr>
      <w:tr>
        <w:tblPrEx>
          <w:tblCellMar>
            <w:top w:w="0" w:type="dxa"/>
            <w:left w:w="108" w:type="dxa"/>
            <w:bottom w:w="0" w:type="dxa"/>
            <w:right w:w="108" w:type="dxa"/>
          </w:tblCellMar>
        </w:tblPrEx>
        <w:trPr>
          <w:trHeight w:val="860"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2"/>
                <w:szCs w:val="22"/>
              </w:rPr>
            </w:pPr>
            <w:r>
              <w:rPr>
                <w:rStyle w:val="10"/>
                <w:rFonts w:hint="default"/>
                <w:lang w:bidi="ar"/>
              </w:rPr>
              <w:t>可用于检测疾病标志物的纳米酶传感器</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江苏知至生物科技有限公司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南京理工大学</w:t>
            </w:r>
          </w:p>
        </w:tc>
      </w:tr>
      <w:tr>
        <w:tblPrEx>
          <w:tblCellMar>
            <w:top w:w="0" w:type="dxa"/>
            <w:left w:w="108" w:type="dxa"/>
            <w:bottom w:w="0" w:type="dxa"/>
            <w:right w:w="108" w:type="dxa"/>
          </w:tblCellMar>
        </w:tblPrEx>
        <w:trPr>
          <w:trHeight w:val="1197" w:hRule="atLeast"/>
        </w:trPr>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w:t>
            </w:r>
          </w:p>
        </w:tc>
        <w:tc>
          <w:tcPr>
            <w:tcW w:w="188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2"/>
                <w:szCs w:val="22"/>
              </w:rPr>
            </w:pPr>
            <w:r>
              <w:rPr>
                <w:rStyle w:val="10"/>
                <w:rFonts w:hint="default"/>
                <w:lang w:bidi="ar"/>
              </w:rPr>
              <w:t>针对放射性肠病等难治性肠炎的合成生物学活体微生物药物研发及应用</w:t>
            </w:r>
          </w:p>
        </w:tc>
        <w:tc>
          <w:tcPr>
            <w:tcW w:w="1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江苏靶标生物医药研究所有限公司</w:t>
            </w:r>
          </w:p>
        </w:tc>
        <w:tc>
          <w:tcPr>
            <w:tcW w:w="11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Style w:val="10"/>
                <w:rFonts w:hint="default"/>
                <w:lang w:bidi="ar"/>
              </w:rPr>
              <w:t>吉林大学</w:t>
            </w:r>
          </w:p>
        </w:tc>
      </w:tr>
    </w:tbl>
    <w:p>
      <w:pPr>
        <w:spacing w:line="700" w:lineRule="exact"/>
        <w:rPr>
          <w:rFonts w:ascii="Times New Roman" w:hAnsi="Times New Roman" w:eastAsia="方正小标宋简体" w:cs="Times New Roman"/>
          <w:sz w:val="44"/>
          <w:szCs w:val="44"/>
        </w:rPr>
      </w:pPr>
    </w:p>
    <w:sectPr>
      <w:footerReference r:id="rId3" w:type="default"/>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292"/>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3</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p>
    <w:pPr>
      <w:pStyle w:val="3"/>
      <w:jc w:val="center"/>
    </w:pPr>
  </w:p>
  <w:p/>
  <w:p/>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2A82A14"/>
    <w:rsid w:val="000C572C"/>
    <w:rsid w:val="001B2379"/>
    <w:rsid w:val="00285A19"/>
    <w:rsid w:val="002A2469"/>
    <w:rsid w:val="003722B1"/>
    <w:rsid w:val="003D6B77"/>
    <w:rsid w:val="00665292"/>
    <w:rsid w:val="006728E5"/>
    <w:rsid w:val="007050CF"/>
    <w:rsid w:val="00753EF9"/>
    <w:rsid w:val="00761BB2"/>
    <w:rsid w:val="007A1D8D"/>
    <w:rsid w:val="007C6147"/>
    <w:rsid w:val="00967351"/>
    <w:rsid w:val="00AC6890"/>
    <w:rsid w:val="00B02302"/>
    <w:rsid w:val="00BD5E6C"/>
    <w:rsid w:val="00CC241C"/>
    <w:rsid w:val="00D473C8"/>
    <w:rsid w:val="00D94089"/>
    <w:rsid w:val="00DD4A57"/>
    <w:rsid w:val="00DF7D6B"/>
    <w:rsid w:val="00E309D4"/>
    <w:rsid w:val="00EC0164"/>
    <w:rsid w:val="02A82A14"/>
    <w:rsid w:val="047F24D2"/>
    <w:rsid w:val="1458420B"/>
    <w:rsid w:val="1C493F61"/>
    <w:rsid w:val="1FDC2020"/>
    <w:rsid w:val="27FC457D"/>
    <w:rsid w:val="30E97669"/>
    <w:rsid w:val="40C63523"/>
    <w:rsid w:val="4D357A66"/>
    <w:rsid w:val="61E82EA1"/>
    <w:rsid w:val="745C24F1"/>
    <w:rsid w:val="746A3BEA"/>
    <w:rsid w:val="76337897"/>
    <w:rsid w:val="7BC72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0"/>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uiPriority w:val="0"/>
    <w:rPr>
      <w:kern w:val="2"/>
      <w:sz w:val="18"/>
      <w:szCs w:val="18"/>
    </w:rPr>
  </w:style>
  <w:style w:type="character" w:customStyle="1" w:styleId="9">
    <w:name w:val="页脚 Char"/>
    <w:basedOn w:val="7"/>
    <w:link w:val="3"/>
    <w:uiPriority w:val="99"/>
    <w:rPr>
      <w:kern w:val="2"/>
      <w:sz w:val="18"/>
      <w:szCs w:val="18"/>
    </w:rPr>
  </w:style>
  <w:style w:type="character" w:customStyle="1" w:styleId="10">
    <w:name w:val="font11"/>
    <w:basedOn w:val="7"/>
    <w:qFormat/>
    <w:uiPriority w:val="0"/>
    <w:rPr>
      <w:rFonts w:hint="eastAsia" w:ascii="宋体" w:hAnsi="宋体" w:eastAsia="宋体" w:cs="宋体"/>
      <w:color w:val="000000"/>
      <w:sz w:val="22"/>
      <w:szCs w:val="22"/>
      <w:u w:val="none"/>
    </w:rPr>
  </w:style>
  <w:style w:type="character" w:customStyle="1" w:styleId="11">
    <w:name w:val="批注框文本 Char"/>
    <w:basedOn w:val="7"/>
    <w:link w:val="2"/>
    <w:semiHidden/>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161</Words>
  <Characters>920</Characters>
  <Lines>7</Lines>
  <Paragraphs>2</Paragraphs>
  <TotalTime>87</TotalTime>
  <ScaleCrop>false</ScaleCrop>
  <LinksUpToDate>false</LinksUpToDate>
  <CharactersWithSpaces>1079</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2024-01-29T01:43:00Z</dcterms:created>
  <dc:creator>瓶中精灵</dc:creator>
  <cp:lastModifiedBy>人间四月天</cp:lastModifiedBy>
  <cp:lastPrinted>2024-03-15T06:40:00Z</cp:lastPrinted>
  <dcterms:modified xsi:type="dcterms:W3CDTF">2024-03-15T07:20:51Z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D63FAA9632FF47138D11ECF84F000529_13</vt:lpwstr>
  </property>
</Properties>
</file>