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ascii="宋体" w:hAnsi="宋体" w:eastAsia="宋体" w:cs="宋体"/>
                <w:b/>
                <w:sz w:val="52"/>
              </w:rPr>
              <w:t>2024年度</w:t>
            </w:r>
            <w:r>
              <w:rPr>
                <w:rFonts w:ascii="宋体" w:hAnsi="宋体" w:eastAsia="宋体" w:cs="宋体"/>
                <w:b/>
                <w:sz w:val="52"/>
              </w:rPr>
              <w:cr/>
            </w:r>
            <w:r>
              <w:rPr>
                <w:rFonts w:ascii="宋体" w:hAnsi="宋体" w:eastAsia="宋体" w:cs="宋体"/>
                <w:b/>
                <w:sz w:val="52"/>
              </w:rPr>
              <w:br w:type="textWrapping"/>
            </w:r>
            <w:r>
              <w:rPr>
                <w:rFonts w:ascii="宋体" w:hAnsi="宋体" w:eastAsia="宋体" w:cs="宋体"/>
                <w:b/>
                <w:sz w:val="52"/>
              </w:rPr>
              <w:t>常州市发展和改革委员会</w:t>
            </w:r>
            <w:r>
              <w:rPr>
                <w:rFonts w:ascii="宋体" w:hAnsi="宋体" w:eastAsia="宋体" w:cs="宋体"/>
                <w:b/>
                <w:sz w:val="52"/>
              </w:rPr>
              <w:cr/>
            </w:r>
            <w:r>
              <w:rPr>
                <w:rFonts w:ascii="宋体" w:hAnsi="宋体" w:eastAsia="宋体" w:cs="宋体"/>
                <w:b/>
                <w:sz w:val="52"/>
              </w:rPr>
              <w:br w:type="textWrapping"/>
            </w:r>
            <w:r>
              <w:rPr>
                <w:rFonts w:ascii="宋体" w:hAnsi="宋体" w:eastAsia="宋体" w:cs="宋体"/>
                <w:b/>
                <w:sz w:val="52"/>
              </w:rPr>
              <w:t>单位预算公开</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单位</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w:t>
      </w:r>
      <w:r>
        <w:rPr>
          <w:rFonts w:hint="eastAsia" w:ascii="仿宋" w:hAnsi="仿宋" w:eastAsia="仿宋" w:cs="仿宋"/>
          <w:lang w:val="en-US" w:eastAsia="zh-CN"/>
        </w:rPr>
        <w:t>单位</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2024</w:t>
      </w:r>
      <w:r>
        <w:rPr>
          <w:rFonts w:hint="eastAsia" w:ascii="仿宋" w:hAnsi="仿宋" w:eastAsia="仿宋" w:cs="仿宋"/>
          <w:b/>
          <w:bCs/>
          <w:lang w:val="en-US" w:eastAsia="zh-CN"/>
        </w:rPr>
        <w:t>年度</w:t>
      </w:r>
      <w:r>
        <w:rPr>
          <w:rFonts w:ascii="仿宋" w:hAnsi="仿宋" w:eastAsia="仿宋" w:cs="仿宋"/>
          <w:b/>
        </w:rPr>
        <w:t>单位预算表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2024</w:t>
      </w:r>
      <w:r>
        <w:rPr>
          <w:rFonts w:hint="eastAsia" w:ascii="仿宋" w:hAnsi="仿宋" w:eastAsia="仿宋" w:cs="仿宋"/>
          <w:b/>
          <w:bCs/>
          <w:color w:val="000000"/>
          <w:sz w:val="30"/>
          <w:szCs w:val="30"/>
          <w:lang w:val="en-US" w:bidi="ar"/>
        </w:rPr>
        <w:t>年度</w:t>
      </w:r>
      <w:r>
        <w:rPr>
          <w:rFonts w:ascii="仿宋" w:hAnsi="仿宋" w:eastAsia="仿宋" w:cs="仿宋"/>
          <w:b/>
          <w:color w:val="000000"/>
          <w:sz w:val="30"/>
        </w:rPr>
        <w:t>单位</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单位概况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一）拟订并组织实施全市国民经济和社会发展战略、中长期规划和年度计划。牵头组织全市统一规划体系建设，负贵市级专项规划、区域规划、空间规划与发展规划的统筹衔接。依法组织起草有关地方性法规、规章草案。指导相关行业安全生产工作。</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（二）提出建设全市现代化经济体系、推动高质量发展的总体目标、重大任务以及相关政策。组织开展重大战略规划、重大政策、重大工程等评估督查，提出相关调整建议。</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三）统筹提出全市国民经济和社会发展主要目标，监测预警宏观经济和社会发展态势趋势，调节经济运行，推进政府目标管理，协调解决经济运行中的重大问题，提出有关政策建议。拟订并组织实施有关价格政策，组织制定市级管理的重要商品、服务价格和重要收费标准。参与拟订财政政策、金融政策和土地政策，负责推进有关境内外企业债券发行、私募股权基金、创业投资发展工作。跟踪研判经济安全等风险隐患，提出相关工作建议。协调落实重要工业品、原材料和重要农产品进出口调控措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四）指导推进和综合协调全市经济体制改革有关工作，提出相关改革建议。按职责推进供给侧结构性改革。协调推进产权制度和要素市场化配置改革。协调推动现代市场体系建设，会同相关部门组织实施市场准入负面清单制度。牵头推进优化营商环境有关工作。</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五）负责投资综合管理，拟订全市全社会固定资产投资总规模、结构调控目标和政策，会同有关部门拟订政府投资项目实施计划、实施政府投资项目管理，协调推进全市重大项目建设，按规定权限审批、核准、备案投资项目。拟订并推动落实鼓励民间投资政策措施。指导和协调招投标工作。</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六）研究协调有关利用外资、境外投资和国际产能合作政策，负责授权范围内的外商投资项目、境外投资项目和外国政府贷款项目及其它形式的利用外资项目的审核、报批工作。参与研究对外开放有关问题，承担统筹协调走出去有关工作。</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（七）推进落实区域协调发展战略、新型城镇化战略和重大政策，组织拟定相关区域发展规划和政策。统筹实施国家、省重大区域发展战略。统筹协调区域合作和对口支援工作。</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八）组织拟订全市综合性产业政策。协调全市一二三产业发展重大问题并统筹衔接相关发展规划和重大政策。统筹规划全市重大产业项目和生产力布局。协调推进重大基础设施建设发展。组织拟订并推动实施全市服务业发展战略规划和重大政策，推进先进制造业与现代服务业融合发展。会同有关部门拟订实施促进消费的综合性政策措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（九）推动实施创新驱动发展战略，会同有关部门拟订推进</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全市创新创业的规划和政策，提出创新发展和培育经济发展新动能的政策会同有关部门规划布局全市重大科技基础设施。组织拟订并推动实施全市战略性新兴产业、高技术产业发展规划和政策，协调产业升级、重大技术装备推广应用等方面的重大问题。</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负贵全市社会发展和国民经济发展的政策衔接，协调有关重大问题。组织拟订全市社会发展战略、总体规划，统筹推进基本公共服务体系建设，提出促进就业、完善社会保障与经济协调发展的政策建设。牵头开展全市社会信用体系建设。</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一）推进实施可持续发展战略，协调生态环境保护与修复资源节约和综合利用等工作，拟订发展低碳经济、循环经济、全社会资源节约和综合利用规划及政策并组织实施，提出并组织实施能源消费控制目标、任务，综合协调环保产业和清洁生产促进有关工作。</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（十二）组织拟订能源发展战略、规划和政策，组织实施能源产业政策，承担能源行业管理职能，推进重大能源工程建设，按职责做好能源运行调节和应急保障，协调解决能源发展和改革中的重大问题。</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三）负责拟订全市物资储备发展规划和政策，组织实施全市战略和应急储备物资的收储、轮换和管理，落实有关动用计划和指令。负责拟订并组织实施粮食和物资储备有关技术标准与规范负责市级储备粮食行政管理、粮食流通行业管理及有关政策落实情况的监督，监测粮食供求变化并预测预警。拟订粮食和物资储备基础设施、粮食流通设施建设规划并组织实施。管理全市粮食、肉类和救灾储备。承担粮食安全责任制考核日常工作。</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四）负责综合协调军民融合发展工作，拟订军民融合发展规划和政策并组织实施，推进军民融合创新示范区、平台、重大项目建设，协调地方经济与国膀建设有关问题，组织协调军地需求对接，督促和指导全市各地军民融合发展工作</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（十五）承担市推动长江经济带发展领导小组、市推进“一带一路”建设工作领导小组、市社会信用体系建设领导小组、市富民增收工作领导小组等有关具体工作，</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（十六）负责履行市国动办相关职能。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（十七）完成市委、市政府交办的其他任务。</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（十八）职能转变</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贯彻新发展理念，把主要精力放到谋全局、抓大事上来，更加聚焦研究大战略、谋划大政策、分析大趋势、推动大项目。统筹改革创新，提升经济社会发展质量效益。</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eastAsia="仿宋" w:cs="仿宋"/>
          <w:b/>
        </w:rPr>
        <w:t>单位</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ascii="仿宋" w:hAnsi="仿宋" w:eastAsia="仿宋" w:cs="仿宋"/>
        </w:rPr>
        <w:t>本单位内设机构包括：根据部门职责分工，本部门内设机构包括办公室、综合处（市目标管理办公室）、发展战略和规划处、区域经济处（长江经济带发展处）、法规和经济体制改革处、固定资产投资处（行政服务）、市重大项目建设办公室、社会发展处、农村经济处、工业和高技术发展处、市服务业发展办公室、资源节约和环境保护处、财政金融处、利用外资和境外投资处（“一带一路”发展处）、能源处、支援合作处、价格管理和成本监审处、收费管理和价格调控处、粮食和物资储备处、粮食物资管理处、评估督查处（粮食执法督查支队）、信用建设处、组织人事处、综合协调处、人防指挥与信息化处、人防工程处（平战结合处），另根据规定设</w:t>
      </w:r>
      <w:bookmarkStart w:id="0" w:name="_GoBack"/>
      <w:r>
        <w:rPr>
          <w:rFonts w:ascii="仿宋" w:hAnsi="仿宋" w:eastAsia="仿宋" w:cs="仿宋"/>
        </w:rPr>
        <w:t>市委军民融合发展委员会办公室秘书处</w:t>
      </w:r>
      <w:bookmarkEnd w:id="0"/>
      <w:r>
        <w:rPr>
          <w:rFonts w:ascii="仿宋" w:hAnsi="仿宋" w:eastAsia="仿宋" w:cs="仿宋"/>
        </w:rPr>
        <w:t>和机关党委。本单位下属单位包括：常州市重大项目建设促进中心、常州市价格认定中心。</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2024</w:t>
      </w:r>
      <w:r>
        <w:rPr>
          <w:rFonts w:hint="eastAsia" w:ascii="仿宋" w:hAnsi="仿宋" w:eastAsia="仿宋" w:cs="仿宋"/>
          <w:b/>
          <w:bCs/>
        </w:rPr>
        <w:t>年度</w:t>
      </w:r>
      <w:r>
        <w:rPr>
          <w:rFonts w:ascii="仿宋" w:hAnsi="仿宋" w:eastAsia="仿宋" w:cs="仿宋"/>
          <w:b/>
        </w:rPr>
        <w:t>单位主要工作任务及目标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2024年是实施</w:t>
      </w:r>
      <w:r>
        <w:rPr>
          <w:rFonts w:hint="eastAsia" w:ascii="仿宋" w:hAnsi="仿宋" w:eastAsia="仿宋" w:cs="仿宋"/>
          <w:lang w:eastAsia="zh-CN"/>
        </w:rPr>
        <w:t>“</w:t>
      </w:r>
      <w:r>
        <w:rPr>
          <w:rFonts w:ascii="仿宋" w:hAnsi="仿宋" w:eastAsia="仿宋" w:cs="仿宋"/>
        </w:rPr>
        <w:t>十四五</w:t>
      </w:r>
      <w:r>
        <w:rPr>
          <w:rFonts w:hint="eastAsia" w:ascii="仿宋" w:hAnsi="仿宋" w:eastAsia="仿宋" w:cs="仿宋"/>
          <w:lang w:eastAsia="zh-CN"/>
        </w:rPr>
        <w:t>”</w:t>
      </w:r>
      <w:r>
        <w:rPr>
          <w:rFonts w:ascii="仿宋" w:hAnsi="仿宋" w:eastAsia="仿宋" w:cs="仿宋"/>
        </w:rPr>
        <w:t>规划的攻坚之年，是入围“万亿之城”的开局之年。全市发改系统要进一步统一思想、激扬斗志，锚定目标、真抓实干，更好展现走在前、做示范的“发改担当”。</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一、坚持在统筹研判上下功夫，树好发展“风向标”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一是落实政策驱动。创造性贯彻落实省政府《关于促进经济持续回升向好的若干政策措施》等一揽子政策，牢牢抓住经济运行率先整体好转政策“窗口期”，及时疏通政策落实的堵点卡点，解决企业发展的难点痛点，努力提振发展信心。编制《常州市新能源产业发展规划》，制定促进现代服务业创新发展的意见和系列政策，出台总部经济、平台企业高质量发展政策措施，形成组合效应、释放政策效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二是强化监测调度。抓好“十四五”规划实施年度监测、终期评估，围绕“532”发展战略、新能源之都建设等新目标新任务，加强城市定位、人口问题、产业发展、科技创新、社会民生等重点领域的前期研究，高质量完成“十五五”规划基本思路起草。紧扣高质量考核要求和市委</w:t>
      </w:r>
      <w:r>
        <w:rPr>
          <w:rFonts w:hint="eastAsia" w:ascii="仿宋" w:hAnsi="仿宋" w:eastAsia="仿宋" w:cs="仿宋"/>
          <w:lang w:eastAsia="zh-CN"/>
        </w:rPr>
        <w:t>、</w:t>
      </w:r>
      <w:r>
        <w:rPr>
          <w:rFonts w:ascii="仿宋" w:hAnsi="仿宋" w:eastAsia="仿宋" w:cs="仿宋"/>
        </w:rPr>
        <w:t>市政府确定的年度发展目标，跟踪重点指征性指标，动态评估经济大盘走势情况，及时发现并解决一批苗头性问题，加强调度频次，确保经济运行处在合理区间。高度关注投资、就业、物价、外资外贸、房地产市场等关键指标，及时提出务实有效的对策建议，切实提升经济形势分析研判、预警监测的精准性和有效性，提供高质量的决策参考。</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三是考核评定促进。深入研究省高质量考核指标体系变化，学透规则、精准施策，围绕省考核指标和我市经济社会发展特点，做好指标分解和传导，通过半年评估、跟踪监测等途径，指导督促各辖市区不折不扣完成全年任务，以市考的高质量力促省考取得好成绩。抓好2024年度星级企业评定，加强对在库星级企业的跟踪监测，从新视角发现经济发展的新趋势，为市委</w:t>
      </w:r>
      <w:r>
        <w:rPr>
          <w:rFonts w:hint="eastAsia" w:ascii="仿宋" w:hAnsi="仿宋" w:eastAsia="仿宋" w:cs="仿宋"/>
          <w:lang w:eastAsia="zh-CN"/>
        </w:rPr>
        <w:t>、</w:t>
      </w:r>
      <w:r>
        <w:rPr>
          <w:rFonts w:ascii="仿宋" w:hAnsi="仿宋" w:eastAsia="仿宋" w:cs="仿宋"/>
        </w:rPr>
        <w:t>市政府决策参考提供多角度支撑性分析。</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二、坚持在项目建设上下功夫，强化经济“硬支撑”</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一是以谋扩储。聚焦全市“532”发展战略、“新能源之都”精心谋划储备一批强基础、补短板、增后劲、利长远的重大项目，为高质量发展奠定坚实基础。科学编制2024年市级政府投资计划，加快推进REITs项目储备、培育和申报工作，研究出台三年行动计划方案，建立市级REITs项目储备库。建立常态化推介民间投资项目机制，滚动向社会公开发布向民间资本推介的项目清单，让民间资本在我市有更多的好项目可选可投。加强投融资方式研究，针对投资领域中的热点难点，开展投融资模式分析和研究，引导和推动各板块创新投融资模式，促进投资稳定增长。</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二是加码提速。优化《常州市重大项目库管理办法》，修订完善《重大项目评比办法》，不断优化“全方位、全流程、全周期”项目管理模式和“周巡查、月调度、季督查”项目推进机制，大力推进时代上汽二期、比亚迪二基地等省市重大项目提速建设，以优质产业项目有效投入引领高质量发展。充分发挥《进一步加强重大项目建设服务保障的若干政策措施》政策效用，加快推进常泰铁路、盐泰锡常宜铁路、地铁6号线一期工程等项目前期工作，争取丹阳至金坛高速公路、德胜河航道整治工程等一批重大基础设施项目开工建设。</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三是靠前服务。密切关注国家政策风向，准确把握窗口期，指导帮助项目单位优化建设方案，提高特别国债、地方政府专项债券、中央预算内资金项目申报质量。加强对上衔接，及时掌握项目信息，真正实现上级政策第一时间了解，项目信息第一时间知晓，项目材料第一时间提报，争取一批产业、交通、能源、水利、环保、城中村改造、新基建项目纳入国家和省项目清单。深化重大项目建设审批“一件事”改革，常态化开展省市重大项目“拿地即开工”，探索推广更多2.0、3.0版本，为全省“拿地即开工”提供“常州经验”。</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三、坚持在做大做强上下功夫，抢占产业“制高点”</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一是做强新能源产业。牢牢把握新型工业化这一关键任务，主攻智能制造装备和新能源产业集群，编制新能源战新集群建设方案，推动产业链、创新链、资金链和人才链相互贯通，积极争创新能源国家级战新产业集群。坚持以“整车带动、头部牵引”，围绕新能源核心产业和链主企业，完善本地配套供应链体系，探索建立全产业链集群发展格局，打造新能源汽车产业集聚地。围绕生产性服务业六大领域，做优做强重点龙头企业、总部平台企业，加大产业集聚区培育扶持力度，依托“新能源生产性服务业产业图谱”，推动“两业”深度融合，提升产业竞争优势。</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二是擦亮新能源品牌。聚焦“新能源之都”建设，重点抓好新能源应用推广，加快建设“新能源应用示范工业园区”、“新能源应用示范服务业集聚区”、“新能源应用示范美丽乡村”。依托4个整县光伏建设试点，着力提升分布式光伏建设规模，加快薛埠镇茶光互补等一批集中式光伏项目建设，争取光伏建设规模达到250万千瓦，强化绿色能源保障，合理布局全市电网侧储能项目，加快国信溧阳共享储能电站等项目建设，力争新型储能建设规模达到40万千瓦。积极开展碳达峰行动，争创碳达峰试点城市，探索建设绿色低碳产业链公共服务平台，强化能耗总量强度和碳排放控制，坚决遏制“两高”项目盲目发展，持续推进钢铁、印染、电镀、涂料产业整治提升，出台《常州市固定资产投资项目节能审查办法》，倒逼产业体系加快转型。</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三是升级新能源引擎。狠抓改革创新，加快形成“新质生产力”，重点推进武进区国家级双创基地以及常州高新区、钟楼区、科教城和西太湖科技产业园等省级双创基地建设，抓好中以科创学院新工科全创改试点，高标准培育一批装备关键件、光伏、动力电池等领域的工程研究中心和产业创新中心。加强“一带一路”交汇点建设，重点推进中阿产能合作示范园建设。推进新能源领域战略性基金设立运作，引导社会化投资基金加大对我市新能源产业领域成长性、创新型项目的投资力度。</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四、坚持在能级提升上下功夫，展现高质“万亿城”</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一是强“中轴”。扎实推进长三角一体化发展，编制出台常州市2024年度重点工作清单，深入研究谋划上海大都市圈、锡常协同发展、毗邻地区协同发展路径。深化国家城乡融合发展试验区、国家城镇化建设示范县建设，启动新一轮乡村振兴规划编制，促进区域协调发展。加快国家物流枢纽承载城市建设，持续推进国内国际双循环物流通道建设，开展物流业景气指数工作试点，大力培育省级示范物流企业、省级物流领军企业、4A级以上物流企业，加快物流公共信息平台建设，努力突破动力电池智慧储运集中仓建设、整车出口滚装码头等难题。</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二是聚“核心”。全力提速“两湖”创新区建设，持续谋划储备一批优质项目纳入“两湖”项目库，加密加大调度频次和力度，进一步健全完善“周督查、月调度、季通报”的工作机制，确保各项政策资源要素向“两湖”倾斜。加快推进腾龙大道、中吴大道西延等等基础设施项目建设，协调推进南医大常州校区、西太湖外国语学校等功能性项目，支持会展中心、文体中心等项目建设，全面提升“两湖”创新区形象。</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三是优“环境”。研究制定2024年优化营商环境重点任务清单，做好《常州市优化营商环境条例》立法工作，筹划编制常州市营商环境指南，扎实抓好国家、省营商环境评价迎评准备，确保取得与增长速度相匹配、与城市美誉度相适应的成绩。加快落实全国统一大市场任务清单，深入开展省级民营经济示县（市、区）工作。建立政府诚信履约监管系统，加快推广“信易贷”模式，探索建立个人诚信分机制，聚焦市民旅游、停车、健身、就医、出行等难点堵点，打造更多信用数字化应用场景，擦亮全国信用示范区名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五、坚持在改善民生上下功夫，提升人民“幸福感”</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一是厚植生态底蕴。扎实落实长江大保护专项行动、绿色低碳循环发展专项行动各项工作任务，加快推进长江经济带生态环境突出问题整改，确保如期完成整改任务。深入推进建立健全生态产品价值实现机制省级试点，探索形成具备地方特色的“绿水青山”与“金山银山”的转化机制。全面完成洮滆片区水环境综合治理与可持续发展国家试点任务，开展《常州市塑料污染防治条例》立法调研，探索制定低价值可回收物回收处理相关政策，促进生活垃圾减量化和资源化处理。</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二是绘就惠民底色。常态化开展“发改下午茶”活动，畅通政企互动渠道。落实国家、省天然气价格机制改革政策，适时启动自来水和污水处理收费动态调整，探索研究新能源行业用能优惠价格政策，适时出台我市城镇生活垃圾收费管理实施办法，制定民办中小学、幼儿园收费管理办法，出台《常州市机动车停放服务收费管理办法》，修订《常州市物业服务收费管理办法》和《常州市住宅小区汽车停放收费管理办法》，进一步规范全市物业服务收费行为。积极扩大普惠性养老托育服务供给，聚集“一老一小”做好项目摸排，争取城企合作普惠专项资金，培养普惠性养老托育市场环境，逐步减轻居民养老和托育负担，积极争创国家儿童友好城市。</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三是严守安全底线。牵头开展耕地保护和粮食安全考核工作，严格落实粮食安全责任制，全面完成巡视巡察问题整改，切实保障粮食安全。优化完善电力负荷管理，及时编制有序用电方案，全力保障电网安全和民生用电。扎实抓好油气管道、人防工程常态化安全检查巡查，组织应急预案演练，提升行业安全水平。建立健全国防动员工作机制，推动国防动员工作纳入全市高质量考核，修订新一轮人民防空方案，组织实战化训练演练，计划全年完成人防工程立项30万平方米、竣工45万平方米。</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六、坚持在党的建设上下功夫，凝聚发改“新力量”</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一是推动主题教育走深走实。按照中央和省市委部署要求，认真开展好学习贯彻习近平新时代中国特色社会主义思想主题教育，教育引导全委党组织和广大党员干部学思想、见行动，推动理论学习往深里走、往实里走、往心里走。开展好学原著、悟原理，领导下基层理论宣讲，大兴调查研究，学榜样找差距等活动。深入开展“四下基层”、“双报到、双服务”等活动，推动党员干部扎实服务群众、服务基层、服务企业。</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二是落实全面从严治党</w:t>
      </w:r>
      <w:r>
        <w:rPr>
          <w:rFonts w:hint="eastAsia" w:ascii="仿宋" w:hAnsi="仿宋" w:eastAsia="仿宋" w:cs="仿宋"/>
          <w:lang w:eastAsia="zh-CN"/>
        </w:rPr>
        <w:t>主体</w:t>
      </w:r>
      <w:r>
        <w:rPr>
          <w:rFonts w:ascii="仿宋" w:hAnsi="仿宋" w:eastAsia="仿宋" w:cs="仿宋"/>
        </w:rPr>
        <w:t>责任。抓好全面从严治党工作，贯彻落实《党委（党组）落实全面从严治党主体责任规定》和其他各项规定，定责更加精准，督责更加深入，述责更加规范，推动全委各级党组织切实把管党治党责任落到实处。持续推进党建与业务融合，让党旗在一线飘扬。做好市委第三巡察组巡察市发改委后半篇文章，对巡察反馈的问题照单全收，销号管理，建章立制，切实把巡察整改成果转化为工作实效。建立完善全面从严治党分析研判机制，严格履行领导班子成员“一岗双责”，强化制度执行，抓好日常管理，把管理和监督寓于实施领导的全过程。</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三是持续抓好党风廉政建设。始终把党风廉政建设摆在突出位置，落实党风廉政建设主体责任和监督责任，严格落实中央八项规定、省委“十项规定”，扎牢思想篱笆，绷紧廉政之弦。始终保持“作风建设永远在路上”的政治自觉，持之以恒推进作风建设、纪律建设，扎实开展党的纪律教育，强化党员干部的纪律意识、规矩意识。持续改进机关作风，优化政务服务，强化问责问效，激励担当作为，为当好市委</w:t>
      </w:r>
      <w:r>
        <w:rPr>
          <w:rFonts w:hint="eastAsia" w:ascii="仿宋" w:hAnsi="仿宋" w:eastAsia="仿宋" w:cs="仿宋"/>
          <w:lang w:eastAsia="zh-CN"/>
        </w:rPr>
        <w:t>、</w:t>
      </w:r>
      <w:r>
        <w:rPr>
          <w:rFonts w:ascii="仿宋" w:hAnsi="仿宋" w:eastAsia="仿宋" w:cs="仿宋"/>
        </w:rPr>
        <w:t>市政府的参谋助手提供优良作风保障。</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2024</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常州市发展和改革委员会</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单位</w:t>
      </w:r>
      <w:r>
        <w:rPr>
          <w:rFonts w:ascii="仿宋" w:hAnsi="仿宋" w:eastAsia="仿宋" w:cs="仿宋"/>
          <w:b/>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color w:val="000000"/>
                <w:sz w:val="22"/>
                <w:szCs w:val="22"/>
                <w:lang w:eastAsia="ar-SA"/>
              </w:rPr>
              <w:t>常州市发展和改革委员会</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5,714.67</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4,361.34</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146.60</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20.14</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53.13</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十八、援助其他地区支出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1,426.66</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5,861.27</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5,861.27</w:t>
            </w: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zh-CN"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5,861.27</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5,861.27</w:t>
            </w: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常州市发展和改革委员会</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5,861.27</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5,861.27</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5,714.67</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146.60</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022001</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常州市发展和改革委员会</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5,861.27</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5,861.27</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5,714.67</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146.60</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常州市发展和改革委员会</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ascii="仿宋" w:hAnsi="仿宋" w:eastAsia="仿宋" w:cs="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5,861.27</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4,877.77</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983.50</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4,361.34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3,377.84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983.50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20104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发展与改革事务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4,361.34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3,377.84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983.50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2010401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3,377.84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3,377.84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2010402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612.60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612.60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2010404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战略规划与实施</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2010405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日常经济运行调节</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2010406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社会事业发展规划</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121.00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121.00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2010407</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经济体制改革研究</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2010408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物价管理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2010499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其他发展与改革事务支出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40.90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40.90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2080501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行政单位离退休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53.13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53.13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21011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53.13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53.13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2101103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53.13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53.13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1,426.66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1,426.66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1,426.66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1,426.66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342.83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342.83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772.42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772.42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311.41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311.41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sz w:val="22"/>
                <w:szCs w:val="22"/>
              </w:rPr>
              <w:t>常州市发展和改革委员会</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ascii="仿宋" w:hAnsi="仿宋" w:eastAsia="仿宋" w:cs="仿宋"/>
                <w:b/>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5,714.67</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5,714.67</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5,714.67</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4,214.74</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20.14</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53.13</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（十八）援助其他地区支出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1,426.66</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5,714.67</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5,714.67</w:t>
            </w:r>
          </w:p>
        </w:tc>
      </w:tr>
    </w:tbl>
    <w:p>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常州市发展和改革委员会</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5,714.67</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4,877.77</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4,567.08</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310.69</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836.90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4,214.74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3,377.84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3,067.15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310.69</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836.90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发展与改革事务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4,214.74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3,377.84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3,067.15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310.69</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836.90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2010401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3,377.84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3,377.84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3,067.15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310.69</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2010402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466.00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466.00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2010404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战略规划与实施</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2010405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日常经济运行调节</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54.00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54.00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2010406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社会事业发展规划</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121.00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121.00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2010407</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经济体制改革研究</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2010408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物价管理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62.00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62.00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2010499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其他发展与改革事务支出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40.90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40.90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20.14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20.14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20.14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20.14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20.14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20.14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2080501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行政单位离退休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20.14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20.14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20.14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53.13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53.13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53.13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21011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53.13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53.13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53.13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2101103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公务员医疗补助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53.13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53.13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53.13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1,426.66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1,426.66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1,426.66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1,426.66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1,426.66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1,426.66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342.83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342.83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342.83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772.42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772.42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772.42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311.41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311.41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311.41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sz w:val="22"/>
                <w:szCs w:val="22"/>
              </w:rPr>
              <w:t>常州市发展和改革委员会</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ascii="仿宋" w:hAnsi="仿宋" w:eastAsia="仿宋" w:cs="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4,877.77</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4,567.08</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310.69</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4,196.65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4,196.65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594.46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594.46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1,614.39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1,614.39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956.23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956.23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349.83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349.83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174.91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174.91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93.51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93.51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53.13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53.13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342.83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342.83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15.23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15.23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310.69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310.69</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55.46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55.46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112.10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112.10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21.24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21.24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2.83</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102.54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102.54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370.43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370.43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24.58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24.58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336.72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336.72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常州市发展和改革委员会</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5,714.67</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4,877.77</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4,567.08</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310.69</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836.90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4,214.74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3,377.84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3,067.15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310.69</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836.90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发展与改革事务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4,214.74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3,377.84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3,067.15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310.69</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836.90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2010401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3,377.84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3,377.84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3,067.15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310.69</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2010402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466.00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466.00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2010404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战略规划与实施</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2010405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日常经济运行调节</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2010406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社会事业发展规划</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121.00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121.00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2010407</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经济体制改革研究</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2010408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物价管理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2010499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其他发展与改革事务支出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40.90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40.90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行政单位离退休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20.14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53.13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53.13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53.13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53.13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53.13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53.13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1,426.66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1,426.66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1,426.66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1,426.66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1,426.66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1,426.66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342.83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342.83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342.83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772.42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772.42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772.42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311.41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311.41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311.41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常州市发展和改革委员会</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4,877.77</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4,567.08</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310.69</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4,196.65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4,196.65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594.46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594.46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1,614.39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1,614.39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956.23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956.23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349.83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349.83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174.91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174.91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93.51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93.51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53.13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53.13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342.83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342.83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15.23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15.23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310.69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310.69</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55.46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55.46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112.10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112.10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21.24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21.24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2.83</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102.54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102.54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370.43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370.43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24.58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24.58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336.72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336.72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常州市发展和改革委员会</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ascii="仿宋" w:hAnsi="仿宋" w:eastAsia="仿宋" w:cs="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18.26</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8.26</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8.26</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常州市发展和改革委员会</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eastAsia="仿宋" w:cs="仿宋"/>
          <w:b/>
          <w:sz w:val="22"/>
        </w:rPr>
        <w:t>单位无政府性基金预算，也没有使用政府性基金安排的支出，故本表无数据。</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常州市发展和改革委员会</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ascii="仿宋" w:hAnsi="仿宋" w:eastAsia="仿宋" w:cs="仿宋"/>
          <w:b/>
          <w:sz w:val="22"/>
        </w:rPr>
        <w:t>注：本单位无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常州市发展和改革委员会</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310.69</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310.69</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55.46</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112.10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8.26</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8.26</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21.24</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30229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福利费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2.83</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102.54</w:t>
            </w:r>
          </w:p>
        </w:tc>
      </w:tr>
    </w:tbl>
    <w:p>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776"/>
        <w:gridCol w:w="1105"/>
        <w:gridCol w:w="1121"/>
        <w:gridCol w:w="947"/>
        <w:gridCol w:w="1169"/>
        <w:gridCol w:w="14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510"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eastAsia="仿宋" w:cs="仿宋"/>
                <w:color w:val="000000"/>
                <w:sz w:val="22"/>
              </w:rPr>
              <w:t>：</w:t>
            </w:r>
            <w:r>
              <w:rPr>
                <w:rFonts w:hint="eastAsia" w:ascii="仿宋" w:hAnsi="仿宋" w:eastAsia="仿宋" w:cs="仿宋"/>
              </w:rPr>
              <w:t>常州市发展和改革委员会</w:t>
            </w:r>
          </w:p>
        </w:tc>
        <w:tc>
          <w:tcPr>
            <w:tcW w:w="4342"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421"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342"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42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42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220.00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服务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220.00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常州市发展和改革委员会</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220.00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社会事业发展规划工作经费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委托业务费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其他服务</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粮食物资储备监管经费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委托业务费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其他服务</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160.00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160.00</w:t>
            </w:r>
          </w:p>
        </w:tc>
      </w:tr>
    </w:tbl>
    <w:p>
      <w:pPr>
        <w:bidi w:val="0"/>
        <w:rPr>
          <w:rFonts w:hint="eastAsia" w:ascii="仿宋" w:hAnsi="仿宋" w:eastAsia="仿宋" w:cs="仿宋"/>
          <w:b/>
          <w:bCs/>
          <w:sz w:val="22"/>
          <w:szCs w:val="22"/>
        </w:rPr>
        <w:sectPr>
          <w:footerReference r:id="rId19" w:type="default"/>
          <w:pgSz w:w="16838" w:h="11906" w:orient="landscape"/>
          <w:pgMar w:top="1320" w:right="771"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2024</w:t>
      </w:r>
      <w:r>
        <w:rPr>
          <w:rFonts w:hint="eastAsia" w:ascii="仿宋" w:hAnsi="仿宋" w:eastAsia="仿宋" w:cs="仿宋"/>
          <w:b/>
          <w:bCs/>
          <w:sz w:val="44"/>
          <w:szCs w:val="44"/>
        </w:rPr>
        <w:t>年度</w:t>
      </w:r>
      <w:r>
        <w:rPr>
          <w:rFonts w:ascii="仿宋" w:hAnsi="仿宋" w:eastAsia="仿宋" w:cs="仿宋"/>
          <w:b/>
          <w:sz w:val="44"/>
        </w:rPr>
        <w:t>单位</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一、收支预算总体情况说明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常州市发展和改革委员会2024年度收入、支出预算总计5,861.27万元，与上年相比收、支预算总计各增加699.2万元，增长13.54%。其中：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（一）收入预算总计5,861.27万元。包括：</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1．本年收入合计5,861.27万元。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（1）一般公共预算拨款收入5,714.67万元，与上年相比增加699.2万元，增长13.94%。主要原因是机构改革，人员增加导致人员经费和公用经费收入增加。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（2）政府性基金预算拨款收入0万元，与上年预算数相同。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（3）国有资本经营预算拨款收入0万元，与上年预算数相同。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（4）财政专户管理资金收入146.6万元，与上年预算数相同。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（5）事业收入0万元，与上年预算数相同。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（6）事业单位经营收入0万元，与上年预算数相同。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（7）上级补助收入0万元，与上年预算数相同。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（8）附属单位上缴收入0万元，与上年预算数相同。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（9）其他收入0万元，与上年预算数相同。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2．上年结转结余为0万元。与上年预算数相同。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（二）支出预算总计5,861.27万元。包括：</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1．本年支出合计5,861.27万元。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（1）一般公共服务支出（类）支出4,361.34万元，主要用于行政运行和一般行政管理事务支出。与上年相比增加505.22万元，增长13.1%。主要原因是机构改革，人员增加导致人员经费和公用经费收入增加。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（2）社会保障和就业支出（类）支出20.14万元，主要用于行政单位离退休人员补贴费。与上年相比减少0.54万元，减少2.61%。主要原因是离休人员工资正常变动。</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（3）卫生健康支出（类）支出53.13万元，主要用于公务员医疗补助。与上年相比增加6万元，增长12.73%。主要原因是机构改革，人员增加，相应支出增加。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（4）住房保障支出（类）支出1,426.66万元，主要用于住房公积金、提租补贴及购房补贴的支出。与上年相比增加188.52万元，增长15.23%。主要原因是机构改革，人员增加，相应支出增加。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2．年终结转结余为0万元。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二、收入预算情况说明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常州市发展和改革委员会2024年收入预算合计5,861.27万元，包括本年收入5,861.27万元，上年结转结余0万元。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本年一般公共预算收入5,714.67万元，占97.5%；</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本年政府性基金预算收入0万元，占0%；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本年国有资本经营预算收入0万元，占0%；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本年财政专户管理资金146.6万元，占2.5%；</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本年事业收入0万元，占0%；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本年事业单位经营收入0万元，占0%；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本年上级补助收入0万元，占0%；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本年附属单位上缴收入0万元，占0%；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本年其他收入0万元，占0%；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上年结转结余的一般公共预算收入0万元，占0%；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上年结转结余的政府性基金预算收入0万元，占0%；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上年结转结余的国有资本经营预算收入0万元，占0%；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上年结转结余的财政专户管理资金0万元，占0%；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上年结转结余的单位资金0万元，占0%。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drawing>
          <wp:inline distT="0" distB="0" distL="0" distR="0">
            <wp:extent cx="6134100" cy="3429000"/>
            <wp:effectExtent l="0" t="0" r="0" b="0"/>
            <wp:docPr id="1" name="Drawing 1"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Generated"/>
                    <pic:cNvPicPr>
                      <a:picLocks noChangeAspect="1"/>
                    </pic:cNvPicPr>
                  </pic:nvPicPr>
                  <pic:blipFill>
                    <a:blip r:embed="rId21"/>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三、支出预算情况说明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常州市发展和改革委员会2024年支出预算合计5,861.27万元，其中：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基本支出4,877.77万元，占83.22%；</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项目支出983.5万元，占16.78%；</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事业单位经营支出0万元，占0%；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上缴上级支出0万元，占0%；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对附属单位补助支出0万元，占0%。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drawing>
          <wp:inline distT="0" distB="0" distL="0" distR="0">
            <wp:extent cx="6134100" cy="3429000"/>
            <wp:effectExtent l="0" t="0" r="0" b="0"/>
            <wp:docPr id="2" name="Drawing 2"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2" descr="Generated"/>
                    <pic:cNvPicPr>
                      <a:picLocks noChangeAspect="1"/>
                    </pic:cNvPicPr>
                  </pic:nvPicPr>
                  <pic:blipFill>
                    <a:blip r:embed="rId22"/>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四、财政拨款收支预算总体情况说明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常州市发展和改革委员会2024年度财政拨款收、支总预算5,714.67万元。与上年相比，财政拨款收、支总计各增加699.2万元，增长13.94%。主要原因是机构改革，人员增加导致人员经费和公用经费支出增加。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五、财政拨款支出预算情况说明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常州市发展和改革委员会2024年财政拨款预算支出5,714.67万元，占本年支出合计的97.5%。与上年相比，财政拨款支出增加699.2万元，增长13.94%。主要原因是机构改革，人员增加导致人员经费和公用经费支出增加。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（一）一般公共服务支出（类）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1.发展与改革事务（款）行政运行（项）支出3,377.84万元，与上年相比增加450.22万元，增长15.38%。主要原因是机构改革，人员增加导致人员经费和公用经费支出增加。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2.发展与改革事务（款）一般行政管理事务（项）支出466万元，与上年相比增加20万元，增长4.48%。主要原因是发展与改革事务军民融合新增一项目经费。</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3.发展与改革事务（款）战略规划与实施（项）支出80万元，与上年预算数相同。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4.发展与改革事务（款）日常经济运行调节（项）支出54万元，与上年相比增加15万元，增长38.46%。主要原因是日常经济运行新增一项目碳达峰碳中和工作经费。</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5.发展与改革事务（款）社会事业发展规划（项）支出121万元，与上年预算数相同。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6.发展与改革事务（款）经济体制改革研究（项）支出13万元，与上年预算数相同。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7.发展与改革事务（款）物价管理（项）支出62万元，与上年相比增加10万元，增长19.23%。主要原因是物价管理新增物业收费调整及风险评估工作经费。</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8.发展与改革事务（款）其他发展与改革事务支出（项）支出40.9万元，与上年相比增加10万元，增长32.36%。主要原因是出国经费比去年增加10万。</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（二）社会保障和就业支出（类）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行政事业单位养老支出（款）行政单位离退休（项）支出20.14万元，与上年相比减少0.54万元，减少2.61%。主要原因是离休人员工资正常增减。</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（三）卫生健康支出（类）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行政事业单位医疗（款）公务员医疗补助（项）支出53.13万元，与上年相比增加6万元，增长12.73%。主要原因是机构改革，人员增加导致人员经费和公用经费支出增加。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（四）住房保障支出（类）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1.住房改革支出（款）住房公积金（项）支出342.83万元，与上年相比增加34.14万元，增长11.06%。主要原因是机构改革，人员增加导致人员经费和公用经费支出增加。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2.住房改革支出（款）提租补贴（项）支出772.42万元，与上年相比增加122.81万元，增长18.91%。主要原因是机构改革，人员增加导致人员经费和公用经费支出增加。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3.住房改革支出（款）购房补贴（项）支出311.41万元，与上年相比增加31.57万元，增长11.28%。主要原因是机构改革，人员增加导致人员经费和公用经费支出增加。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六、财政拨款基本支出预算情况说明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常州市发展和改革委员会2024年度财政拨款基本支出预算4,877.77万元，其中：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人员经费4,567.08万元。主要包括：基本工资、津贴补贴、奖金、机关事业单位基本养老保险缴费、职业年金缴费、职工基本医疗保险缴费、公务员医疗补助缴费、其他社会保障缴费、住房公积金、其他工资福利支出、离休费、退休费、生活补助、奖励金、其他对个人和家庭的补助。</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（二）公用经费310.69万元。主要包括：办公费、差旅费、培训费、公务接待费、工会经费、福利费、其他交通费用。</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七、一般公共预算支出预算情况说明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常州市发展和改革委员会2024年一般公共预算财政拨款支出预算5,714.67万元，与上年相比增加699.2万元，增长13.94%。主要原因是机构改革，人员增加导致人员经费和公用经费支出增加。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八、一般公共预算基本支出预算情况说明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常州市发展和改革委员会2024年度一般公共预算财政拨款基本支出预算4,877.77万元，其中：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人员经费4,567.08万元。主要包括：基本工资、津贴补贴、奖金、机关事业单位基本养老保险缴费、职业年金缴费、职工基本医疗保险缴费、公务员医疗补助缴费、其他社会保障缴费、住房公积金、其他工资福利支出、离休费、退休费、生活补助、奖励金、其他对个人和家庭的补助。</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（二）公用经费310.69万元。主要包括：办公费、差旅费、培训费、公务接待费、工会经费、福利费、其他交通费用。</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九、一般公共预算“三公”经费、会议费、培训费支出预算情况说明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常州市发展和改革委员会2024年度一般公共预算拨款安排的“三公”经费支出预算18.26万元，比上年预算增加10.84万元，变动原因机构改革，</w:t>
      </w:r>
      <w:r>
        <w:rPr>
          <w:rFonts w:hint="eastAsia" w:ascii="仿宋" w:hAnsi="仿宋" w:eastAsia="仿宋" w:cs="仿宋"/>
          <w:lang w:eastAsia="zh-CN"/>
        </w:rPr>
        <w:t>合并单位</w:t>
      </w:r>
      <w:r>
        <w:rPr>
          <w:rFonts w:ascii="仿宋" w:hAnsi="仿宋" w:eastAsia="仿宋" w:cs="仿宋"/>
        </w:rPr>
        <w:t>，</w:t>
      </w:r>
      <w:r>
        <w:rPr>
          <w:rFonts w:hint="eastAsia" w:ascii="仿宋" w:hAnsi="仿宋" w:eastAsia="仿宋" w:cs="仿宋"/>
          <w:lang w:eastAsia="zh-CN"/>
        </w:rPr>
        <w:t>预计“三公”经费支出增加</w:t>
      </w:r>
      <w:r>
        <w:rPr>
          <w:rFonts w:ascii="仿宋" w:hAnsi="仿宋" w:eastAsia="仿宋" w:cs="仿宋"/>
        </w:rPr>
        <w:t>。其中，因公出国（境）费支出10万元，占“三公”经费的54.76%；公务用车购置及运行维护费支出0万元，占“三公”经费的0%；公务接待费支出8.26万元，占“三公”经费的45.24%。具体情况如下：</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1．因公出国（境）费预算支出10万元，比上年预算增加10万元，主要原因是上年度因疫情没有计划因公出国（境）。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2．公务用车购置及运行维护费预算支出0万元。其中：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（1）公务用车购置预算支出0万元，与上年预算数相同。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（2）公务用车运行维护费预算支出0万元，与上年预算数相同。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3．公务接待费预算支出8.26万元，比上年预算增加0.84万元，主要原因是机构改革，</w:t>
      </w:r>
      <w:r>
        <w:rPr>
          <w:rFonts w:hint="eastAsia" w:ascii="仿宋" w:hAnsi="仿宋" w:eastAsia="仿宋" w:cs="仿宋"/>
          <w:lang w:eastAsia="zh-CN"/>
        </w:rPr>
        <w:t>合并单位</w:t>
      </w:r>
      <w:r>
        <w:rPr>
          <w:rFonts w:ascii="仿宋" w:hAnsi="仿宋" w:eastAsia="仿宋" w:cs="仿宋"/>
        </w:rPr>
        <w:t>，</w:t>
      </w:r>
      <w:r>
        <w:rPr>
          <w:rFonts w:hint="eastAsia" w:ascii="仿宋" w:hAnsi="仿宋" w:eastAsia="仿宋" w:cs="仿宋"/>
          <w:lang w:eastAsia="zh-CN"/>
        </w:rPr>
        <w:t>预计公务接待费支出增加</w:t>
      </w:r>
      <w:r>
        <w:rPr>
          <w:rFonts w:ascii="仿宋" w:hAnsi="仿宋" w:eastAsia="仿宋" w:cs="仿宋"/>
        </w:rPr>
        <w:t>。</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常州市发展和改革委员会2024年度一般公共预算拨款安排的会议费预算支出30万元，比上年预算增加30万元，主要原因是机构改革，</w:t>
      </w:r>
      <w:r>
        <w:rPr>
          <w:rFonts w:hint="eastAsia" w:ascii="仿宋" w:hAnsi="仿宋" w:eastAsia="仿宋" w:cs="仿宋"/>
          <w:lang w:eastAsia="zh-CN"/>
        </w:rPr>
        <w:t>合并单位</w:t>
      </w:r>
      <w:r>
        <w:rPr>
          <w:rFonts w:ascii="仿宋" w:hAnsi="仿宋" w:eastAsia="仿宋" w:cs="仿宋"/>
        </w:rPr>
        <w:t>，</w:t>
      </w:r>
      <w:r>
        <w:rPr>
          <w:rFonts w:hint="eastAsia" w:ascii="仿宋" w:hAnsi="仿宋" w:eastAsia="仿宋" w:cs="仿宋"/>
          <w:lang w:eastAsia="zh-CN"/>
        </w:rPr>
        <w:t>预计事务性工作</w:t>
      </w:r>
      <w:r>
        <w:rPr>
          <w:rFonts w:ascii="仿宋" w:hAnsi="仿宋" w:eastAsia="仿宋" w:cs="仿宋"/>
        </w:rPr>
        <w:t>会议增加。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常州市发展和改革委员会2024年度一般公共预算拨款安排的培训费预算支出8.26万元，比上年预算增加0.84万元，主要原因是机构改革，</w:t>
      </w:r>
      <w:r>
        <w:rPr>
          <w:rFonts w:hint="eastAsia" w:ascii="仿宋" w:hAnsi="仿宋" w:eastAsia="仿宋" w:cs="仿宋"/>
          <w:lang w:eastAsia="zh-CN"/>
        </w:rPr>
        <w:t>合并单位</w:t>
      </w:r>
      <w:r>
        <w:rPr>
          <w:rFonts w:ascii="仿宋" w:hAnsi="仿宋" w:eastAsia="仿宋" w:cs="仿宋"/>
        </w:rPr>
        <w:t>，</w:t>
      </w:r>
      <w:r>
        <w:rPr>
          <w:rFonts w:hint="eastAsia" w:ascii="仿宋" w:hAnsi="仿宋" w:eastAsia="仿宋" w:cs="仿宋"/>
          <w:lang w:eastAsia="zh-CN"/>
        </w:rPr>
        <w:t>预计增加培训次数</w:t>
      </w:r>
      <w:r>
        <w:rPr>
          <w:rFonts w:ascii="仿宋" w:hAnsi="仿宋" w:eastAsia="仿宋" w:cs="仿宋"/>
        </w:rPr>
        <w:t>。</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十、政府性基金预算支出预算情况说明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常州市发展和改革委员会2024年政府性基金支出预算支出0万元。与上年预算数相同。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十一、国有资本经营预算支出预算情况说明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常州市发展和改革委员会2024年国有资本经营预算支出0万元。与上年预算数相同。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十二、一般公共预算机关运行经费支出预算情况说明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2024年本单位一般公共预算机关运行经费预算支出310.69万元，与上年相比增加31.15万元，增长11.14%。主要原因是机构改革，人员增加，相应定额支出增加。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十三、政府采购支出预算情况说明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2024年度政府采购支出预算总额220万元，其中：拟采购货物支出0万元、拟采购工程支出0万元、拟采购服务支出220万元。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十四、国有资产占用情况说明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单位共有车辆0辆，其中，副部（省）级及以上领导用车0辆、主要领导干部用车0辆、机要通信用车0辆、应急保障用车0辆、执法执勤用车0辆、特种专业技术用车0辆、离退休干部用车0辆，其他用车0辆；单价50万元（含）以上的通用设备0台（套），单价100万元（含）以上的专用设备0台（套）。</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十五、预算绩效目标设置情况说明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2024年度，本单位整体支出纳入绩效目标管理，涉及财政性资金5,861.27万元；本单位共</w:t>
      </w:r>
      <w:r>
        <w:rPr>
          <w:rFonts w:hint="eastAsia" w:ascii="仿宋" w:hAnsi="仿宋" w:eastAsia="仿宋" w:cs="仿宋"/>
          <w:lang w:val="en-US" w:eastAsia="zh-CN"/>
        </w:rPr>
        <w:t>11</w:t>
      </w:r>
      <w:r>
        <w:rPr>
          <w:rFonts w:ascii="仿宋" w:hAnsi="仿宋" w:eastAsia="仿宋" w:cs="仿宋"/>
        </w:rPr>
        <w:t>个项目纳入绩效目标管理，涉及财政性资金合计</w:t>
      </w:r>
      <w:r>
        <w:rPr>
          <w:rFonts w:hint="eastAsia" w:ascii="仿宋" w:hAnsi="仿宋" w:eastAsia="仿宋" w:cs="仿宋"/>
          <w:lang w:val="en-US" w:eastAsia="zh-CN"/>
        </w:rPr>
        <w:t>983.5</w:t>
      </w:r>
      <w:r>
        <w:rPr>
          <w:rFonts w:ascii="仿宋" w:hAnsi="仿宋" w:eastAsia="仿宋" w:cs="仿宋"/>
        </w:rPr>
        <w:t>万元，占财政性资金(人员类和运转类中的公用经费项目支出除外)总额的比例为100%。</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eastAsia="仿宋" w:cs="仿宋"/>
          <w:b/>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eastAsia="仿宋" w:cs="仿宋"/>
          <w:b/>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eastAsia="仿宋" w:cs="仿宋"/>
          <w:b/>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eastAsia="仿宋" w:cs="仿宋"/>
          <w:b/>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eastAsia="仿宋" w:cs="仿宋"/>
          <w:b/>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eastAsia="仿宋" w:cs="仿宋"/>
          <w:b/>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eastAsia="仿宋" w:cs="仿宋"/>
          <w:b/>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八、一般公共服务支出(类)发展与改革事务(款)行政运行(项)</w:t>
      </w:r>
      <w:r>
        <w:rPr>
          <w:rFonts w:ascii="仿宋" w:hAnsi="仿宋" w:eastAsia="仿宋" w:cs="仿宋"/>
          <w:b/>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九、一般公共服务支出(类)发展与改革事务(款)一般行政管理事务(项)</w:t>
      </w:r>
      <w:r>
        <w:rPr>
          <w:rFonts w:ascii="仿宋" w:hAnsi="仿宋" w:eastAsia="仿宋" w:cs="仿宋"/>
          <w:b/>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十、一般公共服务支出(类)发展与改革事务(款)战略规划与实施(项)</w:t>
      </w:r>
      <w:r>
        <w:rPr>
          <w:rFonts w:ascii="仿宋" w:hAnsi="仿宋" w:eastAsia="仿宋" w:cs="仿宋"/>
          <w:b/>
        </w:rPr>
        <w:t>：</w:t>
      </w:r>
      <w:r>
        <w:rPr>
          <w:rFonts w:hint="eastAsia" w:ascii="仿宋" w:hAnsi="仿宋" w:eastAsia="仿宋" w:cs="仿宋"/>
        </w:rPr>
        <w:t>反映拟订并组织实施国民经济和社会发展战略、中长期规划和年度计划，实施宏观管理与调控等方面的支出。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十一、一般公共服务支出(类)发展与改革事务(款)日常经济运行调节(项)</w:t>
      </w:r>
      <w:r>
        <w:rPr>
          <w:rFonts w:ascii="仿宋" w:hAnsi="仿宋" w:eastAsia="仿宋" w:cs="仿宋"/>
          <w:b/>
        </w:rPr>
        <w:t>：</w:t>
      </w:r>
      <w:r>
        <w:rPr>
          <w:rFonts w:hint="eastAsia" w:ascii="仿宋" w:hAnsi="仿宋" w:eastAsia="仿宋" w:cs="仿宋"/>
        </w:rPr>
        <w:t>反映日常经济运行调节方面的支出。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十二、一般公共服务支出(类)发展与改革事务(款)社会事业发展规划(项)</w:t>
      </w:r>
      <w:r>
        <w:rPr>
          <w:rFonts w:ascii="仿宋" w:hAnsi="仿宋" w:eastAsia="仿宋" w:cs="仿宋"/>
          <w:b/>
        </w:rPr>
        <w:t>：</w:t>
      </w:r>
      <w:r>
        <w:rPr>
          <w:rFonts w:hint="eastAsia" w:ascii="仿宋" w:hAnsi="仿宋" w:eastAsia="仿宋" w:cs="仿宋"/>
        </w:rPr>
        <w:t>反映社会事业发展规划方面的支出。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十三、一般公共服务支出(类)发展与改革事务(款)经济体制改革研究(项)</w:t>
      </w:r>
      <w:r>
        <w:rPr>
          <w:rFonts w:ascii="仿宋" w:hAnsi="仿宋" w:eastAsia="仿宋" w:cs="仿宋"/>
          <w:b/>
        </w:rPr>
        <w:t>：</w:t>
      </w:r>
      <w:r>
        <w:rPr>
          <w:rFonts w:hint="eastAsia" w:ascii="仿宋" w:hAnsi="仿宋" w:eastAsia="仿宋" w:cs="仿宋"/>
        </w:rPr>
        <w:t>反映经济体制改革与研究方面的支出。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十四、一般公共服务支出(类)发展与改革事务(款)物价管理(项)</w:t>
      </w:r>
      <w:r>
        <w:rPr>
          <w:rFonts w:ascii="仿宋" w:hAnsi="仿宋" w:eastAsia="仿宋" w:cs="仿宋"/>
          <w:b/>
        </w:rPr>
        <w:t>：</w:t>
      </w:r>
      <w:r>
        <w:rPr>
          <w:rFonts w:hint="eastAsia" w:ascii="仿宋" w:hAnsi="仿宋" w:eastAsia="仿宋" w:cs="仿宋"/>
        </w:rPr>
        <w:t>反映物价管理方面的支出。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十五、一般公共服务支出(类)发展与改革事务(款)其他发展与改革事务支出(项)</w:t>
      </w:r>
      <w:r>
        <w:rPr>
          <w:rFonts w:ascii="仿宋" w:hAnsi="仿宋" w:eastAsia="仿宋" w:cs="仿宋"/>
          <w:b/>
        </w:rPr>
        <w:t>：</w:t>
      </w:r>
      <w:r>
        <w:rPr>
          <w:rFonts w:hint="eastAsia" w:ascii="仿宋" w:hAnsi="仿宋" w:eastAsia="仿宋" w:cs="仿宋"/>
        </w:rPr>
        <w:t>反映除上述项目以外的其他发展与改革事务支出。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十六、社会保障和就业支出(类)行政事业单位养老支出(款)行政单位离退休(项)</w:t>
      </w:r>
      <w:r>
        <w:rPr>
          <w:rFonts w:ascii="仿宋" w:hAnsi="仿宋" w:eastAsia="仿宋" w:cs="仿宋"/>
          <w:b/>
        </w:rPr>
        <w:t>：</w:t>
      </w:r>
      <w:r>
        <w:rPr>
          <w:rFonts w:hint="eastAsia" w:ascii="仿宋" w:hAnsi="仿宋" w:eastAsia="仿宋" w:cs="仿宋"/>
        </w:rPr>
        <w:t>反映行政单位（包括实行公务员管理的事业单位）开支的离退休经费。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十七、卫生健康支出(类)行政事业单位医疗(款)公务员医疗补助(项)</w:t>
      </w:r>
      <w:r>
        <w:rPr>
          <w:rFonts w:ascii="仿宋" w:hAnsi="仿宋" w:eastAsia="仿宋" w:cs="仿宋"/>
          <w:b/>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十八、住房保障支出(类)住房改革支出(款)住房公积金(项)</w:t>
      </w:r>
      <w:r>
        <w:rPr>
          <w:rFonts w:ascii="仿宋" w:hAnsi="仿宋" w:eastAsia="仿宋" w:cs="仿宋"/>
          <w:b/>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十九、住房保障支出(类)住房改革支出(款)提租补贴(项)</w:t>
      </w:r>
      <w:r>
        <w:rPr>
          <w:rFonts w:ascii="仿宋" w:hAnsi="仿宋" w:eastAsia="仿宋" w:cs="仿宋"/>
          <w:b/>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二十、住房保障支出(类)住房改革支出(款)购房补贴(项)</w:t>
      </w:r>
      <w:r>
        <w:rPr>
          <w:rFonts w:ascii="仿宋" w:hAnsi="仿宋" w:eastAsia="仿宋" w:cs="仿宋"/>
          <w:b/>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roman"/>
    <w:pitch w:val="default"/>
    <w:sig w:usb0="FFFFFFFF" w:usb1="E9FFFFFF" w:usb2="0000003F" w:usb3="00000000" w:csb0="603F01FF" w:csb1="FFFF0000"/>
  </w:font>
  <w:font w:name="Liberation Sans">
    <w:altName w:val="宋体"/>
    <w:panose1 w:val="020B0604020202020204"/>
    <w:charset w:val="86"/>
    <w:family w:val="roman"/>
    <w:pitch w:val="default"/>
    <w:sig w:usb0="00000000" w:usb1="00000000" w:usb2="00000021" w:usb3="00000000" w:csb0="600001BF" w:csb1="DFF70000"/>
  </w:font>
  <w:font w:name="Liberation Mono">
    <w:altName w:val="宋体"/>
    <w:panose1 w:val="02070409020205020404"/>
    <w:charset w:val="86"/>
    <w:family w:val="roman"/>
    <w:pitch w:val="default"/>
    <w:sig w:usb0="00000000" w:usb1="00000000" w:usb2="00000001" w:usb3="00000000" w:csb0="600001BF" w:csb1="DFF7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常州市发展和改革委员会</w:t>
    </w:r>
    <w:r>
      <w:t>2024年度单位预算公开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ZmMxNjJhYjk2MmIyNzhhN2M2ZDFmZGM1NDgwNGRjMDgifQ=="/>
  </w:docVars>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E839BD"/>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9E2E4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BDD15E9"/>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autoRedefine/>
    <w:qFormat/>
    <w:uiPriority w:val="1"/>
    <w:pPr>
      <w:ind w:left="-40" w:firstLine="0"/>
      <w:outlineLvl w:val="0"/>
    </w:pPr>
    <w:rPr>
      <w:sz w:val="52"/>
      <w:szCs w:val="52"/>
    </w:rPr>
  </w:style>
  <w:style w:type="paragraph" w:styleId="3">
    <w:name w:val="heading 2"/>
    <w:basedOn w:val="1"/>
    <w:next w:val="1"/>
    <w:autoRedefine/>
    <w:qFormat/>
    <w:uiPriority w:val="1"/>
    <w:pPr>
      <w:ind w:right="18" w:firstLine="0"/>
      <w:jc w:val="center"/>
      <w:outlineLvl w:val="1"/>
    </w:pPr>
    <w:rPr>
      <w:sz w:val="44"/>
      <w:szCs w:val="44"/>
    </w:rPr>
  </w:style>
  <w:style w:type="paragraph" w:styleId="4">
    <w:name w:val="heading 3"/>
    <w:basedOn w:val="1"/>
    <w:next w:val="1"/>
    <w:autoRedefine/>
    <w:qFormat/>
    <w:uiPriority w:val="1"/>
    <w:pPr>
      <w:ind w:left="1" w:firstLine="0"/>
      <w:jc w:val="center"/>
      <w:outlineLvl w:val="2"/>
    </w:pPr>
    <w:rPr>
      <w:sz w:val="40"/>
      <w:szCs w:val="40"/>
    </w:rPr>
  </w:style>
  <w:style w:type="paragraph" w:styleId="5">
    <w:name w:val="heading 4"/>
    <w:basedOn w:val="1"/>
    <w:next w:val="1"/>
    <w:autoRedefine/>
    <w:qFormat/>
    <w:uiPriority w:val="1"/>
    <w:pPr>
      <w:jc w:val="center"/>
      <w:outlineLvl w:val="3"/>
    </w:pPr>
    <w:rPr>
      <w:sz w:val="36"/>
      <w:szCs w:val="36"/>
    </w:rPr>
  </w:style>
  <w:style w:type="paragraph" w:styleId="6">
    <w:name w:val="heading 5"/>
    <w:basedOn w:val="1"/>
    <w:next w:val="1"/>
    <w:autoRedefine/>
    <w:qFormat/>
    <w:uiPriority w:val="1"/>
    <w:pPr>
      <w:ind w:left="112" w:firstLine="0"/>
      <w:outlineLvl w:val="4"/>
    </w:pPr>
    <w:rPr>
      <w:sz w:val="33"/>
      <w:szCs w:val="33"/>
    </w:rPr>
  </w:style>
  <w:style w:type="character" w:default="1" w:styleId="14">
    <w:name w:val="Default Paragraph Font"/>
    <w:autoRedefine/>
    <w:unhideWhenUsed/>
    <w:qFormat/>
    <w:uiPriority w:val="1"/>
  </w:style>
  <w:style w:type="table" w:default="1" w:styleId="12">
    <w:name w:val="Normal Table"/>
    <w:autoRedefin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autoRedefine/>
    <w:qFormat/>
    <w:uiPriority w:val="1"/>
    <w:rPr>
      <w:sz w:val="32"/>
      <w:szCs w:val="32"/>
    </w:rPr>
  </w:style>
  <w:style w:type="paragraph" w:styleId="9">
    <w:name w:val="footer"/>
    <w:basedOn w:val="1"/>
    <w:autoRedefine/>
    <w:qFormat/>
    <w:uiPriority w:val="0"/>
    <w:pPr>
      <w:tabs>
        <w:tab w:val="center" w:pos="4153"/>
        <w:tab w:val="right" w:pos="8306"/>
      </w:tabs>
      <w:snapToGrid w:val="0"/>
    </w:pPr>
    <w:rPr>
      <w:sz w:val="18"/>
      <w:szCs w:val="18"/>
    </w:rPr>
  </w:style>
  <w:style w:type="paragraph" w:styleId="10">
    <w:name w:val="header"/>
    <w:basedOn w:val="1"/>
    <w:autoRedefine/>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autoRedefine/>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autoRedefine/>
    <w:qFormat/>
    <w:uiPriority w:val="0"/>
  </w:style>
  <w:style w:type="character" w:customStyle="1" w:styleId="16">
    <w:name w:val="页眉 字符"/>
    <w:basedOn w:val="14"/>
    <w:autoRedefine/>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autoRedefine/>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autoRedefine/>
    <w:qFormat/>
    <w:uiPriority w:val="0"/>
    <w:pPr>
      <w:keepNext/>
      <w:spacing w:before="240" w:after="120"/>
    </w:pPr>
    <w:rPr>
      <w:rFonts w:ascii="Liberation Sans" w:hAnsi="Liberation Sans"/>
      <w:sz w:val="28"/>
      <w:szCs w:val="28"/>
    </w:rPr>
  </w:style>
  <w:style w:type="paragraph" w:customStyle="1" w:styleId="19">
    <w:name w:val="索引"/>
    <w:basedOn w:val="1"/>
    <w:autoRedefine/>
    <w:qFormat/>
    <w:uiPriority w:val="0"/>
    <w:pPr>
      <w:suppressLineNumbers/>
    </w:pPr>
  </w:style>
  <w:style w:type="paragraph" w:customStyle="1" w:styleId="20">
    <w:name w:val="页眉与页脚"/>
    <w:basedOn w:val="1"/>
    <w:autoRedefine/>
    <w:qFormat/>
    <w:uiPriority w:val="0"/>
  </w:style>
  <w:style w:type="paragraph" w:customStyle="1" w:styleId="21">
    <w:name w:val="List Paragraph"/>
    <w:basedOn w:val="1"/>
    <w:autoRedefine/>
    <w:qFormat/>
    <w:uiPriority w:val="1"/>
    <w:pPr>
      <w:ind w:left="2039" w:hanging="782"/>
    </w:pPr>
  </w:style>
  <w:style w:type="paragraph" w:customStyle="1" w:styleId="22">
    <w:name w:val="Table Paragraph"/>
    <w:basedOn w:val="1"/>
    <w:autoRedefine/>
    <w:qFormat/>
    <w:uiPriority w:val="1"/>
    <w:rPr>
      <w:rFonts w:ascii="宋体" w:hAnsi="宋体" w:eastAsia="宋体" w:cs="宋体"/>
    </w:rPr>
  </w:style>
  <w:style w:type="paragraph" w:customStyle="1" w:styleId="23">
    <w:name w:val="表格内容"/>
    <w:basedOn w:val="1"/>
    <w:autoRedefine/>
    <w:qFormat/>
    <w:uiPriority w:val="0"/>
    <w:pPr>
      <w:suppressLineNumbers/>
    </w:pPr>
  </w:style>
  <w:style w:type="paragraph" w:customStyle="1" w:styleId="24">
    <w:name w:val="表格标题"/>
    <w:basedOn w:val="23"/>
    <w:autoRedefine/>
    <w:qFormat/>
    <w:uiPriority w:val="0"/>
    <w:pPr>
      <w:jc w:val="center"/>
    </w:pPr>
    <w:rPr>
      <w:b/>
      <w:bCs/>
    </w:rPr>
  </w:style>
  <w:style w:type="paragraph" w:customStyle="1" w:styleId="25">
    <w:name w:val="预格式化的文本"/>
    <w:basedOn w:val="1"/>
    <w:autoRedefine/>
    <w:qFormat/>
    <w:uiPriority w:val="0"/>
    <w:rPr>
      <w:rFonts w:ascii="Liberation Mono" w:hAnsi="Liberation Mono" w:eastAsia="新宋体" w:cs="Liberation Mono"/>
      <w:sz w:val="20"/>
      <w:szCs w:val="20"/>
    </w:rPr>
  </w:style>
  <w:style w:type="table" w:customStyle="1" w:styleId="26">
    <w:name w:val="Table Normal"/>
    <w:autoRedefine/>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customXml" Target="../customXml/item1.xml"/><Relationship Id="rId22" Type="http://schemas.openxmlformats.org/officeDocument/2006/relationships/image" Target="media/image2.png"/><Relationship Id="rId21" Type="http://schemas.openxmlformats.org/officeDocument/2006/relationships/image" Target="media/image1.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Pages>
  <Words>15524</Words>
  <Characters>18325</Characters>
  <Paragraphs>501</Paragraphs>
  <TotalTime>13</TotalTime>
  <ScaleCrop>false</ScaleCrop>
  <LinksUpToDate>false</LinksUpToDate>
  <CharactersWithSpaces>18342</CharactersWithSpaces>
  <Application>WPS Office_12.1.0.16729_F1E327BC-269C-435d-A152-05C5408002CA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2021-04-16T03:22:00Z</dcterms:created>
  <dc:creator>陈长军(本处室套红)</dc:creator>
  <cp:lastModifiedBy>WPS_1694744110</cp:lastModifiedBy>
  <dcterms:modified xsi:type="dcterms:W3CDTF">2024-05-15T07:23:42Z</dcterms:modified>
  <dc:title>部门预算公开</dc:title>
  <cp:revision>175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2052-12.1.0.16729</vt:lpwstr>
  </property>
  <property fmtid="{D5CDD505-2E9C-101B-9397-08002B2CF9AE}" pid="6" name="LastSaved">
    <vt:filetime>2021-04-15T00:00:00Z</vt:filetime>
  </property>
</Properties>
</file>