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2295" w:rsidRPr="00F45950" w:rsidRDefault="00C322EC">
      <w:pPr>
        <w:spacing w:line="700" w:lineRule="exact"/>
        <w:jc w:val="center"/>
        <w:rPr>
          <w:rFonts w:ascii="方正小标宋简体" w:eastAsia="方正小标宋简体" w:hAnsi="仿宋" w:cs="仿宋"/>
          <w:bCs/>
          <w:color w:val="000000" w:themeColor="text1"/>
          <w:sz w:val="44"/>
          <w:szCs w:val="44"/>
        </w:rPr>
      </w:pPr>
      <w:r w:rsidRPr="00F45950">
        <w:rPr>
          <w:rFonts w:ascii="方正小标宋简体" w:eastAsia="方正小标宋简体" w:hAnsi="仿宋" w:cs="仿宋" w:hint="eastAsia"/>
          <w:bCs/>
          <w:color w:val="000000" w:themeColor="text1"/>
          <w:sz w:val="44"/>
          <w:szCs w:val="44"/>
        </w:rPr>
        <w:t>常州市住房公积金提取管理实施细则</w:t>
      </w:r>
    </w:p>
    <w:p w:rsidR="000F2295" w:rsidRPr="00F45950" w:rsidRDefault="00C322EC">
      <w:pPr>
        <w:spacing w:line="700" w:lineRule="exact"/>
        <w:ind w:firstLine="880"/>
        <w:jc w:val="center"/>
        <w:rPr>
          <w:rFonts w:ascii="方正小标宋简体" w:eastAsia="方正小标宋简体" w:hAnsi="仿宋" w:cs="仿宋"/>
          <w:bCs/>
          <w:color w:val="000000" w:themeColor="text1"/>
          <w:sz w:val="44"/>
          <w:szCs w:val="44"/>
        </w:rPr>
      </w:pPr>
      <w:r w:rsidRPr="00F45950">
        <w:rPr>
          <w:rFonts w:ascii="方正小标宋简体" w:eastAsia="方正小标宋简体" w:hAnsi="仿宋" w:cs="仿宋" w:hint="eastAsia"/>
          <w:bCs/>
          <w:color w:val="000000" w:themeColor="text1"/>
          <w:sz w:val="44"/>
          <w:szCs w:val="44"/>
        </w:rPr>
        <w:t>（修订</w:t>
      </w:r>
      <w:r w:rsidRPr="00F45950">
        <w:rPr>
          <w:rFonts w:ascii="方正小标宋简体" w:eastAsia="方正小标宋简体" w:hAnsi="方正小标宋_GBK" w:cs="方正小标宋_GBK" w:hint="eastAsia"/>
          <w:color w:val="000000" w:themeColor="text1"/>
          <w:sz w:val="44"/>
          <w:szCs w:val="44"/>
        </w:rPr>
        <w:t>征求意见</w:t>
      </w:r>
      <w:r w:rsidRPr="00F45950">
        <w:rPr>
          <w:rFonts w:ascii="方正小标宋简体" w:eastAsia="方正小标宋简体" w:hAnsi="仿宋" w:cs="仿宋" w:hint="eastAsia"/>
          <w:bCs/>
          <w:color w:val="000000" w:themeColor="text1"/>
          <w:sz w:val="44"/>
          <w:szCs w:val="44"/>
        </w:rPr>
        <w:t>稿）</w:t>
      </w:r>
    </w:p>
    <w:p w:rsidR="000F2295" w:rsidRDefault="00C322EC" w:rsidP="000F0E1F">
      <w:pPr>
        <w:spacing w:line="570" w:lineRule="exact"/>
        <w:jc w:val="center"/>
        <w:rPr>
          <w:rFonts w:ascii="黑体" w:eastAsia="黑体" w:hAnsi="黑体" w:cs="仿宋"/>
          <w:color w:val="000000" w:themeColor="text1"/>
          <w:sz w:val="24"/>
        </w:rPr>
      </w:pPr>
      <w:r>
        <w:rPr>
          <w:rFonts w:ascii="黑体" w:eastAsia="黑体" w:hAnsi="黑体" w:cs="仿宋" w:hint="eastAsia"/>
          <w:bCs/>
          <w:color w:val="000000" w:themeColor="text1"/>
          <w:sz w:val="32"/>
          <w:szCs w:val="32"/>
        </w:rPr>
        <w:t>第一章 总 则</w:t>
      </w:r>
    </w:p>
    <w:p w:rsidR="000F2295" w:rsidRDefault="00C322EC" w:rsidP="000F0E1F">
      <w:pPr>
        <w:spacing w:line="570" w:lineRule="exact"/>
        <w:ind w:firstLineChars="221" w:firstLine="707"/>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第一条</w:t>
      </w:r>
      <w:r>
        <w:rPr>
          <w:rFonts w:ascii="仿宋_GB2312" w:eastAsia="仿宋_GB2312" w:hAnsi="仿宋_GB2312" w:cs="仿宋_GB2312" w:hint="eastAsia"/>
          <w:color w:val="000000" w:themeColor="text1"/>
          <w:sz w:val="32"/>
          <w:szCs w:val="32"/>
        </w:rPr>
        <w:t xml:space="preserve"> 为规范住房公积金提取行为，维护住房公积金缴存人的合法权益，根据国务院《住房公积金管理条例》和《常州市住房公积金管理办法》等相关规定，结合本市实际情况，制定本实施细则。</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第二条</w:t>
      </w:r>
      <w:r>
        <w:rPr>
          <w:rFonts w:ascii="仿宋_GB2312" w:eastAsia="仿宋_GB2312" w:hAnsi="仿宋_GB2312" w:cs="仿宋_GB2312" w:hint="eastAsia"/>
          <w:color w:val="000000" w:themeColor="text1"/>
          <w:sz w:val="32"/>
          <w:szCs w:val="32"/>
        </w:rPr>
        <w:t xml:space="preserve"> 本实施细则适用于本市行政区域内住房公积金的提取申请、受理、审核、支付等管理事项。</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第三条</w:t>
      </w:r>
      <w:r>
        <w:rPr>
          <w:rFonts w:ascii="仿宋_GB2312" w:eastAsia="仿宋_GB2312" w:hAnsi="仿宋_GB2312" w:cs="仿宋_GB2312" w:hint="eastAsia"/>
          <w:color w:val="000000" w:themeColor="text1"/>
          <w:sz w:val="32"/>
          <w:szCs w:val="32"/>
        </w:rPr>
        <w:t xml:space="preserve"> 本实施细则所称住房公积金提取，是指按规定将住房公积金存储余额部分或全部从住房公积金账户取出的行为。</w:t>
      </w:r>
    </w:p>
    <w:p w:rsidR="000F2295" w:rsidRDefault="00C322EC" w:rsidP="000F0E1F">
      <w:pPr>
        <w:spacing w:line="570" w:lineRule="exact"/>
        <w:ind w:firstLineChars="200" w:firstLine="640"/>
        <w:rPr>
          <w:rFonts w:ascii="仿宋_GB2312" w:eastAsia="仿宋_GB2312" w:hAnsi="仿宋_GB2312" w:cs="仿宋_GB2312"/>
          <w:bCs/>
          <w:color w:val="000000" w:themeColor="text1"/>
          <w:sz w:val="32"/>
          <w:szCs w:val="32"/>
        </w:rPr>
      </w:pPr>
      <w:r>
        <w:rPr>
          <w:rFonts w:ascii="楷体_GB2312" w:eastAsia="楷体_GB2312" w:hAnsi="楷体_GB2312" w:cs="楷体_GB2312" w:hint="eastAsia"/>
          <w:color w:val="000000" w:themeColor="text1"/>
          <w:sz w:val="32"/>
          <w:szCs w:val="32"/>
        </w:rPr>
        <w:t>第四条</w:t>
      </w:r>
      <w:r>
        <w:rPr>
          <w:rFonts w:ascii="仿宋_GB2312" w:eastAsia="仿宋_GB2312" w:hAnsi="仿宋_GB2312" w:cs="仿宋_GB2312" w:hint="eastAsia"/>
          <w:color w:val="000000" w:themeColor="text1"/>
          <w:sz w:val="32"/>
          <w:szCs w:val="32"/>
        </w:rPr>
        <w:t xml:space="preserve"> 住房公积金提取涉及的金融业务，由常州市住房公积金管理中心（以下简称公积金中心）委托常州市住房公积金管理委员会指定的商业银行办理。</w:t>
      </w:r>
    </w:p>
    <w:p w:rsidR="000F2295" w:rsidRDefault="00C322EC" w:rsidP="000F0E1F">
      <w:pPr>
        <w:spacing w:line="570" w:lineRule="exact"/>
        <w:jc w:val="center"/>
        <w:rPr>
          <w:rFonts w:ascii="黑体" w:eastAsia="黑体" w:hAnsi="黑体" w:cs="仿宋"/>
          <w:bCs/>
          <w:color w:val="000000" w:themeColor="text1"/>
          <w:sz w:val="32"/>
          <w:szCs w:val="32"/>
        </w:rPr>
      </w:pPr>
      <w:r>
        <w:rPr>
          <w:rFonts w:ascii="黑体" w:eastAsia="黑体" w:hAnsi="黑体" w:cs="仿宋" w:hint="eastAsia"/>
          <w:bCs/>
          <w:color w:val="000000" w:themeColor="text1"/>
          <w:sz w:val="32"/>
          <w:szCs w:val="32"/>
        </w:rPr>
        <w:t>第二章 提取范围</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第五条</w:t>
      </w:r>
      <w:r>
        <w:rPr>
          <w:rFonts w:ascii="仿宋_GB2312" w:eastAsia="仿宋_GB2312" w:hAnsi="仿宋_GB2312" w:cs="仿宋_GB2312" w:hint="eastAsia"/>
          <w:color w:val="000000" w:themeColor="text1"/>
          <w:sz w:val="32"/>
          <w:szCs w:val="32"/>
        </w:rPr>
        <w:t xml:space="preserve"> 符合下列情形之一的，可以申请提取住房公积金账户内的存储余额：</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（一）购买自住住房的；</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（二）建造、翻建、大修自住住房的；</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（三）</w:t>
      </w:r>
      <w:proofErr w:type="gramStart"/>
      <w:r>
        <w:rPr>
          <w:rFonts w:ascii="仿宋_GB2312" w:eastAsia="仿宋_GB2312" w:hAnsi="仿宋_GB2312" w:cs="仿宋_GB2312" w:hint="eastAsia"/>
          <w:color w:val="000000" w:themeColor="text1"/>
          <w:sz w:val="32"/>
          <w:szCs w:val="32"/>
        </w:rPr>
        <w:t>偿还自</w:t>
      </w:r>
      <w:proofErr w:type="gramEnd"/>
      <w:r>
        <w:rPr>
          <w:rFonts w:ascii="仿宋_GB2312" w:eastAsia="仿宋_GB2312" w:hAnsi="仿宋_GB2312" w:cs="仿宋_GB2312" w:hint="eastAsia"/>
          <w:color w:val="000000" w:themeColor="text1"/>
          <w:sz w:val="32"/>
          <w:szCs w:val="32"/>
        </w:rPr>
        <w:t>住住房贷款本息的；</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（四）在本市无自有产权住房且租房自住的；</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（五）本市</w:t>
      </w:r>
      <w:proofErr w:type="gramStart"/>
      <w:r>
        <w:rPr>
          <w:rFonts w:ascii="仿宋_GB2312" w:eastAsia="仿宋_GB2312" w:hAnsi="仿宋_GB2312" w:cs="仿宋_GB2312" w:hint="eastAsia"/>
          <w:color w:val="000000" w:themeColor="text1"/>
          <w:sz w:val="32"/>
          <w:szCs w:val="32"/>
        </w:rPr>
        <w:t>既有住宅</w:t>
      </w:r>
      <w:proofErr w:type="gramEnd"/>
      <w:r>
        <w:rPr>
          <w:rFonts w:ascii="仿宋_GB2312" w:eastAsia="仿宋_GB2312" w:hAnsi="仿宋_GB2312" w:cs="仿宋_GB2312" w:hint="eastAsia"/>
          <w:bCs/>
          <w:color w:val="000000" w:themeColor="text1"/>
          <w:sz w:val="32"/>
          <w:szCs w:val="32"/>
        </w:rPr>
        <w:t>加装或更新</w:t>
      </w:r>
      <w:r>
        <w:rPr>
          <w:rFonts w:ascii="仿宋_GB2312" w:eastAsia="仿宋_GB2312" w:hAnsi="仿宋_GB2312" w:cs="仿宋_GB2312" w:hint="eastAsia"/>
          <w:color w:val="000000" w:themeColor="text1"/>
          <w:sz w:val="32"/>
          <w:szCs w:val="32"/>
        </w:rPr>
        <w:t>电梯的；</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lastRenderedPageBreak/>
        <w:t>（六）属最低生活保障对象或特困职工的；</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（七）非本市户籍职工与单位解除或者终止劳动关系的；</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（八）出境定居的；</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（九）离休、退休的；</w:t>
      </w:r>
    </w:p>
    <w:p w:rsidR="000F2295" w:rsidRDefault="00C322EC" w:rsidP="000F0E1F">
      <w:pPr>
        <w:spacing w:line="570" w:lineRule="exact"/>
        <w:ind w:firstLineChars="200" w:firstLine="640"/>
        <w:rPr>
          <w:rFonts w:ascii="仿宋_GB2312" w:eastAsia="仿宋_GB2312" w:hAnsi="仿宋_GB2312" w:cs="仿宋_GB2312"/>
          <w:color w:val="000000" w:themeColor="text1"/>
          <w:kern w:val="0"/>
          <w:sz w:val="32"/>
          <w:szCs w:val="32"/>
          <w:lang w:bidi="ar"/>
        </w:rPr>
      </w:pPr>
      <w:r>
        <w:rPr>
          <w:rFonts w:ascii="仿宋_GB2312" w:eastAsia="仿宋_GB2312" w:hAnsi="仿宋_GB2312" w:cs="仿宋_GB2312" w:hint="eastAsia"/>
          <w:color w:val="000000" w:themeColor="text1"/>
          <w:kern w:val="0"/>
          <w:sz w:val="32"/>
          <w:szCs w:val="32"/>
          <w:lang w:bidi="ar"/>
        </w:rPr>
        <w:t>（十）完全丧失劳动能力，并与单位终止劳动关系的；</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（十一）死亡或者被宣告死亡的； </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（十二）常州市住房公积金管理委员会规定的其他可以提取住房公积金的情形。</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第六条</w:t>
      </w:r>
      <w:r>
        <w:rPr>
          <w:rFonts w:ascii="仿宋_GB2312" w:eastAsia="仿宋_GB2312" w:hAnsi="仿宋_GB2312" w:cs="仿宋_GB2312" w:hint="eastAsia"/>
          <w:color w:val="000000" w:themeColor="text1"/>
          <w:sz w:val="32"/>
          <w:szCs w:val="32"/>
        </w:rPr>
        <w:t xml:space="preserve"> 缴存人已办理本市住房公积金贷款的，其住房公积金须优先用于偿还住房公积金贷款本息。</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第七条</w:t>
      </w:r>
      <w:r>
        <w:rPr>
          <w:rFonts w:ascii="仿宋_GB2312" w:eastAsia="仿宋_GB2312" w:hAnsi="仿宋_GB2312" w:cs="仿宋_GB2312" w:hint="eastAsia"/>
          <w:color w:val="000000" w:themeColor="text1"/>
          <w:sz w:val="32"/>
          <w:szCs w:val="32"/>
        </w:rPr>
        <w:t xml:space="preserve"> 购买、建造、翻建、大修办公用房、商业用房、车库等非住房或装修住房的，不得提取住房公积金。</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 xml:space="preserve">第八条 </w:t>
      </w:r>
      <w:r>
        <w:rPr>
          <w:rFonts w:ascii="仿宋_GB2312" w:eastAsia="仿宋_GB2312" w:hAnsi="仿宋_GB2312" w:cs="仿宋_GB2312" w:hint="eastAsia"/>
          <w:color w:val="000000" w:themeColor="text1"/>
          <w:sz w:val="32"/>
          <w:szCs w:val="32"/>
        </w:rPr>
        <w:t>以受赠、继承、析产等</w:t>
      </w:r>
      <w:proofErr w:type="gramStart"/>
      <w:r>
        <w:rPr>
          <w:rFonts w:ascii="仿宋_GB2312" w:eastAsia="仿宋_GB2312" w:hAnsi="仿宋_GB2312" w:cs="仿宋_GB2312" w:hint="eastAsia"/>
          <w:color w:val="000000" w:themeColor="text1"/>
          <w:sz w:val="32"/>
          <w:szCs w:val="32"/>
        </w:rPr>
        <w:t>非购买</w:t>
      </w:r>
      <w:proofErr w:type="gramEnd"/>
      <w:r>
        <w:rPr>
          <w:rFonts w:ascii="仿宋_GB2312" w:eastAsia="仿宋_GB2312" w:hAnsi="仿宋_GB2312" w:cs="仿宋_GB2312" w:hint="eastAsia"/>
          <w:color w:val="000000" w:themeColor="text1"/>
          <w:sz w:val="32"/>
          <w:szCs w:val="32"/>
        </w:rPr>
        <w:t>方式取得自住住房产权的，不得提取住房公积金。</w:t>
      </w:r>
    </w:p>
    <w:p w:rsidR="000F2295" w:rsidRDefault="00C322EC" w:rsidP="000F0E1F">
      <w:pPr>
        <w:spacing w:line="570" w:lineRule="exact"/>
        <w:jc w:val="center"/>
        <w:rPr>
          <w:rFonts w:ascii="黑体" w:eastAsia="黑体" w:hAnsi="黑体" w:cs="仿宋"/>
          <w:bCs/>
          <w:color w:val="000000" w:themeColor="text1"/>
          <w:sz w:val="32"/>
          <w:szCs w:val="32"/>
        </w:rPr>
      </w:pPr>
      <w:r>
        <w:rPr>
          <w:rFonts w:ascii="黑体" w:eastAsia="黑体" w:hAnsi="黑体" w:cs="仿宋" w:hint="eastAsia"/>
          <w:bCs/>
          <w:color w:val="000000" w:themeColor="text1"/>
          <w:sz w:val="32"/>
          <w:szCs w:val="32"/>
        </w:rPr>
        <w:t>第三章 提取对象和额度</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第九条</w:t>
      </w:r>
      <w:r>
        <w:rPr>
          <w:rFonts w:ascii="仿宋_GB2312" w:eastAsia="仿宋_GB2312" w:hAnsi="仿宋_GB2312" w:cs="仿宋_GB2312" w:hint="eastAsia"/>
          <w:color w:val="000000" w:themeColor="text1"/>
          <w:sz w:val="32"/>
          <w:szCs w:val="32"/>
        </w:rPr>
        <w:t xml:space="preserve"> 符合本实施细则第五条第（一）项规定情形的，缴存人本人及其配偶、父母、子女可以提取住房公积金账户内的存储余额，一处自住住房每人可以提取一次，且只能提取购房有效证明材料签发当月之前（含当月）的住房公积金存储余额，</w:t>
      </w:r>
      <w:bookmarkStart w:id="0" w:name="_Hlk176097009"/>
      <w:r>
        <w:rPr>
          <w:rFonts w:ascii="仿宋_GB2312" w:eastAsia="仿宋_GB2312" w:hAnsi="仿宋_GB2312" w:cs="仿宋_GB2312" w:hint="eastAsia"/>
          <w:color w:val="000000" w:themeColor="text1"/>
          <w:sz w:val="32"/>
          <w:szCs w:val="32"/>
        </w:rPr>
        <w:t>每户所有提取人提取总额不超过所购自住住房的房屋总价。</w:t>
      </w:r>
    </w:p>
    <w:bookmarkEnd w:id="0"/>
    <w:p w:rsidR="000F2295" w:rsidRDefault="00C322EC" w:rsidP="000F0E1F">
      <w:pPr>
        <w:pStyle w:val="a7"/>
        <w:spacing w:before="0" w:beforeAutospacing="0" w:after="0" w:afterAutospacing="0" w:line="570" w:lineRule="exact"/>
        <w:ind w:firstLineChars="200" w:firstLine="640"/>
        <w:jc w:val="both"/>
        <w:rPr>
          <w:rFonts w:ascii="仿宋_GB2312" w:eastAsia="仿宋_GB2312" w:hAnsi="仿宋_GB2312" w:cs="仿宋_GB2312"/>
          <w:color w:val="000000" w:themeColor="text1"/>
          <w:kern w:val="2"/>
          <w:sz w:val="32"/>
          <w:szCs w:val="32"/>
        </w:rPr>
      </w:pPr>
      <w:r>
        <w:rPr>
          <w:rFonts w:ascii="楷体_GB2312" w:eastAsia="楷体_GB2312" w:hAnsi="楷体_GB2312" w:cs="楷体_GB2312" w:hint="eastAsia"/>
          <w:color w:val="000000" w:themeColor="text1"/>
          <w:kern w:val="2"/>
          <w:sz w:val="32"/>
          <w:szCs w:val="32"/>
        </w:rPr>
        <w:t>第十条</w:t>
      </w:r>
      <w:r>
        <w:rPr>
          <w:rFonts w:ascii="仿宋_GB2312" w:eastAsia="仿宋_GB2312" w:hAnsi="仿宋_GB2312" w:cs="仿宋_GB2312" w:hint="eastAsia"/>
          <w:color w:val="000000" w:themeColor="text1"/>
          <w:sz w:val="32"/>
          <w:szCs w:val="32"/>
        </w:rPr>
        <w:t xml:space="preserve"> 符合本实施细则第五条第（二）项规定情形的，缴存人本人及其配偶可以提取住房公积金账户内的存储余额，一处自住住房每人可以提取一次，且只能提取建造、翻</w:t>
      </w:r>
      <w:r>
        <w:rPr>
          <w:rFonts w:ascii="仿宋_GB2312" w:eastAsia="仿宋_GB2312" w:hAnsi="仿宋_GB2312" w:cs="仿宋_GB2312" w:hint="eastAsia"/>
          <w:color w:val="000000" w:themeColor="text1"/>
          <w:sz w:val="32"/>
          <w:szCs w:val="32"/>
        </w:rPr>
        <w:lastRenderedPageBreak/>
        <w:t>建、大修自住住房有效文件批准当月之前（含当月）的住房公积金存储余额，</w:t>
      </w:r>
      <w:r>
        <w:rPr>
          <w:rFonts w:ascii="仿宋_GB2312" w:eastAsia="仿宋_GB2312" w:hAnsi="仿宋_GB2312" w:cs="仿宋_GB2312" w:hint="eastAsia"/>
          <w:color w:val="000000" w:themeColor="text1"/>
          <w:kern w:val="2"/>
          <w:sz w:val="32"/>
          <w:szCs w:val="32"/>
        </w:rPr>
        <w:t>每户所有提取人提取总额不超过建造、翻建、大修自住住房的费用。</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第十一条</w:t>
      </w:r>
      <w:r>
        <w:rPr>
          <w:rFonts w:ascii="仿宋_GB2312" w:eastAsia="仿宋_GB2312" w:hAnsi="仿宋_GB2312" w:cs="仿宋_GB2312" w:hint="eastAsia"/>
          <w:color w:val="000000" w:themeColor="text1"/>
          <w:sz w:val="32"/>
          <w:szCs w:val="32"/>
        </w:rPr>
        <w:t xml:space="preserve"> 符合本实施细则第五条第（三）项规定情形的，缴存人本人及其配偶可以提取住房公积金账户内的存储余额，提取总额不超过需偿还的贷款本息。</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第十二条</w:t>
      </w:r>
      <w:r>
        <w:rPr>
          <w:rFonts w:ascii="仿宋_GB2312" w:eastAsia="仿宋_GB2312" w:hAnsi="仿宋_GB2312" w:cs="仿宋_GB2312" w:hint="eastAsia"/>
          <w:color w:val="000000" w:themeColor="text1"/>
          <w:sz w:val="32"/>
          <w:szCs w:val="32"/>
        </w:rPr>
        <w:t xml:space="preserve"> 符合本实施细则第五条第（四）项规定情形的，缴存人每年可以多次提取住房公积金账户内的存储余额，但每年提取总额不超过公积金中心公布的当年租房提取限额。</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第十三条</w:t>
      </w:r>
      <w:r>
        <w:rPr>
          <w:rFonts w:ascii="仿宋_GB2312" w:eastAsia="仿宋_GB2312" w:hAnsi="仿宋_GB2312" w:cs="仿宋_GB2312" w:hint="eastAsia"/>
          <w:color w:val="000000" w:themeColor="text1"/>
          <w:sz w:val="32"/>
          <w:szCs w:val="32"/>
        </w:rPr>
        <w:t xml:space="preserve"> 符合本实施细则第五条第（五）项规定情形的，缴存人本人及其配偶、父母、子女可以自电梯使用注册登记或更新交付之日起一年内一次性提取住房公积金账户内的存储余额，提取总额不超过加装、更新电梯总费用中实际支付的个人分摊金额。</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第十四条</w:t>
      </w:r>
      <w:r>
        <w:rPr>
          <w:rFonts w:ascii="仿宋_GB2312" w:eastAsia="仿宋_GB2312" w:hAnsi="仿宋_GB2312" w:cs="仿宋_GB2312" w:hint="eastAsia"/>
          <w:color w:val="000000" w:themeColor="text1"/>
          <w:sz w:val="32"/>
          <w:szCs w:val="32"/>
        </w:rPr>
        <w:t xml:space="preserve"> 符合本实施细则第五条第（六）项规定情形的，缴存人本人及其配偶可以每年提取一次住房公积金账户内的存储余额。</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第十五条</w:t>
      </w:r>
      <w:r>
        <w:rPr>
          <w:rFonts w:ascii="仿宋_GB2312" w:eastAsia="仿宋_GB2312" w:hAnsi="仿宋_GB2312" w:cs="仿宋_GB2312" w:hint="eastAsia"/>
          <w:color w:val="000000" w:themeColor="text1"/>
          <w:sz w:val="32"/>
          <w:szCs w:val="32"/>
        </w:rPr>
        <w:t xml:space="preserve"> 符合本实施细则第五条第（一）、（二）、（三）、（四）、（五）、（六）项规定情形提取住房公积金的，缴存人住房公积金账户应保留一定余额。</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第十六条</w:t>
      </w:r>
      <w:r>
        <w:rPr>
          <w:rFonts w:ascii="仿宋_GB2312" w:eastAsia="仿宋_GB2312" w:hAnsi="仿宋_GB2312" w:cs="仿宋_GB2312" w:hint="eastAsia"/>
          <w:color w:val="000000" w:themeColor="text1"/>
          <w:sz w:val="32"/>
          <w:szCs w:val="32"/>
        </w:rPr>
        <w:t xml:space="preserve"> 符合本实施细则第五条第（七）、（八）、（九）、（十）项规定情形提取住房公积金的，缴存人应一次性提取本人住房公积金账户内的全部存储余额，同时注销住房公积金账户。</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lastRenderedPageBreak/>
        <w:t>第十七条</w:t>
      </w:r>
      <w:r>
        <w:rPr>
          <w:rFonts w:ascii="仿宋_GB2312" w:eastAsia="仿宋_GB2312" w:hAnsi="仿宋_GB2312" w:cs="仿宋_GB2312" w:hint="eastAsia"/>
          <w:color w:val="000000" w:themeColor="text1"/>
          <w:sz w:val="32"/>
          <w:szCs w:val="32"/>
        </w:rPr>
        <w:t xml:space="preserve"> 符合本实施细则第五条第（十一）项规定情形的，缴存人的继承人、受遗赠人可以提取缴存人住房公积金账户内的全部存储余额，同时注销住房公积金账户。</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无继承人又无受遗赠人的，该缴存人住房公积金账户内的存储余额纳入住房公积金的增值收益。</w:t>
      </w:r>
    </w:p>
    <w:p w:rsidR="000F2295" w:rsidRDefault="00C322EC" w:rsidP="000F0E1F">
      <w:pPr>
        <w:spacing w:line="570" w:lineRule="exact"/>
        <w:jc w:val="center"/>
        <w:rPr>
          <w:rFonts w:ascii="黑体" w:eastAsia="黑体" w:hAnsi="黑体" w:cs="仿宋"/>
          <w:bCs/>
          <w:color w:val="000000" w:themeColor="text1"/>
          <w:sz w:val="32"/>
          <w:szCs w:val="32"/>
        </w:rPr>
      </w:pPr>
      <w:r>
        <w:rPr>
          <w:rFonts w:ascii="黑体" w:eastAsia="黑体" w:hAnsi="黑体" w:cs="仿宋" w:hint="eastAsia"/>
          <w:bCs/>
          <w:color w:val="000000" w:themeColor="text1"/>
          <w:sz w:val="32"/>
          <w:szCs w:val="32"/>
        </w:rPr>
        <w:t>第四章 提取材料</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第十八条</w:t>
      </w:r>
      <w:r>
        <w:rPr>
          <w:rFonts w:ascii="仿宋_GB2312" w:eastAsia="仿宋_GB2312" w:hAnsi="仿宋_GB2312" w:cs="仿宋_GB2312" w:hint="eastAsia"/>
          <w:color w:val="000000" w:themeColor="text1"/>
          <w:sz w:val="32"/>
          <w:szCs w:val="32"/>
        </w:rPr>
        <w:t xml:space="preserve"> 缴存人申请提取住房公积金，应提供本人身份证件；缴存人配偶、父母、子女提取住房公积金的，还应提供身份关系证明材料；缴存人确有困难，无法本人申请提取，需委托他人代办的，还应提供代办人身份证件。</w:t>
      </w:r>
    </w:p>
    <w:p w:rsidR="000F2295" w:rsidRDefault="00C322EC" w:rsidP="000F0E1F">
      <w:pPr>
        <w:spacing w:line="570" w:lineRule="exact"/>
        <w:ind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第十九条</w:t>
      </w:r>
      <w:r>
        <w:rPr>
          <w:rFonts w:ascii="仿宋_GB2312" w:eastAsia="仿宋_GB2312" w:hAnsi="仿宋_GB2312" w:cs="仿宋_GB2312" w:hint="eastAsia"/>
          <w:color w:val="000000" w:themeColor="text1"/>
          <w:sz w:val="32"/>
          <w:szCs w:val="32"/>
        </w:rPr>
        <w:t xml:space="preserve"> 缴存人死亡或者被宣告死亡，其继承人或受遗赠人申请提取住房公积金的，应提供提取人身份证件以及与缴存人的身份关系证明材料或受遗赠证明材料。</w:t>
      </w:r>
    </w:p>
    <w:p w:rsidR="000F2295" w:rsidRDefault="00C322EC" w:rsidP="000F0E1F">
      <w:pPr>
        <w:spacing w:line="570" w:lineRule="exact"/>
        <w:ind w:firstLineChars="200" w:firstLine="640"/>
        <w:rPr>
          <w:rFonts w:ascii="仿宋_GB2312" w:eastAsia="仿宋_GB2312" w:hAnsi="仿宋_GB2312" w:cs="仿宋_GB2312"/>
          <w:strike/>
          <w:color w:val="000000" w:themeColor="text1"/>
          <w:sz w:val="32"/>
          <w:szCs w:val="32"/>
        </w:rPr>
      </w:pPr>
      <w:r>
        <w:rPr>
          <w:rFonts w:ascii="楷体_GB2312" w:eastAsia="楷体_GB2312" w:hAnsi="楷体_GB2312" w:cs="楷体_GB2312" w:hint="eastAsia"/>
          <w:color w:val="000000" w:themeColor="text1"/>
          <w:sz w:val="32"/>
          <w:szCs w:val="32"/>
        </w:rPr>
        <w:t>第二十条</w:t>
      </w:r>
      <w:r>
        <w:rPr>
          <w:rFonts w:ascii="仿宋_GB2312" w:eastAsia="仿宋_GB2312" w:hAnsi="仿宋_GB2312" w:cs="仿宋_GB2312" w:hint="eastAsia"/>
          <w:color w:val="000000" w:themeColor="text1"/>
          <w:sz w:val="32"/>
          <w:szCs w:val="32"/>
        </w:rPr>
        <w:t xml:space="preserve"> 缴存人申请提取住房公积金，应提供符合提取情形的证明材料，具体所需材料由公积金中心根据实际情况确定并公布。</w:t>
      </w:r>
    </w:p>
    <w:p w:rsidR="000F2295" w:rsidRDefault="00C322EC" w:rsidP="000F0E1F">
      <w:pPr>
        <w:spacing w:line="570" w:lineRule="exact"/>
        <w:jc w:val="center"/>
        <w:rPr>
          <w:rFonts w:ascii="黑体" w:eastAsia="黑体" w:hAnsi="黑体" w:cs="黑体"/>
          <w:bCs/>
          <w:color w:val="000000" w:themeColor="text1"/>
          <w:sz w:val="32"/>
          <w:szCs w:val="32"/>
        </w:rPr>
      </w:pPr>
      <w:r>
        <w:rPr>
          <w:rFonts w:ascii="黑体" w:eastAsia="黑体" w:hAnsi="黑体" w:cs="黑体" w:hint="eastAsia"/>
          <w:bCs/>
          <w:color w:val="000000" w:themeColor="text1"/>
          <w:sz w:val="32"/>
          <w:szCs w:val="32"/>
        </w:rPr>
        <w:t>第五章 提取程序</w:t>
      </w:r>
    </w:p>
    <w:p w:rsidR="000F2295" w:rsidRDefault="00C322EC" w:rsidP="000F0E1F">
      <w:pPr>
        <w:spacing w:line="570" w:lineRule="exact"/>
        <w:ind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第二十一条</w:t>
      </w:r>
      <w:r>
        <w:rPr>
          <w:rFonts w:ascii="仿宋_GB2312" w:eastAsia="仿宋_GB2312" w:hAnsi="仿宋_GB2312" w:cs="仿宋_GB2312" w:hint="eastAsia"/>
          <w:color w:val="000000" w:themeColor="text1"/>
          <w:sz w:val="32"/>
          <w:szCs w:val="32"/>
        </w:rPr>
        <w:t xml:space="preserve"> 缴存人应当根据本市住房公积金提取相关规定，以真实的行为和信息向公积金中心提出提取申请，并授权同意公积金中心对缴存人提取申请信息进行联网核查。</w:t>
      </w:r>
    </w:p>
    <w:p w:rsidR="000F2295" w:rsidRDefault="00C322EC" w:rsidP="000F0E1F">
      <w:pPr>
        <w:spacing w:line="570" w:lineRule="exact"/>
        <w:ind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第二十二条</w:t>
      </w:r>
      <w:r>
        <w:rPr>
          <w:rFonts w:ascii="仿宋_GB2312" w:eastAsia="仿宋_GB2312" w:hAnsi="仿宋_GB2312" w:cs="仿宋_GB2312" w:hint="eastAsia"/>
          <w:color w:val="000000" w:themeColor="text1"/>
          <w:sz w:val="32"/>
          <w:szCs w:val="32"/>
        </w:rPr>
        <w:t xml:space="preserve"> 公积金中心对提取申请进行审核，符合提取条件且提取材料真实齐全的，公积金中心自受理申请之日起3个工作日内</w:t>
      </w:r>
      <w:proofErr w:type="gramStart"/>
      <w:r>
        <w:rPr>
          <w:rFonts w:ascii="仿宋_GB2312" w:eastAsia="仿宋_GB2312" w:hAnsi="仿宋_GB2312" w:cs="仿宋_GB2312" w:hint="eastAsia"/>
          <w:color w:val="000000" w:themeColor="text1"/>
          <w:sz w:val="32"/>
          <w:szCs w:val="32"/>
        </w:rPr>
        <w:t>作出</w:t>
      </w:r>
      <w:proofErr w:type="gramEnd"/>
      <w:r>
        <w:rPr>
          <w:rFonts w:ascii="仿宋_GB2312" w:eastAsia="仿宋_GB2312" w:hAnsi="仿宋_GB2312" w:cs="仿宋_GB2312" w:hint="eastAsia"/>
          <w:color w:val="000000" w:themeColor="text1"/>
          <w:sz w:val="32"/>
          <w:szCs w:val="32"/>
        </w:rPr>
        <w:t>准予提取的决定。</w:t>
      </w:r>
    </w:p>
    <w:p w:rsidR="000F2295" w:rsidRDefault="00C322EC" w:rsidP="000F0E1F">
      <w:pPr>
        <w:spacing w:line="570" w:lineRule="exact"/>
        <w:ind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公积金中心对提取行为或证明材料的真实性有疑义的，</w:t>
      </w:r>
      <w:r>
        <w:rPr>
          <w:rFonts w:ascii="仿宋_GB2312" w:eastAsia="仿宋_GB2312" w:hAnsi="仿宋_GB2312" w:cs="仿宋_GB2312" w:hint="eastAsia"/>
          <w:color w:val="000000" w:themeColor="text1"/>
          <w:sz w:val="32"/>
          <w:szCs w:val="32"/>
        </w:rPr>
        <w:lastRenderedPageBreak/>
        <w:t>可以约谈提取人，要求提取人补正信息，进一步提供其他有效材料，也可以向有关部门调查、取证，待核实后再</w:t>
      </w:r>
      <w:proofErr w:type="gramStart"/>
      <w:r>
        <w:rPr>
          <w:rFonts w:ascii="仿宋_GB2312" w:eastAsia="仿宋_GB2312" w:hAnsi="仿宋_GB2312" w:cs="仿宋_GB2312" w:hint="eastAsia"/>
          <w:color w:val="000000" w:themeColor="text1"/>
          <w:sz w:val="32"/>
          <w:szCs w:val="32"/>
        </w:rPr>
        <w:t>作出</w:t>
      </w:r>
      <w:proofErr w:type="gramEnd"/>
      <w:r>
        <w:rPr>
          <w:rFonts w:ascii="仿宋_GB2312" w:eastAsia="仿宋_GB2312" w:hAnsi="仿宋_GB2312" w:cs="仿宋_GB2312" w:hint="eastAsia"/>
          <w:color w:val="000000" w:themeColor="text1"/>
          <w:sz w:val="32"/>
          <w:szCs w:val="32"/>
        </w:rPr>
        <w:t>准予提取或者</w:t>
      </w:r>
      <w:proofErr w:type="gramStart"/>
      <w:r>
        <w:rPr>
          <w:rFonts w:ascii="仿宋_GB2312" w:eastAsia="仿宋_GB2312" w:hAnsi="仿宋_GB2312" w:cs="仿宋_GB2312" w:hint="eastAsia"/>
          <w:color w:val="000000" w:themeColor="text1"/>
          <w:sz w:val="32"/>
          <w:szCs w:val="32"/>
        </w:rPr>
        <w:t>不</w:t>
      </w:r>
      <w:proofErr w:type="gramEnd"/>
      <w:r>
        <w:rPr>
          <w:rFonts w:ascii="仿宋_GB2312" w:eastAsia="仿宋_GB2312" w:hAnsi="仿宋_GB2312" w:cs="仿宋_GB2312" w:hint="eastAsia"/>
          <w:color w:val="000000" w:themeColor="text1"/>
          <w:sz w:val="32"/>
          <w:szCs w:val="32"/>
        </w:rPr>
        <w:t>准予提取的决定。</w:t>
      </w:r>
    </w:p>
    <w:p w:rsidR="000F2295" w:rsidRDefault="00C322EC" w:rsidP="000F0E1F">
      <w:pPr>
        <w:spacing w:line="570" w:lineRule="exact"/>
        <w:ind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第二十三条</w:t>
      </w:r>
      <w:r>
        <w:rPr>
          <w:rFonts w:ascii="仿宋_GB2312" w:eastAsia="仿宋_GB2312" w:hAnsi="仿宋_GB2312" w:cs="仿宋_GB2312" w:hint="eastAsia"/>
          <w:color w:val="000000" w:themeColor="text1"/>
          <w:sz w:val="32"/>
          <w:szCs w:val="32"/>
        </w:rPr>
        <w:t xml:space="preserve"> 住房公积金提取采用转账方式，提取资金划转至提取申请人与公积金中心约定的提取结算账户。</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与公积金中心签订委托提取协议的，由公积金中心根据约定进行提取审核和支付。</w:t>
      </w:r>
    </w:p>
    <w:p w:rsidR="000F2295" w:rsidRDefault="00C322EC" w:rsidP="000F0E1F">
      <w:pPr>
        <w:spacing w:line="570" w:lineRule="exact"/>
        <w:jc w:val="center"/>
        <w:rPr>
          <w:rFonts w:ascii="黑体" w:eastAsia="黑体" w:hAnsi="黑体" w:cs="黑体"/>
          <w:bCs/>
          <w:color w:val="000000" w:themeColor="text1"/>
          <w:sz w:val="32"/>
          <w:szCs w:val="32"/>
        </w:rPr>
      </w:pPr>
      <w:r>
        <w:rPr>
          <w:rFonts w:ascii="黑体" w:eastAsia="黑体" w:hAnsi="黑体" w:cs="黑体" w:hint="eastAsia"/>
          <w:bCs/>
          <w:color w:val="000000" w:themeColor="text1"/>
          <w:sz w:val="32"/>
          <w:szCs w:val="32"/>
        </w:rPr>
        <w:t>第六章 监督</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第二十四条</w:t>
      </w:r>
      <w:r>
        <w:rPr>
          <w:rFonts w:ascii="仿宋_GB2312" w:eastAsia="仿宋_GB2312" w:hAnsi="仿宋_GB2312" w:cs="仿宋_GB2312" w:hint="eastAsia"/>
          <w:color w:val="000000" w:themeColor="text1"/>
          <w:sz w:val="32"/>
          <w:szCs w:val="32"/>
        </w:rPr>
        <w:t xml:space="preserve"> 公积金中心提取管理应当接受国家有关部门、单位和职工以及社会的监督。</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第二十五条</w:t>
      </w:r>
      <w:r>
        <w:rPr>
          <w:rFonts w:ascii="仿宋_GB2312" w:eastAsia="仿宋_GB2312" w:hAnsi="仿宋_GB2312" w:cs="仿宋_GB2312" w:hint="eastAsia"/>
          <w:color w:val="000000" w:themeColor="text1"/>
          <w:sz w:val="32"/>
          <w:szCs w:val="32"/>
        </w:rPr>
        <w:t xml:space="preserve">  缴存人隐瞒有关情况或者提供虚假材料套取</w:t>
      </w:r>
      <w:proofErr w:type="gramStart"/>
      <w:r>
        <w:rPr>
          <w:rFonts w:ascii="仿宋_GB2312" w:eastAsia="仿宋_GB2312" w:hAnsi="仿宋_GB2312" w:cs="仿宋_GB2312" w:hint="eastAsia"/>
          <w:color w:val="000000" w:themeColor="text1"/>
          <w:sz w:val="32"/>
          <w:szCs w:val="32"/>
        </w:rPr>
        <w:t>骗提住房</w:t>
      </w:r>
      <w:proofErr w:type="gramEnd"/>
      <w:r>
        <w:rPr>
          <w:rFonts w:ascii="仿宋_GB2312" w:eastAsia="仿宋_GB2312" w:hAnsi="仿宋_GB2312" w:cs="仿宋_GB2312" w:hint="eastAsia"/>
          <w:color w:val="000000" w:themeColor="text1"/>
          <w:sz w:val="32"/>
          <w:szCs w:val="32"/>
        </w:rPr>
        <w:t>公积金的，公积金中心应立即终止提取业务办理，责令限期退回资金，并记载其失信记录，暂停其一定期限内的住房公积金提取资格。拒不退回违规提取的住房公积金的，公积金中心可以申请人民法院强制执行；对涉嫌构成犯罪的，移送司法机关处理。</w:t>
      </w:r>
    </w:p>
    <w:p w:rsidR="000F2295" w:rsidRDefault="00C322EC" w:rsidP="000F0E1F">
      <w:pPr>
        <w:spacing w:line="570" w:lineRule="exact"/>
        <w:jc w:val="center"/>
        <w:rPr>
          <w:rFonts w:ascii="黑体" w:eastAsia="黑体" w:hAnsi="黑体" w:cs="黑体"/>
          <w:bCs/>
          <w:color w:val="000000" w:themeColor="text1"/>
          <w:sz w:val="32"/>
          <w:szCs w:val="32"/>
        </w:rPr>
      </w:pPr>
      <w:r>
        <w:rPr>
          <w:rFonts w:ascii="黑体" w:eastAsia="黑体" w:hAnsi="黑体" w:cs="黑体" w:hint="eastAsia"/>
          <w:bCs/>
          <w:color w:val="000000" w:themeColor="text1"/>
          <w:sz w:val="32"/>
          <w:szCs w:val="32"/>
        </w:rPr>
        <w:t>第七章 附 则</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第二十六条</w:t>
      </w:r>
      <w:r>
        <w:rPr>
          <w:rFonts w:ascii="仿宋_GB2312" w:eastAsia="仿宋_GB2312" w:hAnsi="仿宋_GB2312" w:cs="仿宋_GB2312" w:hint="eastAsia"/>
          <w:color w:val="000000" w:themeColor="text1"/>
          <w:sz w:val="32"/>
          <w:szCs w:val="32"/>
        </w:rPr>
        <w:t xml:space="preserve"> 灵活就业人员提取住房公积金根据本市相关规定执行。</w:t>
      </w:r>
    </w:p>
    <w:p w:rsidR="000F2295" w:rsidRDefault="00C322EC" w:rsidP="000F0E1F">
      <w:pPr>
        <w:spacing w:line="570" w:lineRule="exact"/>
        <w:ind w:firstLineChars="200"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第二十七条</w:t>
      </w:r>
      <w:r>
        <w:rPr>
          <w:rFonts w:ascii="仿宋_GB2312" w:eastAsia="仿宋_GB2312" w:hAnsi="仿宋_GB2312" w:cs="仿宋_GB2312" w:hint="eastAsia"/>
          <w:color w:val="000000" w:themeColor="text1"/>
          <w:sz w:val="32"/>
          <w:szCs w:val="32"/>
        </w:rPr>
        <w:t xml:space="preserve"> 本实施细则由常州市住房公积金管理中心负责解释，常州市住房公积金管理委员会授权公积金中心根据本实施细则制定具体操作规定并组织实施。</w:t>
      </w:r>
    </w:p>
    <w:p w:rsidR="000F2295" w:rsidRDefault="00C322EC" w:rsidP="000F0E1F">
      <w:pPr>
        <w:spacing w:line="570" w:lineRule="exact"/>
        <w:ind w:firstLine="640"/>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第二十八条</w:t>
      </w:r>
      <w:r>
        <w:rPr>
          <w:rFonts w:ascii="仿宋_GB2312" w:eastAsia="仿宋_GB2312" w:hAnsi="仿宋_GB2312" w:cs="仿宋_GB2312" w:hint="eastAsia"/>
          <w:color w:val="000000" w:themeColor="text1"/>
          <w:sz w:val="32"/>
          <w:szCs w:val="32"/>
        </w:rPr>
        <w:t xml:space="preserve"> 本实施细则自2024年10月1日起施行，有效期至2029年9月30日。原《常州市住房公积金提取管</w:t>
      </w:r>
      <w:r>
        <w:rPr>
          <w:rFonts w:ascii="仿宋_GB2312" w:eastAsia="仿宋_GB2312" w:hAnsi="仿宋_GB2312" w:cs="仿宋_GB2312" w:hint="eastAsia"/>
          <w:color w:val="000000" w:themeColor="text1"/>
          <w:sz w:val="32"/>
          <w:szCs w:val="32"/>
        </w:rPr>
        <w:lastRenderedPageBreak/>
        <w:t>理实施细则》（常公积金委〔2009〕1号）同时废止。此前文件规定与本实施细则不一致的，以本实施细则为准。住房和城乡建设部等上级监管部门另有规定的，从其规定。</w:t>
      </w:r>
    </w:p>
    <w:p w:rsidR="000F2295" w:rsidRDefault="000F2295" w:rsidP="000F0E1F">
      <w:pPr>
        <w:spacing w:line="570" w:lineRule="exact"/>
        <w:rPr>
          <w:rFonts w:ascii="仿宋_GB2312" w:eastAsia="仿宋_GB2312" w:hAnsi="仿宋_GB2312" w:cs="仿宋_GB2312"/>
          <w:color w:val="000000" w:themeColor="text1"/>
          <w:sz w:val="32"/>
          <w:szCs w:val="32"/>
        </w:rPr>
      </w:pPr>
    </w:p>
    <w:sectPr w:rsidR="000F2295">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7014" w:rsidRDefault="002B7014">
      <w:r>
        <w:separator/>
      </w:r>
    </w:p>
  </w:endnote>
  <w:endnote w:type="continuationSeparator" w:id="0">
    <w:p w:rsidR="002B7014" w:rsidRDefault="002B70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embedRegular r:id="rId1" w:subsetted="1" w:fontKey="{8B3CF88B-860B-4950-85A2-2EE6E7166812}"/>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93998996-F6EE-4C96-8C4A-17600269E1AE}"/>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embedRegular r:id="rId3" w:subsetted="1" w:fontKey="{D2841594-4F0B-49E7-9B74-65AE3FE7EBE9}"/>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0" w:usb1="08000000" w:usb2="00000000" w:usb3="00000000" w:csb0="00040000" w:csb1="00000000"/>
  </w:font>
  <w:font w:name="楷体_GB2312">
    <w:panose1 w:val="02010609030101010101"/>
    <w:charset w:val="86"/>
    <w:family w:val="modern"/>
    <w:pitch w:val="fixed"/>
    <w:sig w:usb0="00000001" w:usb1="080E0000" w:usb2="00000010" w:usb3="00000000" w:csb0="00040000" w:csb1="00000000"/>
    <w:embedRegular r:id="rId4" w:subsetted="1" w:fontKey="{6A8CC417-E4B0-4349-ABAE-4929D41516E7}"/>
  </w:font>
  <w:font w:name="仿宋_GB2312">
    <w:altName w:val="Arial Unicode MS"/>
    <w:panose1 w:val="02010609030101010101"/>
    <w:charset w:val="86"/>
    <w:family w:val="modern"/>
    <w:pitch w:val="fixed"/>
    <w:sig w:usb0="00000001" w:usb1="080E0000" w:usb2="00000010" w:usb3="00000000" w:csb0="00040000" w:csb1="00000000"/>
    <w:embedRegular r:id="rId5" w:subsetted="1" w:fontKey="{22E8A8B5-DC82-40A0-8C73-B5D9EA31B867}"/>
  </w:font>
  <w:font w:name="等线 Light">
    <w:panose1 w:val="02010600030101010101"/>
    <w:charset w:val="86"/>
    <w:family w:val="auto"/>
    <w:pitch w:val="variable"/>
    <w:sig w:usb0="A00002BF" w:usb1="38CF7CFA" w:usb2="00000016" w:usb3="00000000" w:csb0="0004000F" w:csb1="00000000"/>
    <w:embedRegular r:id="rId6" w:subsetted="1" w:fontKey="{A2F5C016-EB4E-4F46-801C-9B6B6459C71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0E1F" w:rsidRDefault="000F0E1F">
    <w:pPr>
      <w:pStyle w:val="a4"/>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ajorHAnsi" w:eastAsiaTheme="majorEastAsia" w:hAnsiTheme="majorHAnsi" w:cstheme="majorBidi"/>
        <w:sz w:val="28"/>
        <w:szCs w:val="28"/>
        <w:lang w:val="zh-CN"/>
      </w:rPr>
      <w:id w:val="-1657609308"/>
      <w:docPartObj>
        <w:docPartGallery w:val="Page Numbers (Bottom of Page)"/>
        <w:docPartUnique/>
      </w:docPartObj>
    </w:sdtPr>
    <w:sdtContent>
      <w:bookmarkStart w:id="1" w:name="_GoBack" w:displacedByCustomXml="prev"/>
      <w:bookmarkEnd w:id="1" w:displacedByCustomXml="prev"/>
      <w:p w:rsidR="000F0E1F" w:rsidRDefault="000F0E1F">
        <w:pPr>
          <w:pStyle w:val="a4"/>
          <w:ind w:firstLine="560"/>
          <w:jc w:val="center"/>
          <w:rPr>
            <w:rFonts w:asciiTheme="majorHAnsi" w:eastAsiaTheme="majorEastAsia" w:hAnsiTheme="majorHAnsi" w:cstheme="majorBidi"/>
            <w:sz w:val="28"/>
            <w:szCs w:val="28"/>
          </w:rPr>
        </w:pPr>
        <w:r>
          <w:rPr>
            <w:rFonts w:asciiTheme="majorHAnsi" w:eastAsiaTheme="majorEastAsia" w:hAnsiTheme="majorHAnsi" w:cstheme="majorBidi"/>
            <w:sz w:val="28"/>
            <w:szCs w:val="28"/>
            <w:lang w:val="zh-CN"/>
          </w:rPr>
          <w:t xml:space="preserve">~ </w:t>
        </w:r>
        <w:r>
          <w:rPr>
            <w:rFonts w:asciiTheme="minorHAnsi" w:eastAsiaTheme="minorEastAsia" w:hAnsiTheme="minorHAnsi"/>
            <w:sz w:val="22"/>
          </w:rPr>
          <w:fldChar w:fldCharType="begin"/>
        </w:r>
        <w:r>
          <w:instrText>PAGE    \* MERGEFORMAT</w:instrText>
        </w:r>
        <w:r>
          <w:rPr>
            <w:rFonts w:asciiTheme="minorHAnsi" w:eastAsiaTheme="minorEastAsia" w:hAnsiTheme="minorHAnsi"/>
            <w:sz w:val="22"/>
          </w:rPr>
          <w:fldChar w:fldCharType="separate"/>
        </w:r>
        <w:r w:rsidRPr="000F0E1F">
          <w:rPr>
            <w:rFonts w:asciiTheme="majorHAnsi" w:eastAsiaTheme="majorEastAsia" w:hAnsiTheme="majorHAnsi" w:cstheme="majorBidi"/>
            <w:noProof/>
            <w:sz w:val="28"/>
            <w:szCs w:val="28"/>
            <w:lang w:val="zh-CN"/>
          </w:rPr>
          <w:t>6</w:t>
        </w:r>
        <w:r>
          <w:rPr>
            <w:rFonts w:asciiTheme="majorHAnsi" w:eastAsiaTheme="majorEastAsia" w:hAnsiTheme="majorHAnsi" w:cstheme="majorBidi"/>
            <w:sz w:val="28"/>
            <w:szCs w:val="28"/>
          </w:rPr>
          <w:fldChar w:fldCharType="end"/>
        </w:r>
        <w:r>
          <w:rPr>
            <w:rFonts w:asciiTheme="majorHAnsi" w:eastAsiaTheme="majorEastAsia" w:hAnsiTheme="majorHAnsi" w:cstheme="majorBidi"/>
            <w:sz w:val="28"/>
            <w:szCs w:val="28"/>
            <w:lang w:val="zh-CN"/>
          </w:rPr>
          <w:t xml:space="preserve"> ~</w:t>
        </w:r>
      </w:p>
    </w:sdtContent>
  </w:sdt>
  <w:p w:rsidR="000F2295" w:rsidRDefault="000F2295">
    <w:pPr>
      <w:pStyle w:val="a4"/>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0E1F" w:rsidRDefault="000F0E1F">
    <w:pPr>
      <w:pStyle w:val="a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7014" w:rsidRDefault="002B7014">
      <w:r>
        <w:separator/>
      </w:r>
    </w:p>
  </w:footnote>
  <w:footnote w:type="continuationSeparator" w:id="0">
    <w:p w:rsidR="002B7014" w:rsidRDefault="002B701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0E1F" w:rsidRDefault="000F0E1F">
    <w:pPr>
      <w:pStyle w:val="a6"/>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0E1F" w:rsidRDefault="000F0E1F">
    <w:pPr>
      <w:pStyle w:val="a6"/>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0E1F" w:rsidRDefault="000F0E1F">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yZmNhZmMwYTRkMzdjNDc0ZDBiODA4ZTNmNjg2YzYifQ=="/>
  </w:docVars>
  <w:rsids>
    <w:rsidRoot w:val="00091950"/>
    <w:rsid w:val="EFEFAE6E"/>
    <w:rsid w:val="FDFF4FCD"/>
    <w:rsid w:val="000148CA"/>
    <w:rsid w:val="0002138E"/>
    <w:rsid w:val="00091950"/>
    <w:rsid w:val="000F0E1F"/>
    <w:rsid w:val="000F2295"/>
    <w:rsid w:val="0010082F"/>
    <w:rsid w:val="00112788"/>
    <w:rsid w:val="00223FA4"/>
    <w:rsid w:val="002B7014"/>
    <w:rsid w:val="003A2DF7"/>
    <w:rsid w:val="005178D9"/>
    <w:rsid w:val="0057279C"/>
    <w:rsid w:val="005A0B40"/>
    <w:rsid w:val="005C0A4A"/>
    <w:rsid w:val="005C6557"/>
    <w:rsid w:val="006D1EBD"/>
    <w:rsid w:val="008E4C92"/>
    <w:rsid w:val="00932923"/>
    <w:rsid w:val="0098467E"/>
    <w:rsid w:val="00B9251E"/>
    <w:rsid w:val="00BA18F4"/>
    <w:rsid w:val="00C322EC"/>
    <w:rsid w:val="00C804F6"/>
    <w:rsid w:val="00D66370"/>
    <w:rsid w:val="00DF246F"/>
    <w:rsid w:val="00E1376A"/>
    <w:rsid w:val="00E26409"/>
    <w:rsid w:val="00E62399"/>
    <w:rsid w:val="00F45950"/>
    <w:rsid w:val="00F726EE"/>
    <w:rsid w:val="00FA11A6"/>
    <w:rsid w:val="00FC51D2"/>
    <w:rsid w:val="01161381"/>
    <w:rsid w:val="02A242C8"/>
    <w:rsid w:val="02F53218"/>
    <w:rsid w:val="03965E35"/>
    <w:rsid w:val="056F7DAE"/>
    <w:rsid w:val="05A625A8"/>
    <w:rsid w:val="062F2446"/>
    <w:rsid w:val="06BE5BBE"/>
    <w:rsid w:val="0718062C"/>
    <w:rsid w:val="09FB5325"/>
    <w:rsid w:val="0A9F697E"/>
    <w:rsid w:val="0B8B3895"/>
    <w:rsid w:val="0BC70130"/>
    <w:rsid w:val="0FD97248"/>
    <w:rsid w:val="108F5664"/>
    <w:rsid w:val="120606BD"/>
    <w:rsid w:val="120A4940"/>
    <w:rsid w:val="12BC3223"/>
    <w:rsid w:val="14D53C3F"/>
    <w:rsid w:val="162667E9"/>
    <w:rsid w:val="17465999"/>
    <w:rsid w:val="17D5597A"/>
    <w:rsid w:val="18885996"/>
    <w:rsid w:val="18F7519C"/>
    <w:rsid w:val="193625E9"/>
    <w:rsid w:val="19FF69FF"/>
    <w:rsid w:val="1AAA261B"/>
    <w:rsid w:val="1B4B17D0"/>
    <w:rsid w:val="1BC934CD"/>
    <w:rsid w:val="1BE0016A"/>
    <w:rsid w:val="1DE859FC"/>
    <w:rsid w:val="1E225587"/>
    <w:rsid w:val="1E786A08"/>
    <w:rsid w:val="1F190772"/>
    <w:rsid w:val="20C20DFC"/>
    <w:rsid w:val="22873A35"/>
    <w:rsid w:val="239E1F08"/>
    <w:rsid w:val="242552B4"/>
    <w:rsid w:val="244439A2"/>
    <w:rsid w:val="27C4668A"/>
    <w:rsid w:val="28262BD6"/>
    <w:rsid w:val="29C016B3"/>
    <w:rsid w:val="2AE5754B"/>
    <w:rsid w:val="2C0559CB"/>
    <w:rsid w:val="2C6D4DEB"/>
    <w:rsid w:val="2D21531C"/>
    <w:rsid w:val="2DFF5A30"/>
    <w:rsid w:val="2F2B1BEC"/>
    <w:rsid w:val="2FBA5A4B"/>
    <w:rsid w:val="318E3914"/>
    <w:rsid w:val="31D05E82"/>
    <w:rsid w:val="31E71DFA"/>
    <w:rsid w:val="321B5F48"/>
    <w:rsid w:val="32A80B70"/>
    <w:rsid w:val="35802BA4"/>
    <w:rsid w:val="361A48B6"/>
    <w:rsid w:val="37EB72B3"/>
    <w:rsid w:val="38C70290"/>
    <w:rsid w:val="39B41EB2"/>
    <w:rsid w:val="3A39340F"/>
    <w:rsid w:val="3AA91C42"/>
    <w:rsid w:val="3AEF1D20"/>
    <w:rsid w:val="3B8D5021"/>
    <w:rsid w:val="3C747236"/>
    <w:rsid w:val="3D89645B"/>
    <w:rsid w:val="3E1D28B2"/>
    <w:rsid w:val="3E2D634F"/>
    <w:rsid w:val="3EF16B17"/>
    <w:rsid w:val="3FA72C82"/>
    <w:rsid w:val="3FCA4DC0"/>
    <w:rsid w:val="40316936"/>
    <w:rsid w:val="415C281F"/>
    <w:rsid w:val="41DD50E7"/>
    <w:rsid w:val="428B4A24"/>
    <w:rsid w:val="42D809E9"/>
    <w:rsid w:val="44632920"/>
    <w:rsid w:val="46893028"/>
    <w:rsid w:val="4779309D"/>
    <w:rsid w:val="47D50879"/>
    <w:rsid w:val="486A0C38"/>
    <w:rsid w:val="48FD385A"/>
    <w:rsid w:val="499248EA"/>
    <w:rsid w:val="4A494EE7"/>
    <w:rsid w:val="4C653BF0"/>
    <w:rsid w:val="4DAE7CEA"/>
    <w:rsid w:val="4EBD67DA"/>
    <w:rsid w:val="4EE12F95"/>
    <w:rsid w:val="4F537BA4"/>
    <w:rsid w:val="506E39FE"/>
    <w:rsid w:val="516052CE"/>
    <w:rsid w:val="51D32259"/>
    <w:rsid w:val="534711EB"/>
    <w:rsid w:val="5347425E"/>
    <w:rsid w:val="53947D10"/>
    <w:rsid w:val="544455CE"/>
    <w:rsid w:val="56830C54"/>
    <w:rsid w:val="570606C5"/>
    <w:rsid w:val="57ED39CE"/>
    <w:rsid w:val="582E0BB0"/>
    <w:rsid w:val="583152CE"/>
    <w:rsid w:val="5A410AF5"/>
    <w:rsid w:val="5BFD56DC"/>
    <w:rsid w:val="5CEE11C3"/>
    <w:rsid w:val="5DFA4EF9"/>
    <w:rsid w:val="5E761C8C"/>
    <w:rsid w:val="5EDE5632"/>
    <w:rsid w:val="601261D4"/>
    <w:rsid w:val="606764AF"/>
    <w:rsid w:val="61611164"/>
    <w:rsid w:val="62061461"/>
    <w:rsid w:val="63276DF7"/>
    <w:rsid w:val="64EA5E45"/>
    <w:rsid w:val="662B0AA3"/>
    <w:rsid w:val="66560D21"/>
    <w:rsid w:val="66687A6A"/>
    <w:rsid w:val="68F771DC"/>
    <w:rsid w:val="69741CE4"/>
    <w:rsid w:val="69F61ED3"/>
    <w:rsid w:val="6A116D0D"/>
    <w:rsid w:val="6A8D6613"/>
    <w:rsid w:val="6AAB6D55"/>
    <w:rsid w:val="6BED17F6"/>
    <w:rsid w:val="6C423AF6"/>
    <w:rsid w:val="6CAF7721"/>
    <w:rsid w:val="6FCF2A35"/>
    <w:rsid w:val="71590F7A"/>
    <w:rsid w:val="71F36811"/>
    <w:rsid w:val="72655DAB"/>
    <w:rsid w:val="73BD4DC2"/>
    <w:rsid w:val="74161AF0"/>
    <w:rsid w:val="783533B3"/>
    <w:rsid w:val="7917715F"/>
    <w:rsid w:val="79C031FB"/>
    <w:rsid w:val="7A9E2DD8"/>
    <w:rsid w:val="7AE745D0"/>
    <w:rsid w:val="7D7142F7"/>
    <w:rsid w:val="7D7C30CE"/>
    <w:rsid w:val="7F677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FB55D68F-D6C1-4E6E-9136-5F27A9901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等线" w:eastAsia="等线" w:hAnsi="等线" w:cs="Times New Roman"/>
      <w:kern w:val="2"/>
      <w:sz w:val="21"/>
      <w:szCs w:val="22"/>
    </w:rPr>
  </w:style>
  <w:style w:type="paragraph" w:styleId="1">
    <w:name w:val="heading 1"/>
    <w:basedOn w:val="a"/>
    <w:next w:val="a"/>
    <w:link w:val="10"/>
    <w:uiPriority w:val="9"/>
    <w:qFormat/>
    <w:pPr>
      <w:adjustRightInd w:val="0"/>
      <w:snapToGrid w:val="0"/>
      <w:spacing w:line="360" w:lineRule="auto"/>
      <w:jc w:val="center"/>
      <w:outlineLvl w:val="0"/>
    </w:pPr>
    <w:rPr>
      <w:rFonts w:ascii="Times New Roman" w:eastAsia="黑体" w:hAnsi="Times New Roman" w:cstheme="minorBidi"/>
      <w:b/>
      <w:sz w:val="32"/>
      <w:szCs w:val="24"/>
    </w:rPr>
  </w:style>
  <w:style w:type="paragraph" w:styleId="2">
    <w:name w:val="heading 2"/>
    <w:basedOn w:val="a"/>
    <w:next w:val="a"/>
    <w:link w:val="20"/>
    <w:uiPriority w:val="9"/>
    <w:unhideWhenUsed/>
    <w:qFormat/>
    <w:pPr>
      <w:tabs>
        <w:tab w:val="center" w:pos="4678"/>
        <w:tab w:val="right" w:pos="9354"/>
      </w:tabs>
      <w:adjustRightInd w:val="0"/>
      <w:snapToGrid w:val="0"/>
      <w:spacing w:line="360" w:lineRule="auto"/>
      <w:jc w:val="left"/>
      <w:outlineLvl w:val="1"/>
    </w:pPr>
    <w:rPr>
      <w:rFonts w:ascii="Times New Roman" w:eastAsia="黑体" w:hAnsi="Times New Roman"/>
      <w:sz w:val="28"/>
      <w:szCs w:val="28"/>
    </w:rPr>
  </w:style>
  <w:style w:type="paragraph" w:styleId="3">
    <w:name w:val="heading 3"/>
    <w:basedOn w:val="1"/>
    <w:next w:val="a"/>
    <w:link w:val="30"/>
    <w:uiPriority w:val="9"/>
    <w:unhideWhenUsed/>
    <w:qFormat/>
    <w:pPr>
      <w:jc w:val="left"/>
      <w:outlineLvl w:val="2"/>
    </w:pPr>
    <w:rPr>
      <w:rFonts w:eastAsia="宋体"/>
      <w:b w:val="0"/>
      <w:sz w:val="24"/>
    </w:rPr>
  </w:style>
  <w:style w:type="paragraph" w:styleId="4">
    <w:name w:val="heading 4"/>
    <w:basedOn w:val="a"/>
    <w:next w:val="a"/>
    <w:link w:val="40"/>
    <w:uiPriority w:val="9"/>
    <w:unhideWhenUsed/>
    <w:qFormat/>
    <w:pPr>
      <w:keepNext/>
      <w:keepLines/>
      <w:adjustRightInd w:val="0"/>
      <w:snapToGrid w:val="0"/>
      <w:spacing w:line="360" w:lineRule="auto"/>
      <w:ind w:firstLineChars="200" w:firstLine="200"/>
      <w:jc w:val="left"/>
      <w:outlineLvl w:val="3"/>
    </w:pPr>
    <w:rPr>
      <w:rFonts w:ascii="Times New Roman" w:eastAsia="宋体" w:hAnsi="Times New Roman" w:cstheme="majorBidi"/>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next w:val="a"/>
    <w:uiPriority w:val="35"/>
    <w:unhideWhenUsed/>
    <w:qFormat/>
    <w:pPr>
      <w:adjustRightInd w:val="0"/>
      <w:snapToGrid w:val="0"/>
      <w:spacing w:afterLines="50" w:after="50"/>
      <w:jc w:val="center"/>
    </w:pPr>
    <w:rPr>
      <w:rFonts w:ascii="Calibri" w:eastAsia="楷体" w:hAnsi="Calibri" w:cstheme="majorBidi"/>
      <w:kern w:val="2"/>
      <w:sz w:val="18"/>
    </w:rPr>
  </w:style>
  <w:style w:type="paragraph" w:styleId="a4">
    <w:name w:val="footer"/>
    <w:basedOn w:val="a"/>
    <w:link w:val="a5"/>
    <w:uiPriority w:val="99"/>
    <w:unhideWhenUsed/>
    <w:qFormat/>
    <w:pPr>
      <w:tabs>
        <w:tab w:val="center" w:pos="4153"/>
        <w:tab w:val="right" w:pos="8306"/>
      </w:tabs>
      <w:snapToGrid w:val="0"/>
      <w:jc w:val="left"/>
    </w:pPr>
    <w:rPr>
      <w:sz w:val="18"/>
    </w:rPr>
  </w:style>
  <w:style w:type="paragraph" w:styleId="a6">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a9"/>
    <w:uiPriority w:val="10"/>
    <w:qFormat/>
    <w:pPr>
      <w:adjustRightInd w:val="0"/>
      <w:snapToGrid w:val="0"/>
      <w:spacing w:line="360" w:lineRule="auto"/>
      <w:jc w:val="center"/>
      <w:outlineLvl w:val="0"/>
    </w:pPr>
    <w:rPr>
      <w:rFonts w:ascii="Times New Roman" w:eastAsia="宋体" w:hAnsi="Times New Roman" w:cstheme="majorBidi"/>
      <w:b/>
      <w:bCs/>
      <w:sz w:val="32"/>
      <w:szCs w:val="32"/>
    </w:rPr>
  </w:style>
  <w:style w:type="character" w:styleId="aa">
    <w:name w:val="Strong"/>
    <w:basedOn w:val="a0"/>
    <w:uiPriority w:val="22"/>
    <w:qFormat/>
    <w:rPr>
      <w:b/>
      <w:bCs/>
    </w:rPr>
  </w:style>
  <w:style w:type="character" w:customStyle="1" w:styleId="a9">
    <w:name w:val="标题 字符"/>
    <w:basedOn w:val="a0"/>
    <w:link w:val="a8"/>
    <w:uiPriority w:val="10"/>
    <w:qFormat/>
    <w:rPr>
      <w:rFonts w:ascii="Times New Roman" w:eastAsia="宋体" w:hAnsi="Times New Roman" w:cstheme="majorBidi"/>
      <w:b/>
      <w:bCs/>
      <w:sz w:val="32"/>
      <w:szCs w:val="32"/>
    </w:rPr>
  </w:style>
  <w:style w:type="paragraph" w:customStyle="1" w:styleId="ab">
    <w:name w:val="姓名"/>
    <w:basedOn w:val="a"/>
    <w:link w:val="ac"/>
    <w:qFormat/>
    <w:pPr>
      <w:adjustRightInd w:val="0"/>
      <w:snapToGrid w:val="0"/>
      <w:jc w:val="center"/>
    </w:pPr>
    <w:rPr>
      <w:rFonts w:ascii="Times New Roman" w:eastAsia="黑体" w:hAnsi="Times New Roman" w:cstheme="minorBidi"/>
      <w:sz w:val="24"/>
    </w:rPr>
  </w:style>
  <w:style w:type="character" w:customStyle="1" w:styleId="ac">
    <w:name w:val="姓名 字符"/>
    <w:basedOn w:val="a0"/>
    <w:link w:val="ab"/>
    <w:qFormat/>
    <w:rPr>
      <w:rFonts w:ascii="Times New Roman" w:eastAsia="黑体" w:hAnsi="Times New Roman"/>
    </w:rPr>
  </w:style>
  <w:style w:type="paragraph" w:customStyle="1" w:styleId="ad">
    <w:name w:val="摘要关键词"/>
    <w:basedOn w:val="a"/>
    <w:link w:val="ae"/>
    <w:qFormat/>
    <w:pPr>
      <w:adjustRightInd w:val="0"/>
      <w:snapToGrid w:val="0"/>
      <w:spacing w:line="360" w:lineRule="auto"/>
    </w:pPr>
    <w:rPr>
      <w:rFonts w:ascii="Times New Roman" w:eastAsia="楷体" w:hAnsi="Times New Roman" w:cstheme="minorBidi"/>
      <w:sz w:val="18"/>
    </w:rPr>
  </w:style>
  <w:style w:type="character" w:customStyle="1" w:styleId="ae">
    <w:name w:val="摘要关键词 字符"/>
    <w:basedOn w:val="a0"/>
    <w:link w:val="ad"/>
    <w:qFormat/>
    <w:rPr>
      <w:rFonts w:eastAsia="楷体"/>
      <w:sz w:val="18"/>
    </w:rPr>
  </w:style>
  <w:style w:type="character" w:customStyle="1" w:styleId="10">
    <w:name w:val="标题 1 字符"/>
    <w:basedOn w:val="a0"/>
    <w:link w:val="1"/>
    <w:uiPriority w:val="9"/>
    <w:qFormat/>
    <w:rPr>
      <w:rFonts w:ascii="Times New Roman" w:eastAsia="黑体" w:hAnsi="Times New Roman"/>
      <w:b/>
      <w:sz w:val="32"/>
      <w:szCs w:val="24"/>
    </w:rPr>
  </w:style>
  <w:style w:type="character" w:customStyle="1" w:styleId="20">
    <w:name w:val="标题 2 字符"/>
    <w:basedOn w:val="a0"/>
    <w:link w:val="2"/>
    <w:uiPriority w:val="9"/>
    <w:qFormat/>
    <w:rPr>
      <w:rFonts w:ascii="Times New Roman" w:eastAsia="黑体" w:hAnsi="Times New Roman" w:cs="Times New Roman"/>
      <w:sz w:val="28"/>
      <w:szCs w:val="28"/>
    </w:rPr>
  </w:style>
  <w:style w:type="character" w:customStyle="1" w:styleId="30">
    <w:name w:val="标题 3 字符"/>
    <w:basedOn w:val="a0"/>
    <w:link w:val="3"/>
    <w:uiPriority w:val="9"/>
    <w:qFormat/>
    <w:rPr>
      <w:rFonts w:ascii="Times New Roman" w:eastAsia="宋体" w:hAnsi="Times New Roman"/>
      <w:sz w:val="24"/>
      <w:szCs w:val="24"/>
    </w:rPr>
  </w:style>
  <w:style w:type="character" w:customStyle="1" w:styleId="40">
    <w:name w:val="标题 4 字符"/>
    <w:basedOn w:val="a0"/>
    <w:link w:val="4"/>
    <w:uiPriority w:val="9"/>
    <w:qFormat/>
    <w:rPr>
      <w:rFonts w:ascii="Times New Roman" w:eastAsia="宋体" w:hAnsi="Times New Roman" w:cstheme="majorBidi"/>
      <w:bCs/>
      <w:sz w:val="24"/>
      <w:szCs w:val="28"/>
    </w:rPr>
  </w:style>
  <w:style w:type="paragraph" w:styleId="af">
    <w:name w:val="No Spacing"/>
    <w:uiPriority w:val="1"/>
    <w:qFormat/>
    <w:pPr>
      <w:widowControl w:val="0"/>
      <w:adjustRightInd w:val="0"/>
      <w:snapToGrid w:val="0"/>
    </w:pPr>
    <w:rPr>
      <w:rFonts w:eastAsia="楷体"/>
      <w:kern w:val="2"/>
      <w:sz w:val="18"/>
      <w:szCs w:val="22"/>
    </w:rPr>
  </w:style>
  <w:style w:type="paragraph" w:customStyle="1" w:styleId="af0">
    <w:name w:val="一般样式"/>
    <w:basedOn w:val="a"/>
    <w:link w:val="af1"/>
    <w:qFormat/>
    <w:pPr>
      <w:adjustRightInd w:val="0"/>
      <w:snapToGrid w:val="0"/>
    </w:pPr>
    <w:rPr>
      <w:rFonts w:asciiTheme="minorHAnsi" w:eastAsiaTheme="minorEastAsia" w:hAnsiTheme="minorHAnsi" w:cstheme="minorBidi"/>
      <w:sz w:val="24"/>
    </w:rPr>
  </w:style>
  <w:style w:type="character" w:customStyle="1" w:styleId="af1">
    <w:name w:val="一般样式 字符"/>
    <w:basedOn w:val="a0"/>
    <w:link w:val="af0"/>
    <w:qFormat/>
  </w:style>
  <w:style w:type="paragraph" w:customStyle="1" w:styleId="af2">
    <w:name w:val="参考文献具体内容"/>
    <w:basedOn w:val="a"/>
    <w:link w:val="af3"/>
    <w:qFormat/>
    <w:pPr>
      <w:adjustRightInd w:val="0"/>
      <w:snapToGrid w:val="0"/>
      <w:spacing w:line="360" w:lineRule="auto"/>
    </w:pPr>
    <w:rPr>
      <w:rFonts w:ascii="Times New Roman" w:eastAsia="宋体" w:hAnsi="Times New Roman" w:cstheme="minorBidi"/>
    </w:rPr>
  </w:style>
  <w:style w:type="character" w:customStyle="1" w:styleId="af3">
    <w:name w:val="参考文献具体内容 字符"/>
    <w:basedOn w:val="a0"/>
    <w:link w:val="af2"/>
    <w:qFormat/>
    <w:rPr>
      <w:rFonts w:ascii="Times New Roman" w:eastAsia="宋体" w:hAnsi="Times New Roman"/>
    </w:rPr>
  </w:style>
  <w:style w:type="paragraph" w:customStyle="1" w:styleId="af4">
    <w:name w:val="图表标题"/>
    <w:basedOn w:val="a"/>
    <w:link w:val="af5"/>
    <w:qFormat/>
    <w:pPr>
      <w:adjustRightInd w:val="0"/>
      <w:snapToGrid w:val="0"/>
      <w:spacing w:line="360" w:lineRule="auto"/>
      <w:jc w:val="center"/>
    </w:pPr>
    <w:rPr>
      <w:rFonts w:ascii="Times New Roman" w:eastAsia="宋体" w:hAnsi="Times New Roman" w:cstheme="minorBidi"/>
      <w:szCs w:val="18"/>
    </w:rPr>
  </w:style>
  <w:style w:type="character" w:customStyle="1" w:styleId="af5">
    <w:name w:val="图表标题 字符"/>
    <w:basedOn w:val="a0"/>
    <w:link w:val="af4"/>
    <w:qFormat/>
    <w:rPr>
      <w:rFonts w:ascii="Times New Roman" w:eastAsia="宋体" w:hAnsi="Times New Roman"/>
      <w:szCs w:val="18"/>
    </w:rPr>
  </w:style>
  <w:style w:type="paragraph" w:customStyle="1" w:styleId="af6">
    <w:name w:val="图表名称"/>
    <w:basedOn w:val="a"/>
    <w:link w:val="af7"/>
    <w:qFormat/>
    <w:pPr>
      <w:adjustRightInd w:val="0"/>
      <w:snapToGrid w:val="0"/>
      <w:spacing w:line="360" w:lineRule="auto"/>
      <w:jc w:val="center"/>
    </w:pPr>
    <w:rPr>
      <w:rFonts w:ascii="Times New Roman" w:eastAsia="宋体" w:hAnsi="Times New Roman"/>
      <w:sz w:val="24"/>
      <w:szCs w:val="21"/>
    </w:rPr>
  </w:style>
  <w:style w:type="character" w:customStyle="1" w:styleId="af7">
    <w:name w:val="图表名称 字符"/>
    <w:basedOn w:val="a0"/>
    <w:link w:val="af6"/>
    <w:qFormat/>
    <w:rPr>
      <w:rFonts w:ascii="Times New Roman" w:eastAsia="宋体" w:hAnsi="Times New Roman" w:cs="Times New Roman"/>
      <w:sz w:val="24"/>
      <w:szCs w:val="21"/>
    </w:rPr>
  </w:style>
  <w:style w:type="paragraph" w:customStyle="1" w:styleId="af8">
    <w:name w:val="表格内容"/>
    <w:basedOn w:val="a"/>
    <w:link w:val="af9"/>
    <w:qFormat/>
    <w:pPr>
      <w:adjustRightInd w:val="0"/>
      <w:snapToGrid w:val="0"/>
      <w:spacing w:line="360" w:lineRule="auto"/>
      <w:jc w:val="center"/>
    </w:pPr>
    <w:rPr>
      <w:rFonts w:ascii="Times New Roman" w:eastAsia="宋体" w:hAnsi="Times New Roman"/>
      <w:sz w:val="24"/>
      <w:szCs w:val="21"/>
    </w:rPr>
  </w:style>
  <w:style w:type="character" w:customStyle="1" w:styleId="af9">
    <w:name w:val="表格内容 字符"/>
    <w:basedOn w:val="a0"/>
    <w:link w:val="af8"/>
    <w:qFormat/>
    <w:rPr>
      <w:rFonts w:ascii="Times New Roman" w:eastAsia="宋体" w:hAnsi="Times New Roman" w:cs="Times New Roman"/>
      <w:sz w:val="24"/>
      <w:szCs w:val="21"/>
    </w:rPr>
  </w:style>
  <w:style w:type="paragraph" w:customStyle="1" w:styleId="afa">
    <w:name w:val="参考文献正文"/>
    <w:basedOn w:val="a"/>
    <w:link w:val="Char"/>
    <w:qFormat/>
    <w:pPr>
      <w:widowControl/>
      <w:adjustRightInd w:val="0"/>
      <w:snapToGrid w:val="0"/>
      <w:spacing w:line="360" w:lineRule="auto"/>
      <w:ind w:left="420" w:hanging="420"/>
    </w:pPr>
    <w:rPr>
      <w:rFonts w:ascii="Times New Roman" w:eastAsia="宋体" w:hAnsi="Times New Roman"/>
      <w:kern w:val="0"/>
      <w:szCs w:val="21"/>
      <w:lang w:bidi="en-US"/>
    </w:rPr>
  </w:style>
  <w:style w:type="character" w:customStyle="1" w:styleId="Char">
    <w:name w:val="参考文献正文 Char"/>
    <w:basedOn w:val="a0"/>
    <w:link w:val="afa"/>
    <w:qFormat/>
    <w:rPr>
      <w:rFonts w:ascii="Times New Roman" w:eastAsia="宋体" w:hAnsi="Times New Roman" w:cs="Times New Roman"/>
      <w:kern w:val="0"/>
      <w:szCs w:val="21"/>
      <w:lang w:bidi="en-US"/>
    </w:rPr>
  </w:style>
  <w:style w:type="paragraph" w:styleId="afb">
    <w:name w:val="List Paragraph"/>
    <w:basedOn w:val="a"/>
    <w:uiPriority w:val="34"/>
    <w:qFormat/>
    <w:pPr>
      <w:ind w:firstLineChars="200" w:firstLine="420"/>
    </w:pPr>
  </w:style>
  <w:style w:type="character" w:customStyle="1" w:styleId="a5">
    <w:name w:val="页脚 字符"/>
    <w:basedOn w:val="a0"/>
    <w:link w:val="a4"/>
    <w:uiPriority w:val="99"/>
    <w:rsid w:val="000F0E1F"/>
    <w:rPr>
      <w:rFonts w:ascii="等线" w:eastAsia="等线" w:hAnsi="等线" w:cs="Times New Roman"/>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386</Words>
  <Characters>2201</Characters>
  <Application>Microsoft Office Word</Application>
  <DocSecurity>0</DocSecurity>
  <Lines>18</Lines>
  <Paragraphs>5</Paragraphs>
  <ScaleCrop>false</ScaleCrop>
  <Company>Microsoft</Company>
  <LinksUpToDate>false</LinksUpToDate>
  <CharactersWithSpaces>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Shuyang Shi</dc:creator>
  <cp:lastModifiedBy>Administrator</cp:lastModifiedBy>
  <cp:revision>4</cp:revision>
  <dcterms:created xsi:type="dcterms:W3CDTF">2024-09-01T18:52:00Z</dcterms:created>
  <dcterms:modified xsi:type="dcterms:W3CDTF">2024-09-05T08:48:00Z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4D488BF0823D4E6DA8A473F8FC35C927_12</vt:lpwstr>
  </property>
</Properties>
</file>