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54E542F">
      <w:pPr>
        <w:widowControl/>
        <w:spacing w:line="560" w:lineRule="exact"/>
        <w:jc w:val="left"/>
        <w:rPr>
          <w:rFonts w:hint="eastAsia" w:ascii="仿宋_GB2312" w:hAnsi="微软雅黑" w:eastAsia="仿宋_GB2312" w:cs="宋体"/>
          <w:color w:val="333333"/>
          <w:kern w:val="0"/>
          <w:sz w:val="32"/>
          <w:szCs w:val="32"/>
        </w:rPr>
      </w:pPr>
      <w:bookmarkStart w:id="0" w:name="_GoBack"/>
      <w:bookmarkEnd w:id="0"/>
      <w:r>
        <w:rPr>
          <w:rFonts w:hint="eastAsia" w:ascii="仿宋_GB2312" w:hAnsi="微软雅黑" w:eastAsia="仿宋_GB2312" w:cs="宋体"/>
          <w:color w:val="333333"/>
          <w:kern w:val="0"/>
          <w:sz w:val="32"/>
          <w:szCs w:val="32"/>
        </w:rPr>
        <w:t>附件：</w:t>
      </w:r>
    </w:p>
    <w:p w14:paraId="1ACBD1F5">
      <w:pPr>
        <w:widowControl/>
        <w:spacing w:line="560" w:lineRule="exact"/>
        <w:jc w:val="center"/>
        <w:rPr>
          <w:rFonts w:hint="eastAsia" w:ascii="方正小标宋简体" w:hAnsi="方正小标宋简体" w:eastAsia="方正小标宋简体" w:cs="宋体"/>
          <w:color w:val="333333"/>
          <w:kern w:val="0"/>
          <w:sz w:val="36"/>
          <w:szCs w:val="36"/>
        </w:rPr>
      </w:pPr>
    </w:p>
    <w:p w14:paraId="1CBC318E">
      <w:pPr>
        <w:widowControl/>
        <w:spacing w:line="560" w:lineRule="exact"/>
        <w:jc w:val="center"/>
        <w:rPr>
          <w:rFonts w:hint="eastAsia" w:ascii="方正小标宋简体" w:hAnsi="方正小标宋简体" w:eastAsia="方正小标宋简体" w:cs="宋体"/>
          <w:color w:val="333333"/>
          <w:kern w:val="0"/>
          <w:sz w:val="36"/>
          <w:szCs w:val="36"/>
        </w:rPr>
      </w:pPr>
      <w:r>
        <w:rPr>
          <w:rFonts w:ascii="方正小标宋简体" w:hAnsi="方正小标宋简体" w:eastAsia="方正小标宋简体" w:cs="宋体"/>
          <w:color w:val="333333"/>
          <w:kern w:val="0"/>
          <w:sz w:val="36"/>
          <w:szCs w:val="36"/>
        </w:rPr>
        <w:t>202</w:t>
      </w:r>
      <w:r>
        <w:rPr>
          <w:rFonts w:hint="eastAsia" w:ascii="方正小标宋简体" w:hAnsi="方正小标宋简体" w:eastAsia="方正小标宋简体" w:cs="宋体"/>
          <w:color w:val="333333"/>
          <w:kern w:val="0"/>
          <w:sz w:val="36"/>
          <w:szCs w:val="36"/>
        </w:rPr>
        <w:t>3</w:t>
      </w:r>
      <w:r>
        <w:rPr>
          <w:rFonts w:ascii="方正小标宋简体" w:hAnsi="方正小标宋简体" w:eastAsia="方正小标宋简体" w:cs="宋体"/>
          <w:color w:val="333333"/>
          <w:kern w:val="0"/>
          <w:sz w:val="36"/>
          <w:szCs w:val="36"/>
        </w:rPr>
        <w:t>年度常州市科技计划（科技成果转化培育）指导性项目拟中补助立项</w:t>
      </w:r>
      <w:r>
        <w:rPr>
          <w:rFonts w:hint="eastAsia" w:ascii="方正小标宋简体" w:hAnsi="方正小标宋简体" w:eastAsia="方正小标宋简体" w:cs="宋体"/>
          <w:color w:val="333333"/>
          <w:kern w:val="0"/>
          <w:sz w:val="36"/>
          <w:szCs w:val="36"/>
        </w:rPr>
        <w:t>项目清单</w:t>
      </w:r>
    </w:p>
    <w:p w14:paraId="49A631A7">
      <w:pPr>
        <w:widowControl/>
        <w:spacing w:line="560" w:lineRule="exact"/>
        <w:jc w:val="left"/>
        <w:rPr>
          <w:rFonts w:hint="eastAsia" w:ascii="仿宋_GB2312" w:hAnsi="微软雅黑" w:eastAsia="仿宋_GB2312" w:cs="宋体"/>
          <w:color w:val="333333"/>
          <w:kern w:val="0"/>
          <w:sz w:val="32"/>
          <w:szCs w:val="32"/>
        </w:rPr>
      </w:pPr>
    </w:p>
    <w:tbl>
      <w:tblPr>
        <w:tblStyle w:val="5"/>
        <w:tblW w:w="4972" w:type="pct"/>
        <w:tblInd w:w="0" w:type="dxa"/>
        <w:tblLayout w:type="fixed"/>
        <w:tblCellMar>
          <w:top w:w="0" w:type="dxa"/>
          <w:left w:w="108" w:type="dxa"/>
          <w:bottom w:w="0" w:type="dxa"/>
          <w:right w:w="108" w:type="dxa"/>
        </w:tblCellMar>
      </w:tblPr>
      <w:tblGrid>
        <w:gridCol w:w="869"/>
        <w:gridCol w:w="4214"/>
        <w:gridCol w:w="3926"/>
      </w:tblGrid>
      <w:tr w14:paraId="34959044">
        <w:tblPrEx>
          <w:tblCellMar>
            <w:top w:w="0" w:type="dxa"/>
            <w:left w:w="108" w:type="dxa"/>
            <w:bottom w:w="0" w:type="dxa"/>
            <w:right w:w="108" w:type="dxa"/>
          </w:tblCellMar>
        </w:tblPrEx>
        <w:trPr>
          <w:trHeight w:val="559" w:hRule="atLeast"/>
        </w:trPr>
        <w:tc>
          <w:tcPr>
            <w:tcW w:w="482"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99D3DC5">
            <w:pPr>
              <w:spacing w:line="360" w:lineRule="exact"/>
              <w:jc w:val="center"/>
              <w:rPr>
                <w:rFonts w:hint="eastAsia" w:ascii="宋体" w:hAnsi="宋体" w:eastAsia="宋体" w:cs="Times New Roman"/>
                <w:szCs w:val="21"/>
              </w:rPr>
            </w:pPr>
            <w:r>
              <w:rPr>
                <w:rFonts w:ascii="宋体" w:hAnsi="宋体" w:eastAsia="宋体" w:cs="Times New Roman"/>
                <w:b/>
                <w:bCs/>
                <w:kern w:val="0"/>
                <w:szCs w:val="21"/>
              </w:rPr>
              <w:t>序号</w:t>
            </w:r>
          </w:p>
        </w:tc>
        <w:tc>
          <w:tcPr>
            <w:tcW w:w="2339" w:type="pct"/>
            <w:tcBorders>
              <w:top w:val="single" w:color="auto" w:sz="4" w:space="0"/>
              <w:left w:val="nil"/>
              <w:bottom w:val="single" w:color="auto" w:sz="4" w:space="0"/>
              <w:right w:val="single" w:color="auto" w:sz="4" w:space="0"/>
            </w:tcBorders>
            <w:shd w:val="clear" w:color="auto" w:fill="auto"/>
            <w:vAlign w:val="center"/>
          </w:tcPr>
          <w:p w14:paraId="60578B53">
            <w:pPr>
              <w:spacing w:line="360" w:lineRule="exact"/>
              <w:jc w:val="center"/>
              <w:rPr>
                <w:rFonts w:hint="eastAsia" w:ascii="宋体" w:hAnsi="宋体" w:eastAsia="宋体" w:cs="Times New Roman"/>
                <w:szCs w:val="21"/>
              </w:rPr>
            </w:pPr>
            <w:r>
              <w:rPr>
                <w:rFonts w:ascii="宋体" w:hAnsi="宋体" w:eastAsia="宋体" w:cs="Times New Roman"/>
                <w:b/>
                <w:bCs/>
                <w:kern w:val="0"/>
                <w:szCs w:val="21"/>
              </w:rPr>
              <w:t>项目名称</w:t>
            </w:r>
          </w:p>
        </w:tc>
        <w:tc>
          <w:tcPr>
            <w:tcW w:w="2179" w:type="pct"/>
            <w:tcBorders>
              <w:top w:val="single" w:color="auto" w:sz="4" w:space="0"/>
              <w:left w:val="nil"/>
              <w:bottom w:val="single" w:color="auto" w:sz="4" w:space="0"/>
              <w:right w:val="single" w:color="auto" w:sz="4" w:space="0"/>
            </w:tcBorders>
            <w:shd w:val="clear" w:color="auto" w:fill="auto"/>
            <w:noWrap/>
            <w:vAlign w:val="center"/>
          </w:tcPr>
          <w:p w14:paraId="1988EA69">
            <w:pPr>
              <w:spacing w:line="360" w:lineRule="exact"/>
              <w:jc w:val="center"/>
              <w:rPr>
                <w:rFonts w:hint="eastAsia" w:ascii="宋体" w:hAnsi="宋体" w:eastAsia="宋体" w:cs="Times New Roman"/>
                <w:szCs w:val="21"/>
              </w:rPr>
            </w:pPr>
            <w:r>
              <w:rPr>
                <w:rFonts w:ascii="宋体" w:hAnsi="宋体" w:eastAsia="宋体" w:cs="Times New Roman"/>
                <w:b/>
                <w:bCs/>
                <w:kern w:val="0"/>
                <w:szCs w:val="21"/>
              </w:rPr>
              <w:t>承担单位名称</w:t>
            </w:r>
          </w:p>
        </w:tc>
      </w:tr>
      <w:tr w14:paraId="6F845EAB">
        <w:tblPrEx>
          <w:tblCellMar>
            <w:top w:w="0" w:type="dxa"/>
            <w:left w:w="108" w:type="dxa"/>
            <w:bottom w:w="0" w:type="dxa"/>
            <w:right w:w="108" w:type="dxa"/>
          </w:tblCellMar>
        </w:tblPrEx>
        <w:trPr>
          <w:trHeight w:val="559" w:hRule="atLeast"/>
        </w:trPr>
        <w:tc>
          <w:tcPr>
            <w:tcW w:w="482" w:type="pct"/>
            <w:tcBorders>
              <w:top w:val="nil"/>
              <w:left w:val="single" w:color="auto" w:sz="4" w:space="0"/>
              <w:bottom w:val="single" w:color="auto" w:sz="4" w:space="0"/>
              <w:right w:val="single" w:color="auto" w:sz="4" w:space="0"/>
            </w:tcBorders>
            <w:shd w:val="clear" w:color="auto" w:fill="auto"/>
            <w:noWrap/>
            <w:vAlign w:val="center"/>
          </w:tcPr>
          <w:p w14:paraId="03EE97B7">
            <w:pPr>
              <w:spacing w:line="360" w:lineRule="exact"/>
              <w:jc w:val="center"/>
              <w:rPr>
                <w:rFonts w:hint="eastAsia" w:ascii="宋体" w:hAnsi="宋体" w:eastAsia="宋体" w:cs="Times New Roman"/>
                <w:szCs w:val="21"/>
              </w:rPr>
            </w:pPr>
            <w:r>
              <w:rPr>
                <w:rFonts w:hint="eastAsia" w:ascii="宋体" w:hAnsi="宋体" w:eastAsia="宋体" w:cs="宋体"/>
                <w:kern w:val="0"/>
                <w:szCs w:val="21"/>
              </w:rPr>
              <w:t>1</w:t>
            </w:r>
          </w:p>
        </w:tc>
        <w:tc>
          <w:tcPr>
            <w:tcW w:w="2339" w:type="pct"/>
            <w:tcBorders>
              <w:top w:val="nil"/>
              <w:left w:val="nil"/>
              <w:bottom w:val="single" w:color="auto" w:sz="4" w:space="0"/>
              <w:right w:val="single" w:color="auto" w:sz="4" w:space="0"/>
            </w:tcBorders>
            <w:shd w:val="clear" w:color="auto" w:fill="auto"/>
            <w:vAlign w:val="center"/>
          </w:tcPr>
          <w:p w14:paraId="733EFB67">
            <w:pPr>
              <w:spacing w:line="360" w:lineRule="exact"/>
              <w:jc w:val="left"/>
              <w:rPr>
                <w:rFonts w:hint="eastAsia" w:ascii="宋体" w:hAnsi="宋体" w:eastAsia="宋体" w:cs="Times New Roman"/>
                <w:szCs w:val="21"/>
              </w:rPr>
            </w:pPr>
            <w:r>
              <w:rPr>
                <w:rFonts w:hint="eastAsia" w:ascii="宋体" w:hAnsi="宋体" w:eastAsia="宋体" w:cs="宋体"/>
                <w:color w:val="000000"/>
                <w:kern w:val="0"/>
                <w:szCs w:val="21"/>
              </w:rPr>
              <w:t>面向高清摄像领域低应力光学蒸镀材料的研发及产业化</w:t>
            </w:r>
          </w:p>
        </w:tc>
        <w:tc>
          <w:tcPr>
            <w:tcW w:w="2179" w:type="pct"/>
            <w:tcBorders>
              <w:top w:val="nil"/>
              <w:left w:val="nil"/>
              <w:bottom w:val="single" w:color="auto" w:sz="4" w:space="0"/>
              <w:right w:val="single" w:color="auto" w:sz="4" w:space="0"/>
            </w:tcBorders>
            <w:shd w:val="clear" w:color="auto" w:fill="auto"/>
            <w:noWrap/>
            <w:vAlign w:val="center"/>
          </w:tcPr>
          <w:p w14:paraId="6CFFF394">
            <w:pPr>
              <w:spacing w:line="360" w:lineRule="exact"/>
              <w:jc w:val="left"/>
              <w:rPr>
                <w:rFonts w:hint="eastAsia" w:ascii="宋体" w:hAnsi="宋体" w:eastAsia="宋体" w:cs="Times New Roman"/>
                <w:szCs w:val="21"/>
              </w:rPr>
            </w:pPr>
            <w:r>
              <w:rPr>
                <w:rFonts w:hint="eastAsia" w:ascii="宋体" w:hAnsi="宋体" w:eastAsia="宋体" w:cs="宋体"/>
                <w:color w:val="000000"/>
                <w:kern w:val="0"/>
                <w:szCs w:val="21"/>
              </w:rPr>
              <w:t>常州瞻驰光电科技股份有限公司</w:t>
            </w:r>
          </w:p>
        </w:tc>
      </w:tr>
      <w:tr w14:paraId="5FDCB54C">
        <w:tblPrEx>
          <w:tblCellMar>
            <w:top w:w="0" w:type="dxa"/>
            <w:left w:w="108" w:type="dxa"/>
            <w:bottom w:w="0" w:type="dxa"/>
            <w:right w:w="108" w:type="dxa"/>
          </w:tblCellMar>
        </w:tblPrEx>
        <w:trPr>
          <w:trHeight w:val="559" w:hRule="atLeast"/>
        </w:trPr>
        <w:tc>
          <w:tcPr>
            <w:tcW w:w="482" w:type="pct"/>
            <w:tcBorders>
              <w:top w:val="nil"/>
              <w:left w:val="single" w:color="auto" w:sz="4" w:space="0"/>
              <w:bottom w:val="single" w:color="auto" w:sz="4" w:space="0"/>
              <w:right w:val="single" w:color="auto" w:sz="4" w:space="0"/>
            </w:tcBorders>
            <w:shd w:val="clear" w:color="auto" w:fill="auto"/>
            <w:noWrap/>
            <w:vAlign w:val="center"/>
          </w:tcPr>
          <w:p w14:paraId="4430B983">
            <w:pPr>
              <w:spacing w:line="360" w:lineRule="exact"/>
              <w:jc w:val="center"/>
              <w:rPr>
                <w:rFonts w:hint="eastAsia" w:ascii="宋体" w:hAnsi="宋体" w:eastAsia="宋体" w:cs="Times New Roman"/>
                <w:szCs w:val="21"/>
              </w:rPr>
            </w:pPr>
            <w:r>
              <w:rPr>
                <w:rFonts w:hint="eastAsia" w:ascii="宋体" w:hAnsi="宋体" w:eastAsia="宋体" w:cs="宋体"/>
                <w:kern w:val="0"/>
                <w:szCs w:val="21"/>
              </w:rPr>
              <w:t>2</w:t>
            </w:r>
          </w:p>
        </w:tc>
        <w:tc>
          <w:tcPr>
            <w:tcW w:w="2339" w:type="pct"/>
            <w:tcBorders>
              <w:top w:val="nil"/>
              <w:left w:val="nil"/>
              <w:bottom w:val="single" w:color="auto" w:sz="4" w:space="0"/>
              <w:right w:val="single" w:color="auto" w:sz="4" w:space="0"/>
            </w:tcBorders>
            <w:shd w:val="clear" w:color="auto" w:fill="auto"/>
            <w:vAlign w:val="center"/>
          </w:tcPr>
          <w:p w14:paraId="1C49A5F1">
            <w:pPr>
              <w:spacing w:line="360" w:lineRule="exact"/>
              <w:jc w:val="left"/>
              <w:rPr>
                <w:rFonts w:hint="eastAsia" w:ascii="宋体" w:hAnsi="宋体" w:eastAsia="宋体" w:cs="Times New Roman"/>
                <w:szCs w:val="21"/>
              </w:rPr>
            </w:pPr>
            <w:r>
              <w:rPr>
                <w:rFonts w:hint="eastAsia" w:ascii="宋体" w:hAnsi="宋体" w:eastAsia="宋体" w:cs="宋体"/>
                <w:color w:val="000000"/>
                <w:kern w:val="0"/>
                <w:szCs w:val="21"/>
              </w:rPr>
              <w:t>高安全高吸液率锂电池隔膜的研发及产业化</w:t>
            </w:r>
          </w:p>
        </w:tc>
        <w:tc>
          <w:tcPr>
            <w:tcW w:w="2179" w:type="pct"/>
            <w:tcBorders>
              <w:top w:val="nil"/>
              <w:left w:val="nil"/>
              <w:bottom w:val="single" w:color="auto" w:sz="4" w:space="0"/>
              <w:right w:val="single" w:color="auto" w:sz="4" w:space="0"/>
            </w:tcBorders>
            <w:shd w:val="clear" w:color="auto" w:fill="auto"/>
            <w:vAlign w:val="center"/>
          </w:tcPr>
          <w:p w14:paraId="6C81608C">
            <w:pPr>
              <w:spacing w:line="360" w:lineRule="exact"/>
              <w:jc w:val="left"/>
              <w:rPr>
                <w:rFonts w:hint="eastAsia" w:ascii="宋体" w:hAnsi="宋体" w:eastAsia="宋体" w:cs="Times New Roman"/>
                <w:szCs w:val="21"/>
              </w:rPr>
            </w:pPr>
            <w:r>
              <w:rPr>
                <w:rFonts w:hint="eastAsia" w:ascii="宋体" w:hAnsi="宋体" w:eastAsia="宋体" w:cs="宋体"/>
                <w:color w:val="000000"/>
                <w:kern w:val="0"/>
                <w:szCs w:val="21"/>
              </w:rPr>
              <w:t>江苏厚生新能源科技有限公司</w:t>
            </w:r>
          </w:p>
        </w:tc>
      </w:tr>
      <w:tr w14:paraId="09AD57EE">
        <w:tblPrEx>
          <w:tblCellMar>
            <w:top w:w="0" w:type="dxa"/>
            <w:left w:w="108" w:type="dxa"/>
            <w:bottom w:w="0" w:type="dxa"/>
            <w:right w:w="108" w:type="dxa"/>
          </w:tblCellMar>
        </w:tblPrEx>
        <w:trPr>
          <w:trHeight w:val="559" w:hRule="atLeast"/>
        </w:trPr>
        <w:tc>
          <w:tcPr>
            <w:tcW w:w="482" w:type="pct"/>
            <w:tcBorders>
              <w:top w:val="nil"/>
              <w:left w:val="single" w:color="auto" w:sz="4" w:space="0"/>
              <w:bottom w:val="single" w:color="auto" w:sz="4" w:space="0"/>
              <w:right w:val="single" w:color="auto" w:sz="4" w:space="0"/>
            </w:tcBorders>
            <w:shd w:val="clear" w:color="auto" w:fill="auto"/>
            <w:noWrap/>
            <w:vAlign w:val="center"/>
          </w:tcPr>
          <w:p w14:paraId="3123FC5A">
            <w:pPr>
              <w:spacing w:line="360" w:lineRule="exact"/>
              <w:jc w:val="center"/>
              <w:rPr>
                <w:rFonts w:hint="eastAsia" w:ascii="宋体" w:hAnsi="宋体" w:eastAsia="宋体" w:cs="Times New Roman"/>
                <w:szCs w:val="21"/>
              </w:rPr>
            </w:pPr>
            <w:r>
              <w:rPr>
                <w:rFonts w:hint="eastAsia" w:ascii="宋体" w:hAnsi="宋体" w:eastAsia="宋体" w:cs="宋体"/>
                <w:kern w:val="0"/>
                <w:szCs w:val="21"/>
              </w:rPr>
              <w:t>3</w:t>
            </w:r>
          </w:p>
        </w:tc>
        <w:tc>
          <w:tcPr>
            <w:tcW w:w="2339" w:type="pct"/>
            <w:tcBorders>
              <w:top w:val="nil"/>
              <w:left w:val="nil"/>
              <w:bottom w:val="single" w:color="auto" w:sz="4" w:space="0"/>
              <w:right w:val="single" w:color="auto" w:sz="4" w:space="0"/>
            </w:tcBorders>
            <w:shd w:val="clear" w:color="auto" w:fill="auto"/>
            <w:vAlign w:val="center"/>
          </w:tcPr>
          <w:p w14:paraId="4C94D712">
            <w:pPr>
              <w:spacing w:line="360" w:lineRule="exact"/>
              <w:jc w:val="left"/>
              <w:rPr>
                <w:rFonts w:hint="eastAsia" w:ascii="宋体" w:hAnsi="宋体" w:eastAsia="宋体" w:cs="Times New Roman"/>
                <w:szCs w:val="21"/>
              </w:rPr>
            </w:pPr>
            <w:r>
              <w:rPr>
                <w:rFonts w:hint="eastAsia" w:ascii="宋体" w:hAnsi="宋体" w:eastAsia="宋体" w:cs="宋体"/>
                <w:color w:val="000000"/>
                <w:kern w:val="0"/>
                <w:szCs w:val="21"/>
              </w:rPr>
              <w:t>应用于新能源电池无损检测的微焦点X射线源系统研发及产业化</w:t>
            </w:r>
          </w:p>
        </w:tc>
        <w:tc>
          <w:tcPr>
            <w:tcW w:w="2179" w:type="pct"/>
            <w:tcBorders>
              <w:top w:val="nil"/>
              <w:left w:val="nil"/>
              <w:bottom w:val="single" w:color="auto" w:sz="4" w:space="0"/>
              <w:right w:val="single" w:color="auto" w:sz="4" w:space="0"/>
            </w:tcBorders>
            <w:shd w:val="clear" w:color="auto" w:fill="auto"/>
            <w:vAlign w:val="center"/>
          </w:tcPr>
          <w:p w14:paraId="2B1B462C">
            <w:pPr>
              <w:spacing w:line="360" w:lineRule="exact"/>
              <w:jc w:val="left"/>
              <w:rPr>
                <w:rFonts w:hint="eastAsia" w:ascii="宋体" w:hAnsi="宋体" w:eastAsia="宋体" w:cs="Times New Roman"/>
                <w:szCs w:val="21"/>
              </w:rPr>
            </w:pPr>
            <w:r>
              <w:rPr>
                <w:rFonts w:hint="eastAsia" w:ascii="宋体" w:hAnsi="宋体" w:eastAsia="宋体" w:cs="宋体"/>
                <w:color w:val="000000"/>
                <w:kern w:val="0"/>
                <w:szCs w:val="21"/>
              </w:rPr>
              <w:t>新鸿电子有限公司</w:t>
            </w:r>
          </w:p>
        </w:tc>
      </w:tr>
      <w:tr w14:paraId="1937D490">
        <w:tblPrEx>
          <w:tblCellMar>
            <w:top w:w="0" w:type="dxa"/>
            <w:left w:w="108" w:type="dxa"/>
            <w:bottom w:w="0" w:type="dxa"/>
            <w:right w:w="108" w:type="dxa"/>
          </w:tblCellMar>
        </w:tblPrEx>
        <w:trPr>
          <w:trHeight w:val="559" w:hRule="atLeast"/>
        </w:trPr>
        <w:tc>
          <w:tcPr>
            <w:tcW w:w="482" w:type="pct"/>
            <w:tcBorders>
              <w:top w:val="nil"/>
              <w:left w:val="single" w:color="auto" w:sz="4" w:space="0"/>
              <w:bottom w:val="single" w:color="auto" w:sz="4" w:space="0"/>
              <w:right w:val="single" w:color="auto" w:sz="4" w:space="0"/>
            </w:tcBorders>
            <w:shd w:val="clear" w:color="auto" w:fill="auto"/>
            <w:noWrap/>
            <w:vAlign w:val="center"/>
          </w:tcPr>
          <w:p w14:paraId="5A12EC92">
            <w:pPr>
              <w:spacing w:line="360" w:lineRule="exact"/>
              <w:jc w:val="center"/>
              <w:rPr>
                <w:rFonts w:hint="eastAsia" w:ascii="宋体" w:hAnsi="宋体" w:eastAsia="宋体" w:cs="Times New Roman"/>
                <w:szCs w:val="21"/>
              </w:rPr>
            </w:pPr>
            <w:r>
              <w:rPr>
                <w:rFonts w:hint="eastAsia" w:ascii="宋体" w:hAnsi="宋体" w:eastAsia="宋体" w:cs="宋体"/>
                <w:kern w:val="0"/>
                <w:szCs w:val="21"/>
              </w:rPr>
              <w:t>4</w:t>
            </w:r>
          </w:p>
        </w:tc>
        <w:tc>
          <w:tcPr>
            <w:tcW w:w="2339" w:type="pct"/>
            <w:tcBorders>
              <w:top w:val="nil"/>
              <w:left w:val="nil"/>
              <w:bottom w:val="single" w:color="auto" w:sz="4" w:space="0"/>
              <w:right w:val="single" w:color="auto" w:sz="4" w:space="0"/>
            </w:tcBorders>
            <w:shd w:val="clear" w:color="auto" w:fill="auto"/>
            <w:vAlign w:val="center"/>
          </w:tcPr>
          <w:p w14:paraId="230A9633">
            <w:pPr>
              <w:spacing w:line="360" w:lineRule="exact"/>
              <w:jc w:val="left"/>
              <w:rPr>
                <w:rFonts w:hint="eastAsia" w:ascii="宋体" w:hAnsi="宋体" w:eastAsia="宋体" w:cs="Times New Roman"/>
                <w:szCs w:val="21"/>
              </w:rPr>
            </w:pPr>
            <w:r>
              <w:rPr>
                <w:rFonts w:hint="eastAsia" w:ascii="宋体" w:hAnsi="宋体" w:eastAsia="宋体" w:cs="宋体"/>
                <w:color w:val="000000"/>
                <w:kern w:val="0"/>
                <w:szCs w:val="21"/>
              </w:rPr>
              <w:t>面向源荷储互动的高效电制蒸汽及热电协同成套装备研发及产业化</w:t>
            </w:r>
          </w:p>
        </w:tc>
        <w:tc>
          <w:tcPr>
            <w:tcW w:w="2179" w:type="pct"/>
            <w:tcBorders>
              <w:top w:val="nil"/>
              <w:left w:val="nil"/>
              <w:bottom w:val="single" w:color="auto" w:sz="4" w:space="0"/>
              <w:right w:val="single" w:color="auto" w:sz="4" w:space="0"/>
            </w:tcBorders>
            <w:shd w:val="clear" w:color="auto" w:fill="auto"/>
            <w:vAlign w:val="center"/>
          </w:tcPr>
          <w:p w14:paraId="38A7E6D5">
            <w:pPr>
              <w:spacing w:line="360" w:lineRule="exact"/>
              <w:jc w:val="left"/>
              <w:rPr>
                <w:rFonts w:hint="eastAsia" w:ascii="宋体" w:hAnsi="宋体" w:eastAsia="宋体" w:cs="Times New Roman"/>
                <w:szCs w:val="21"/>
              </w:rPr>
            </w:pPr>
            <w:r>
              <w:rPr>
                <w:rFonts w:hint="eastAsia" w:ascii="宋体" w:hAnsi="宋体" w:eastAsia="宋体" w:cs="宋体"/>
                <w:color w:val="000000"/>
                <w:kern w:val="0"/>
                <w:szCs w:val="21"/>
              </w:rPr>
              <w:t>常州金坛金能电力有限公司</w:t>
            </w:r>
          </w:p>
        </w:tc>
      </w:tr>
      <w:tr w14:paraId="40648E50">
        <w:tblPrEx>
          <w:tblCellMar>
            <w:top w:w="0" w:type="dxa"/>
            <w:left w:w="108" w:type="dxa"/>
            <w:bottom w:w="0" w:type="dxa"/>
            <w:right w:w="108" w:type="dxa"/>
          </w:tblCellMar>
        </w:tblPrEx>
        <w:trPr>
          <w:trHeight w:val="559" w:hRule="atLeast"/>
        </w:trPr>
        <w:tc>
          <w:tcPr>
            <w:tcW w:w="482" w:type="pct"/>
            <w:tcBorders>
              <w:top w:val="nil"/>
              <w:left w:val="single" w:color="auto" w:sz="4" w:space="0"/>
              <w:bottom w:val="single" w:color="auto" w:sz="4" w:space="0"/>
              <w:right w:val="single" w:color="auto" w:sz="4" w:space="0"/>
            </w:tcBorders>
            <w:shd w:val="clear" w:color="auto" w:fill="auto"/>
            <w:noWrap/>
            <w:vAlign w:val="center"/>
          </w:tcPr>
          <w:p w14:paraId="0DE25562">
            <w:pPr>
              <w:spacing w:line="360" w:lineRule="exact"/>
              <w:jc w:val="center"/>
              <w:rPr>
                <w:rFonts w:hint="eastAsia" w:ascii="宋体" w:hAnsi="宋体" w:eastAsia="宋体" w:cs="Times New Roman"/>
                <w:szCs w:val="21"/>
              </w:rPr>
            </w:pPr>
            <w:r>
              <w:rPr>
                <w:rFonts w:hint="eastAsia" w:ascii="宋体" w:hAnsi="宋体" w:eastAsia="宋体" w:cs="宋体"/>
                <w:kern w:val="0"/>
                <w:szCs w:val="21"/>
              </w:rPr>
              <w:t>5</w:t>
            </w:r>
          </w:p>
        </w:tc>
        <w:tc>
          <w:tcPr>
            <w:tcW w:w="2339" w:type="pct"/>
            <w:tcBorders>
              <w:top w:val="nil"/>
              <w:left w:val="nil"/>
              <w:bottom w:val="single" w:color="auto" w:sz="4" w:space="0"/>
              <w:right w:val="single" w:color="auto" w:sz="4" w:space="0"/>
            </w:tcBorders>
            <w:shd w:val="clear" w:color="auto" w:fill="auto"/>
            <w:vAlign w:val="center"/>
          </w:tcPr>
          <w:p w14:paraId="3EF24580">
            <w:pPr>
              <w:spacing w:line="360" w:lineRule="exact"/>
              <w:jc w:val="left"/>
              <w:rPr>
                <w:rFonts w:hint="eastAsia" w:ascii="宋体" w:hAnsi="宋体" w:eastAsia="宋体" w:cs="Times New Roman"/>
                <w:szCs w:val="21"/>
              </w:rPr>
            </w:pPr>
            <w:r>
              <w:rPr>
                <w:rFonts w:hint="eastAsia" w:ascii="宋体" w:hAnsi="宋体" w:eastAsia="宋体" w:cs="宋体"/>
                <w:color w:val="000000"/>
                <w:kern w:val="0"/>
                <w:szCs w:val="21"/>
              </w:rPr>
              <w:t>锂电池电极片轧制用轧辊关键技术研究及产业化</w:t>
            </w:r>
          </w:p>
        </w:tc>
        <w:tc>
          <w:tcPr>
            <w:tcW w:w="2179" w:type="pct"/>
            <w:tcBorders>
              <w:top w:val="nil"/>
              <w:left w:val="nil"/>
              <w:bottom w:val="single" w:color="auto" w:sz="4" w:space="0"/>
              <w:right w:val="single" w:color="auto" w:sz="4" w:space="0"/>
            </w:tcBorders>
            <w:shd w:val="clear" w:color="auto" w:fill="auto"/>
            <w:vAlign w:val="center"/>
          </w:tcPr>
          <w:p w14:paraId="7C74A07F">
            <w:pPr>
              <w:spacing w:line="360" w:lineRule="exact"/>
              <w:jc w:val="left"/>
              <w:rPr>
                <w:rFonts w:hint="eastAsia" w:ascii="宋体" w:hAnsi="宋体" w:eastAsia="宋体" w:cs="Times New Roman"/>
                <w:szCs w:val="21"/>
              </w:rPr>
            </w:pPr>
            <w:r>
              <w:rPr>
                <w:rFonts w:hint="eastAsia" w:ascii="宋体" w:hAnsi="宋体" w:eastAsia="宋体" w:cs="宋体"/>
                <w:color w:val="000000"/>
                <w:kern w:val="0"/>
                <w:szCs w:val="21"/>
              </w:rPr>
              <w:t>宝钢轧辊科技有限责任公司</w:t>
            </w:r>
          </w:p>
        </w:tc>
      </w:tr>
      <w:tr w14:paraId="544D7C76">
        <w:tblPrEx>
          <w:tblCellMar>
            <w:top w:w="0" w:type="dxa"/>
            <w:left w:w="108" w:type="dxa"/>
            <w:bottom w:w="0" w:type="dxa"/>
            <w:right w:w="108" w:type="dxa"/>
          </w:tblCellMar>
        </w:tblPrEx>
        <w:trPr>
          <w:trHeight w:val="559" w:hRule="atLeast"/>
        </w:trPr>
        <w:tc>
          <w:tcPr>
            <w:tcW w:w="482" w:type="pct"/>
            <w:tcBorders>
              <w:top w:val="nil"/>
              <w:left w:val="single" w:color="auto" w:sz="4" w:space="0"/>
              <w:bottom w:val="single" w:color="auto" w:sz="4" w:space="0"/>
              <w:right w:val="single" w:color="auto" w:sz="4" w:space="0"/>
            </w:tcBorders>
            <w:shd w:val="clear" w:color="auto" w:fill="auto"/>
            <w:noWrap/>
            <w:vAlign w:val="center"/>
          </w:tcPr>
          <w:p w14:paraId="6CB45C31">
            <w:pPr>
              <w:spacing w:line="360" w:lineRule="exact"/>
              <w:jc w:val="center"/>
              <w:rPr>
                <w:rFonts w:hint="eastAsia" w:ascii="宋体" w:hAnsi="宋体" w:eastAsia="宋体" w:cs="Times New Roman"/>
                <w:szCs w:val="21"/>
              </w:rPr>
            </w:pPr>
            <w:r>
              <w:rPr>
                <w:rFonts w:hint="eastAsia" w:ascii="宋体" w:hAnsi="宋体" w:eastAsia="宋体" w:cs="宋体"/>
                <w:kern w:val="0"/>
                <w:szCs w:val="21"/>
              </w:rPr>
              <w:t>6</w:t>
            </w:r>
          </w:p>
        </w:tc>
        <w:tc>
          <w:tcPr>
            <w:tcW w:w="2339" w:type="pct"/>
            <w:tcBorders>
              <w:top w:val="nil"/>
              <w:left w:val="nil"/>
              <w:bottom w:val="single" w:color="auto" w:sz="4" w:space="0"/>
              <w:right w:val="single" w:color="auto" w:sz="4" w:space="0"/>
            </w:tcBorders>
            <w:shd w:val="clear" w:color="auto" w:fill="auto"/>
            <w:vAlign w:val="center"/>
          </w:tcPr>
          <w:p w14:paraId="5E41A86E">
            <w:pPr>
              <w:spacing w:line="360" w:lineRule="exact"/>
              <w:jc w:val="left"/>
              <w:rPr>
                <w:rFonts w:hint="eastAsia" w:ascii="宋体" w:hAnsi="宋体" w:eastAsia="宋体" w:cs="Times New Roman"/>
                <w:szCs w:val="21"/>
              </w:rPr>
            </w:pPr>
            <w:r>
              <w:rPr>
                <w:rFonts w:hint="eastAsia" w:ascii="宋体" w:hAnsi="宋体" w:eastAsia="宋体" w:cs="宋体"/>
                <w:color w:val="000000"/>
                <w:kern w:val="0"/>
                <w:szCs w:val="21"/>
              </w:rPr>
              <w:t>15MW大功率半直驱高可靠海上风力发电机轻质机壳研发及产业化</w:t>
            </w:r>
          </w:p>
        </w:tc>
        <w:tc>
          <w:tcPr>
            <w:tcW w:w="2179" w:type="pct"/>
            <w:tcBorders>
              <w:top w:val="nil"/>
              <w:left w:val="nil"/>
              <w:bottom w:val="single" w:color="auto" w:sz="4" w:space="0"/>
              <w:right w:val="single" w:color="auto" w:sz="4" w:space="0"/>
            </w:tcBorders>
            <w:shd w:val="clear" w:color="auto" w:fill="auto"/>
            <w:vAlign w:val="center"/>
          </w:tcPr>
          <w:p w14:paraId="21B5D6C5">
            <w:pPr>
              <w:spacing w:line="360" w:lineRule="exact"/>
              <w:jc w:val="left"/>
              <w:rPr>
                <w:rFonts w:hint="eastAsia" w:ascii="宋体" w:hAnsi="宋体" w:eastAsia="宋体" w:cs="Times New Roman"/>
                <w:szCs w:val="21"/>
              </w:rPr>
            </w:pPr>
            <w:r>
              <w:rPr>
                <w:rFonts w:hint="eastAsia" w:ascii="宋体" w:hAnsi="宋体" w:eastAsia="宋体" w:cs="宋体"/>
                <w:color w:val="000000"/>
                <w:kern w:val="0"/>
                <w:szCs w:val="21"/>
              </w:rPr>
              <w:t>常州优谷新能源科技股份有限公司</w:t>
            </w:r>
          </w:p>
        </w:tc>
      </w:tr>
      <w:tr w14:paraId="7EB9A3A8">
        <w:tblPrEx>
          <w:tblCellMar>
            <w:top w:w="0" w:type="dxa"/>
            <w:left w:w="108" w:type="dxa"/>
            <w:bottom w:w="0" w:type="dxa"/>
            <w:right w:w="108" w:type="dxa"/>
          </w:tblCellMar>
        </w:tblPrEx>
        <w:trPr>
          <w:trHeight w:val="346" w:hRule="atLeast"/>
        </w:trPr>
        <w:tc>
          <w:tcPr>
            <w:tcW w:w="482" w:type="pct"/>
            <w:tcBorders>
              <w:top w:val="nil"/>
              <w:left w:val="single" w:color="auto" w:sz="4" w:space="0"/>
              <w:bottom w:val="single" w:color="auto" w:sz="4" w:space="0"/>
              <w:right w:val="single" w:color="auto" w:sz="4" w:space="0"/>
            </w:tcBorders>
            <w:shd w:val="clear" w:color="auto" w:fill="auto"/>
            <w:noWrap/>
            <w:vAlign w:val="center"/>
          </w:tcPr>
          <w:p w14:paraId="3BAC9EE6">
            <w:pPr>
              <w:spacing w:line="360" w:lineRule="exact"/>
              <w:jc w:val="center"/>
              <w:rPr>
                <w:rFonts w:hint="eastAsia" w:ascii="宋体" w:hAnsi="宋体" w:eastAsia="宋体" w:cs="Times New Roman"/>
                <w:szCs w:val="21"/>
              </w:rPr>
            </w:pPr>
            <w:r>
              <w:rPr>
                <w:rFonts w:hint="eastAsia" w:ascii="宋体" w:hAnsi="宋体" w:eastAsia="宋体" w:cs="宋体"/>
                <w:kern w:val="0"/>
                <w:szCs w:val="21"/>
              </w:rPr>
              <w:t>7</w:t>
            </w:r>
          </w:p>
        </w:tc>
        <w:tc>
          <w:tcPr>
            <w:tcW w:w="2339" w:type="pct"/>
            <w:tcBorders>
              <w:top w:val="nil"/>
              <w:left w:val="nil"/>
              <w:bottom w:val="single" w:color="auto" w:sz="4" w:space="0"/>
              <w:right w:val="single" w:color="auto" w:sz="4" w:space="0"/>
            </w:tcBorders>
            <w:shd w:val="clear" w:color="auto" w:fill="auto"/>
            <w:vAlign w:val="center"/>
          </w:tcPr>
          <w:p w14:paraId="6858A3D6">
            <w:pPr>
              <w:spacing w:line="360" w:lineRule="exact"/>
              <w:jc w:val="left"/>
              <w:rPr>
                <w:rFonts w:hint="eastAsia" w:ascii="宋体" w:hAnsi="宋体" w:eastAsia="宋体" w:cs="Times New Roman"/>
                <w:szCs w:val="21"/>
              </w:rPr>
            </w:pPr>
            <w:r>
              <w:rPr>
                <w:rFonts w:hint="eastAsia" w:ascii="宋体" w:hAnsi="宋体" w:eastAsia="宋体" w:cs="宋体"/>
                <w:color w:val="000000"/>
                <w:kern w:val="0"/>
                <w:szCs w:val="21"/>
              </w:rPr>
              <w:t>混动新能源汽车用新型高温高效动力系统核心部件系列化研发及产业化</w:t>
            </w:r>
          </w:p>
        </w:tc>
        <w:tc>
          <w:tcPr>
            <w:tcW w:w="2179" w:type="pct"/>
            <w:tcBorders>
              <w:top w:val="nil"/>
              <w:left w:val="nil"/>
              <w:bottom w:val="single" w:color="auto" w:sz="4" w:space="0"/>
              <w:right w:val="single" w:color="auto" w:sz="4" w:space="0"/>
            </w:tcBorders>
            <w:shd w:val="clear" w:color="auto" w:fill="auto"/>
            <w:vAlign w:val="center"/>
          </w:tcPr>
          <w:p w14:paraId="227326B7">
            <w:pPr>
              <w:spacing w:line="360" w:lineRule="exact"/>
              <w:jc w:val="left"/>
              <w:rPr>
                <w:rFonts w:hint="eastAsia" w:ascii="宋体" w:hAnsi="宋体" w:eastAsia="宋体" w:cs="Times New Roman"/>
                <w:szCs w:val="21"/>
              </w:rPr>
            </w:pPr>
            <w:r>
              <w:rPr>
                <w:rFonts w:hint="eastAsia" w:ascii="宋体" w:hAnsi="宋体" w:eastAsia="宋体" w:cs="宋体"/>
                <w:color w:val="000000"/>
                <w:kern w:val="0"/>
                <w:szCs w:val="21"/>
              </w:rPr>
              <w:t>常州中车汽车零部件有限公司</w:t>
            </w:r>
          </w:p>
        </w:tc>
      </w:tr>
      <w:tr w14:paraId="43100EC4">
        <w:tblPrEx>
          <w:tblCellMar>
            <w:top w:w="0" w:type="dxa"/>
            <w:left w:w="108" w:type="dxa"/>
            <w:bottom w:w="0" w:type="dxa"/>
            <w:right w:w="108" w:type="dxa"/>
          </w:tblCellMar>
        </w:tblPrEx>
        <w:trPr>
          <w:trHeight w:val="559" w:hRule="atLeast"/>
        </w:trPr>
        <w:tc>
          <w:tcPr>
            <w:tcW w:w="482" w:type="pct"/>
            <w:tcBorders>
              <w:top w:val="nil"/>
              <w:left w:val="single" w:color="auto" w:sz="4" w:space="0"/>
              <w:bottom w:val="single" w:color="auto" w:sz="4" w:space="0"/>
              <w:right w:val="single" w:color="auto" w:sz="4" w:space="0"/>
            </w:tcBorders>
            <w:shd w:val="clear" w:color="auto" w:fill="auto"/>
            <w:noWrap/>
            <w:vAlign w:val="center"/>
          </w:tcPr>
          <w:p w14:paraId="32C85C24">
            <w:pPr>
              <w:spacing w:line="360" w:lineRule="exact"/>
              <w:jc w:val="center"/>
              <w:rPr>
                <w:rFonts w:hint="eastAsia" w:ascii="宋体" w:hAnsi="宋体" w:eastAsia="宋体" w:cs="Times New Roman"/>
                <w:szCs w:val="21"/>
              </w:rPr>
            </w:pPr>
            <w:r>
              <w:rPr>
                <w:rFonts w:hint="eastAsia" w:ascii="宋体" w:hAnsi="宋体" w:eastAsia="宋体" w:cs="宋体"/>
                <w:kern w:val="0"/>
                <w:szCs w:val="21"/>
              </w:rPr>
              <w:t>8</w:t>
            </w:r>
          </w:p>
        </w:tc>
        <w:tc>
          <w:tcPr>
            <w:tcW w:w="2339" w:type="pct"/>
            <w:tcBorders>
              <w:top w:val="nil"/>
              <w:left w:val="nil"/>
              <w:bottom w:val="single" w:color="auto" w:sz="4" w:space="0"/>
              <w:right w:val="single" w:color="auto" w:sz="4" w:space="0"/>
            </w:tcBorders>
            <w:shd w:val="clear" w:color="auto" w:fill="auto"/>
            <w:vAlign w:val="center"/>
          </w:tcPr>
          <w:p w14:paraId="4B83B183">
            <w:pPr>
              <w:spacing w:line="360" w:lineRule="exact"/>
              <w:jc w:val="left"/>
              <w:rPr>
                <w:rFonts w:hint="eastAsia" w:ascii="宋体" w:hAnsi="宋体" w:eastAsia="宋体" w:cs="Times New Roman"/>
                <w:szCs w:val="21"/>
              </w:rPr>
            </w:pPr>
            <w:r>
              <w:rPr>
                <w:rFonts w:hint="eastAsia" w:ascii="宋体" w:hAnsi="宋体" w:eastAsia="宋体" w:cs="宋体"/>
                <w:color w:val="000000"/>
                <w:kern w:val="0"/>
                <w:szCs w:val="21"/>
              </w:rPr>
              <w:t>早癌内镜微创用多功能高效切开圈套器研发及产业化</w:t>
            </w:r>
          </w:p>
        </w:tc>
        <w:tc>
          <w:tcPr>
            <w:tcW w:w="2179" w:type="pct"/>
            <w:tcBorders>
              <w:top w:val="nil"/>
              <w:left w:val="nil"/>
              <w:bottom w:val="single" w:color="auto" w:sz="4" w:space="0"/>
              <w:right w:val="single" w:color="auto" w:sz="4" w:space="0"/>
            </w:tcBorders>
            <w:shd w:val="clear" w:color="auto" w:fill="auto"/>
            <w:vAlign w:val="center"/>
          </w:tcPr>
          <w:p w14:paraId="59EEA4C3">
            <w:pPr>
              <w:spacing w:line="360" w:lineRule="exact"/>
              <w:jc w:val="left"/>
              <w:rPr>
                <w:rFonts w:hint="eastAsia" w:ascii="宋体" w:hAnsi="宋体" w:eastAsia="宋体" w:cs="Times New Roman"/>
                <w:szCs w:val="21"/>
              </w:rPr>
            </w:pPr>
            <w:r>
              <w:rPr>
                <w:rFonts w:hint="eastAsia" w:ascii="宋体" w:hAnsi="宋体" w:eastAsia="宋体" w:cs="宋体"/>
                <w:color w:val="000000"/>
                <w:kern w:val="0"/>
                <w:szCs w:val="21"/>
              </w:rPr>
              <w:t>常州乐奥医疗科技股份有限公司</w:t>
            </w:r>
          </w:p>
        </w:tc>
      </w:tr>
      <w:tr w14:paraId="15DC950C">
        <w:tblPrEx>
          <w:tblCellMar>
            <w:top w:w="0" w:type="dxa"/>
            <w:left w:w="108" w:type="dxa"/>
            <w:bottom w:w="0" w:type="dxa"/>
            <w:right w:w="108" w:type="dxa"/>
          </w:tblCellMar>
        </w:tblPrEx>
        <w:trPr>
          <w:trHeight w:val="559" w:hRule="atLeast"/>
        </w:trPr>
        <w:tc>
          <w:tcPr>
            <w:tcW w:w="482" w:type="pct"/>
            <w:tcBorders>
              <w:top w:val="nil"/>
              <w:left w:val="single" w:color="auto" w:sz="4" w:space="0"/>
              <w:bottom w:val="single" w:color="auto" w:sz="4" w:space="0"/>
              <w:right w:val="single" w:color="auto" w:sz="4" w:space="0"/>
            </w:tcBorders>
            <w:shd w:val="clear" w:color="auto" w:fill="auto"/>
            <w:noWrap/>
            <w:vAlign w:val="center"/>
          </w:tcPr>
          <w:p w14:paraId="5A133C3C">
            <w:pPr>
              <w:spacing w:line="360" w:lineRule="exact"/>
              <w:jc w:val="center"/>
              <w:rPr>
                <w:rFonts w:hint="eastAsia" w:ascii="宋体" w:hAnsi="宋体" w:eastAsia="宋体" w:cs="Times New Roman"/>
                <w:szCs w:val="21"/>
              </w:rPr>
            </w:pPr>
            <w:r>
              <w:rPr>
                <w:rFonts w:hint="eastAsia" w:ascii="宋体" w:hAnsi="宋体" w:eastAsia="宋体" w:cs="宋体"/>
                <w:kern w:val="0"/>
                <w:szCs w:val="21"/>
              </w:rPr>
              <w:t>9</w:t>
            </w:r>
          </w:p>
        </w:tc>
        <w:tc>
          <w:tcPr>
            <w:tcW w:w="2339" w:type="pct"/>
            <w:tcBorders>
              <w:top w:val="nil"/>
              <w:left w:val="nil"/>
              <w:bottom w:val="single" w:color="auto" w:sz="4" w:space="0"/>
              <w:right w:val="single" w:color="auto" w:sz="4" w:space="0"/>
            </w:tcBorders>
            <w:shd w:val="clear" w:color="auto" w:fill="auto"/>
            <w:vAlign w:val="center"/>
          </w:tcPr>
          <w:p w14:paraId="2EFAAB21">
            <w:pPr>
              <w:spacing w:line="360" w:lineRule="exact"/>
              <w:jc w:val="left"/>
              <w:rPr>
                <w:rFonts w:hint="eastAsia" w:ascii="宋体" w:hAnsi="宋体" w:eastAsia="宋体" w:cs="Times New Roman"/>
                <w:szCs w:val="21"/>
              </w:rPr>
            </w:pPr>
            <w:r>
              <w:rPr>
                <w:rFonts w:hint="eastAsia" w:ascii="宋体" w:hAnsi="宋体" w:eastAsia="宋体" w:cs="宋体"/>
                <w:color w:val="000000"/>
                <w:kern w:val="0"/>
                <w:szCs w:val="21"/>
              </w:rPr>
              <w:t>微创内窥镜诊疗系列产品的研发及产业化</w:t>
            </w:r>
          </w:p>
        </w:tc>
        <w:tc>
          <w:tcPr>
            <w:tcW w:w="2179" w:type="pct"/>
            <w:tcBorders>
              <w:top w:val="nil"/>
              <w:left w:val="nil"/>
              <w:bottom w:val="single" w:color="auto" w:sz="4" w:space="0"/>
              <w:right w:val="single" w:color="auto" w:sz="4" w:space="0"/>
            </w:tcBorders>
            <w:shd w:val="clear" w:color="auto" w:fill="auto"/>
            <w:vAlign w:val="center"/>
          </w:tcPr>
          <w:p w14:paraId="1C8CBBEC">
            <w:pPr>
              <w:spacing w:line="360" w:lineRule="exact"/>
              <w:jc w:val="left"/>
              <w:rPr>
                <w:rFonts w:hint="eastAsia" w:ascii="宋体" w:hAnsi="宋体" w:eastAsia="宋体" w:cs="Times New Roman"/>
                <w:szCs w:val="21"/>
              </w:rPr>
            </w:pPr>
            <w:r>
              <w:rPr>
                <w:rFonts w:hint="eastAsia" w:ascii="宋体" w:hAnsi="宋体" w:eastAsia="宋体" w:cs="宋体"/>
                <w:color w:val="000000"/>
                <w:kern w:val="0"/>
                <w:szCs w:val="21"/>
              </w:rPr>
              <w:t>江苏康进医疗器材有限公司</w:t>
            </w:r>
          </w:p>
        </w:tc>
      </w:tr>
      <w:tr w14:paraId="696CD06D">
        <w:tblPrEx>
          <w:tblCellMar>
            <w:top w:w="0" w:type="dxa"/>
            <w:left w:w="108" w:type="dxa"/>
            <w:bottom w:w="0" w:type="dxa"/>
            <w:right w:w="108" w:type="dxa"/>
          </w:tblCellMar>
        </w:tblPrEx>
        <w:trPr>
          <w:trHeight w:val="559" w:hRule="atLeast"/>
        </w:trPr>
        <w:tc>
          <w:tcPr>
            <w:tcW w:w="482" w:type="pct"/>
            <w:tcBorders>
              <w:top w:val="nil"/>
              <w:left w:val="single" w:color="auto" w:sz="4" w:space="0"/>
              <w:bottom w:val="single" w:color="auto" w:sz="4" w:space="0"/>
              <w:right w:val="single" w:color="auto" w:sz="4" w:space="0"/>
            </w:tcBorders>
            <w:shd w:val="clear" w:color="auto" w:fill="auto"/>
            <w:noWrap/>
            <w:vAlign w:val="center"/>
          </w:tcPr>
          <w:p w14:paraId="12877096">
            <w:pPr>
              <w:spacing w:line="360" w:lineRule="exact"/>
              <w:jc w:val="center"/>
              <w:rPr>
                <w:rFonts w:hint="eastAsia" w:ascii="宋体" w:hAnsi="宋体" w:eastAsia="宋体" w:cs="Times New Roman"/>
                <w:szCs w:val="21"/>
              </w:rPr>
            </w:pPr>
            <w:r>
              <w:rPr>
                <w:rFonts w:hint="eastAsia" w:ascii="宋体" w:hAnsi="宋体" w:eastAsia="宋体" w:cs="宋体"/>
                <w:kern w:val="0"/>
                <w:szCs w:val="21"/>
              </w:rPr>
              <w:t>10</w:t>
            </w:r>
          </w:p>
        </w:tc>
        <w:tc>
          <w:tcPr>
            <w:tcW w:w="2339" w:type="pct"/>
            <w:tcBorders>
              <w:top w:val="nil"/>
              <w:left w:val="nil"/>
              <w:bottom w:val="single" w:color="auto" w:sz="4" w:space="0"/>
              <w:right w:val="single" w:color="auto" w:sz="4" w:space="0"/>
            </w:tcBorders>
            <w:shd w:val="clear" w:color="auto" w:fill="auto"/>
            <w:vAlign w:val="center"/>
          </w:tcPr>
          <w:p w14:paraId="70F6DF8A">
            <w:pPr>
              <w:spacing w:line="360" w:lineRule="exact"/>
              <w:jc w:val="left"/>
              <w:rPr>
                <w:rFonts w:hint="eastAsia" w:ascii="宋体" w:hAnsi="宋体" w:eastAsia="宋体" w:cs="Times New Roman"/>
                <w:szCs w:val="21"/>
              </w:rPr>
            </w:pPr>
            <w:r>
              <w:rPr>
                <w:rFonts w:hint="eastAsia" w:ascii="宋体" w:hAnsi="宋体" w:eastAsia="宋体" w:cs="宋体"/>
                <w:color w:val="000000"/>
                <w:kern w:val="0"/>
                <w:szCs w:val="21"/>
              </w:rPr>
              <w:t>基于云平台多接口的智能中压开关设备的研发及产业化</w:t>
            </w:r>
          </w:p>
        </w:tc>
        <w:tc>
          <w:tcPr>
            <w:tcW w:w="2179" w:type="pct"/>
            <w:tcBorders>
              <w:top w:val="nil"/>
              <w:left w:val="nil"/>
              <w:bottom w:val="single" w:color="auto" w:sz="4" w:space="0"/>
              <w:right w:val="single" w:color="auto" w:sz="4" w:space="0"/>
            </w:tcBorders>
            <w:shd w:val="clear" w:color="auto" w:fill="auto"/>
            <w:vAlign w:val="center"/>
          </w:tcPr>
          <w:p w14:paraId="49579C5F">
            <w:pPr>
              <w:spacing w:line="360" w:lineRule="exact"/>
              <w:jc w:val="left"/>
              <w:rPr>
                <w:rFonts w:hint="eastAsia" w:ascii="宋体" w:hAnsi="宋体" w:eastAsia="宋体" w:cs="Times New Roman"/>
                <w:szCs w:val="21"/>
              </w:rPr>
            </w:pPr>
            <w:r>
              <w:rPr>
                <w:rFonts w:hint="eastAsia" w:ascii="宋体" w:hAnsi="宋体" w:eastAsia="宋体" w:cs="宋体"/>
                <w:color w:val="000000"/>
                <w:kern w:val="0"/>
                <w:szCs w:val="21"/>
              </w:rPr>
              <w:t>苏文电能科技股份有限公司</w:t>
            </w:r>
          </w:p>
        </w:tc>
      </w:tr>
      <w:tr w14:paraId="7EB16971">
        <w:tblPrEx>
          <w:tblCellMar>
            <w:top w:w="0" w:type="dxa"/>
            <w:left w:w="108" w:type="dxa"/>
            <w:bottom w:w="0" w:type="dxa"/>
            <w:right w:w="108" w:type="dxa"/>
          </w:tblCellMar>
        </w:tblPrEx>
        <w:trPr>
          <w:trHeight w:val="559" w:hRule="atLeast"/>
        </w:trPr>
        <w:tc>
          <w:tcPr>
            <w:tcW w:w="482" w:type="pct"/>
            <w:tcBorders>
              <w:top w:val="nil"/>
              <w:left w:val="single" w:color="auto" w:sz="4" w:space="0"/>
              <w:bottom w:val="single" w:color="auto" w:sz="4" w:space="0"/>
              <w:right w:val="single" w:color="auto" w:sz="4" w:space="0"/>
            </w:tcBorders>
            <w:shd w:val="clear" w:color="auto" w:fill="auto"/>
            <w:noWrap/>
            <w:vAlign w:val="center"/>
          </w:tcPr>
          <w:p w14:paraId="0E84D219">
            <w:pPr>
              <w:spacing w:line="360" w:lineRule="exact"/>
              <w:jc w:val="center"/>
              <w:rPr>
                <w:rFonts w:hint="eastAsia" w:ascii="宋体" w:hAnsi="宋体" w:eastAsia="宋体" w:cs="Times New Roman"/>
                <w:szCs w:val="21"/>
              </w:rPr>
            </w:pPr>
            <w:r>
              <w:rPr>
                <w:rFonts w:hint="eastAsia" w:ascii="宋体" w:hAnsi="宋体" w:eastAsia="宋体" w:cs="宋体"/>
                <w:kern w:val="0"/>
                <w:szCs w:val="21"/>
              </w:rPr>
              <w:t>11</w:t>
            </w:r>
          </w:p>
        </w:tc>
        <w:tc>
          <w:tcPr>
            <w:tcW w:w="2339" w:type="pct"/>
            <w:tcBorders>
              <w:top w:val="nil"/>
              <w:left w:val="nil"/>
              <w:bottom w:val="single" w:color="auto" w:sz="4" w:space="0"/>
              <w:right w:val="single" w:color="auto" w:sz="4" w:space="0"/>
            </w:tcBorders>
            <w:shd w:val="clear" w:color="auto" w:fill="auto"/>
            <w:vAlign w:val="center"/>
          </w:tcPr>
          <w:p w14:paraId="187CBD29">
            <w:pPr>
              <w:spacing w:line="360" w:lineRule="exact"/>
              <w:jc w:val="left"/>
              <w:rPr>
                <w:rFonts w:hint="eastAsia" w:ascii="宋体" w:hAnsi="宋体" w:eastAsia="宋体" w:cs="Times New Roman"/>
                <w:szCs w:val="21"/>
              </w:rPr>
            </w:pPr>
            <w:r>
              <w:rPr>
                <w:rFonts w:hint="eastAsia" w:ascii="宋体" w:hAnsi="宋体" w:eastAsia="宋体" w:cs="宋体"/>
                <w:color w:val="000000"/>
                <w:kern w:val="0"/>
                <w:szCs w:val="21"/>
              </w:rPr>
              <w:t>大功率高频充电设备关键技术研究及产业化</w:t>
            </w:r>
          </w:p>
        </w:tc>
        <w:tc>
          <w:tcPr>
            <w:tcW w:w="2179" w:type="pct"/>
            <w:tcBorders>
              <w:top w:val="nil"/>
              <w:left w:val="nil"/>
              <w:bottom w:val="single" w:color="auto" w:sz="4" w:space="0"/>
              <w:right w:val="single" w:color="auto" w:sz="4" w:space="0"/>
            </w:tcBorders>
            <w:shd w:val="clear" w:color="auto" w:fill="auto"/>
            <w:vAlign w:val="center"/>
          </w:tcPr>
          <w:p w14:paraId="12DE7B48">
            <w:pPr>
              <w:spacing w:line="360" w:lineRule="exact"/>
              <w:jc w:val="left"/>
              <w:rPr>
                <w:rFonts w:hint="eastAsia" w:ascii="宋体" w:hAnsi="宋体" w:eastAsia="宋体" w:cs="Times New Roman"/>
                <w:szCs w:val="21"/>
              </w:rPr>
            </w:pPr>
            <w:r>
              <w:rPr>
                <w:rFonts w:hint="eastAsia" w:ascii="宋体" w:hAnsi="宋体" w:eastAsia="宋体" w:cs="宋体"/>
                <w:color w:val="000000"/>
                <w:kern w:val="0"/>
                <w:szCs w:val="21"/>
              </w:rPr>
              <w:t>常州市红光电能科技股份有限公司</w:t>
            </w:r>
          </w:p>
        </w:tc>
      </w:tr>
      <w:tr w14:paraId="72D63FCE">
        <w:tblPrEx>
          <w:tblCellMar>
            <w:top w:w="0" w:type="dxa"/>
            <w:left w:w="108" w:type="dxa"/>
            <w:bottom w:w="0" w:type="dxa"/>
            <w:right w:w="108" w:type="dxa"/>
          </w:tblCellMar>
        </w:tblPrEx>
        <w:trPr>
          <w:trHeight w:val="559" w:hRule="atLeast"/>
        </w:trPr>
        <w:tc>
          <w:tcPr>
            <w:tcW w:w="482" w:type="pct"/>
            <w:tcBorders>
              <w:top w:val="nil"/>
              <w:left w:val="single" w:color="auto" w:sz="4" w:space="0"/>
              <w:bottom w:val="single" w:color="auto" w:sz="4" w:space="0"/>
              <w:right w:val="single" w:color="auto" w:sz="4" w:space="0"/>
            </w:tcBorders>
            <w:shd w:val="clear" w:color="auto" w:fill="auto"/>
            <w:noWrap/>
            <w:vAlign w:val="center"/>
          </w:tcPr>
          <w:p w14:paraId="5152063A">
            <w:pPr>
              <w:spacing w:line="360" w:lineRule="exact"/>
              <w:jc w:val="center"/>
              <w:rPr>
                <w:rFonts w:hint="eastAsia" w:ascii="宋体" w:hAnsi="宋体" w:eastAsia="宋体" w:cs="Times New Roman"/>
                <w:szCs w:val="21"/>
              </w:rPr>
            </w:pPr>
            <w:r>
              <w:rPr>
                <w:rFonts w:hint="eastAsia" w:ascii="宋体" w:hAnsi="宋体" w:eastAsia="宋体" w:cs="宋体"/>
                <w:kern w:val="0"/>
                <w:szCs w:val="21"/>
              </w:rPr>
              <w:t>12</w:t>
            </w:r>
          </w:p>
        </w:tc>
        <w:tc>
          <w:tcPr>
            <w:tcW w:w="2339" w:type="pct"/>
            <w:tcBorders>
              <w:top w:val="nil"/>
              <w:left w:val="nil"/>
              <w:bottom w:val="single" w:color="auto" w:sz="4" w:space="0"/>
              <w:right w:val="single" w:color="auto" w:sz="4" w:space="0"/>
            </w:tcBorders>
            <w:shd w:val="clear" w:color="auto" w:fill="auto"/>
            <w:vAlign w:val="center"/>
          </w:tcPr>
          <w:p w14:paraId="52C5BDDB">
            <w:pPr>
              <w:spacing w:line="360" w:lineRule="exact"/>
              <w:jc w:val="left"/>
              <w:rPr>
                <w:rFonts w:hint="eastAsia" w:ascii="宋体" w:hAnsi="宋体" w:eastAsia="宋体" w:cs="Times New Roman"/>
                <w:szCs w:val="21"/>
              </w:rPr>
            </w:pPr>
            <w:r>
              <w:rPr>
                <w:rFonts w:hint="eastAsia" w:ascii="宋体" w:hAnsi="宋体" w:eastAsia="宋体" w:cs="宋体"/>
                <w:color w:val="000000"/>
                <w:kern w:val="0"/>
                <w:szCs w:val="21"/>
              </w:rPr>
              <w:t>面向新能源的低碳小型化智能低压断路器研发及产业化</w:t>
            </w:r>
          </w:p>
        </w:tc>
        <w:tc>
          <w:tcPr>
            <w:tcW w:w="2179" w:type="pct"/>
            <w:tcBorders>
              <w:top w:val="nil"/>
              <w:left w:val="nil"/>
              <w:bottom w:val="single" w:color="auto" w:sz="4" w:space="0"/>
              <w:right w:val="single" w:color="auto" w:sz="4" w:space="0"/>
            </w:tcBorders>
            <w:shd w:val="clear" w:color="auto" w:fill="auto"/>
            <w:vAlign w:val="center"/>
          </w:tcPr>
          <w:p w14:paraId="3D950D99">
            <w:pPr>
              <w:spacing w:line="360" w:lineRule="exact"/>
              <w:jc w:val="left"/>
              <w:rPr>
                <w:rFonts w:hint="eastAsia" w:ascii="宋体" w:hAnsi="宋体" w:eastAsia="宋体" w:cs="Times New Roman"/>
                <w:szCs w:val="21"/>
              </w:rPr>
            </w:pPr>
            <w:r>
              <w:rPr>
                <w:rFonts w:hint="eastAsia" w:ascii="宋体" w:hAnsi="宋体" w:eastAsia="宋体" w:cs="宋体"/>
                <w:color w:val="000000"/>
                <w:kern w:val="0"/>
                <w:szCs w:val="21"/>
              </w:rPr>
              <w:t>江苏洛凯机电股份有限公司</w:t>
            </w:r>
          </w:p>
        </w:tc>
      </w:tr>
      <w:tr w14:paraId="45706F25">
        <w:tblPrEx>
          <w:tblCellMar>
            <w:top w:w="0" w:type="dxa"/>
            <w:left w:w="108" w:type="dxa"/>
            <w:bottom w:w="0" w:type="dxa"/>
            <w:right w:w="108" w:type="dxa"/>
          </w:tblCellMar>
        </w:tblPrEx>
        <w:trPr>
          <w:trHeight w:val="559" w:hRule="atLeast"/>
        </w:trPr>
        <w:tc>
          <w:tcPr>
            <w:tcW w:w="482" w:type="pct"/>
            <w:tcBorders>
              <w:top w:val="nil"/>
              <w:left w:val="single" w:color="auto" w:sz="4" w:space="0"/>
              <w:bottom w:val="single" w:color="auto" w:sz="4" w:space="0"/>
              <w:right w:val="single" w:color="auto" w:sz="4" w:space="0"/>
            </w:tcBorders>
            <w:shd w:val="clear" w:color="auto" w:fill="auto"/>
            <w:noWrap/>
            <w:vAlign w:val="center"/>
          </w:tcPr>
          <w:p w14:paraId="43A36E16">
            <w:pPr>
              <w:spacing w:line="360" w:lineRule="exact"/>
              <w:jc w:val="center"/>
              <w:rPr>
                <w:rFonts w:hint="eastAsia" w:ascii="宋体" w:hAnsi="宋体" w:eastAsia="宋体" w:cs="Times New Roman"/>
                <w:szCs w:val="21"/>
              </w:rPr>
            </w:pPr>
            <w:r>
              <w:rPr>
                <w:rFonts w:hint="eastAsia" w:ascii="宋体" w:hAnsi="宋体" w:eastAsia="宋体" w:cs="宋体"/>
                <w:kern w:val="0"/>
                <w:szCs w:val="21"/>
              </w:rPr>
              <w:t>13</w:t>
            </w:r>
          </w:p>
        </w:tc>
        <w:tc>
          <w:tcPr>
            <w:tcW w:w="2339" w:type="pct"/>
            <w:tcBorders>
              <w:top w:val="nil"/>
              <w:left w:val="nil"/>
              <w:bottom w:val="single" w:color="auto" w:sz="4" w:space="0"/>
              <w:right w:val="single" w:color="auto" w:sz="4" w:space="0"/>
            </w:tcBorders>
            <w:shd w:val="clear" w:color="auto" w:fill="auto"/>
            <w:vAlign w:val="center"/>
          </w:tcPr>
          <w:p w14:paraId="6FC3275E">
            <w:pPr>
              <w:spacing w:line="360" w:lineRule="exact"/>
              <w:jc w:val="left"/>
              <w:rPr>
                <w:rFonts w:hint="eastAsia" w:ascii="宋体" w:hAnsi="宋体" w:eastAsia="宋体" w:cs="Times New Roman"/>
                <w:szCs w:val="21"/>
              </w:rPr>
            </w:pPr>
            <w:r>
              <w:rPr>
                <w:rFonts w:hint="eastAsia" w:ascii="宋体" w:hAnsi="宋体" w:eastAsia="宋体" w:cs="宋体"/>
                <w:color w:val="000000"/>
                <w:kern w:val="0"/>
                <w:szCs w:val="21"/>
              </w:rPr>
              <w:t>基于视觉感知的矿山安全风险智能识别与预警系统研发及产业化</w:t>
            </w:r>
          </w:p>
        </w:tc>
        <w:tc>
          <w:tcPr>
            <w:tcW w:w="2179" w:type="pct"/>
            <w:tcBorders>
              <w:top w:val="nil"/>
              <w:left w:val="nil"/>
              <w:bottom w:val="single" w:color="auto" w:sz="4" w:space="0"/>
              <w:right w:val="single" w:color="auto" w:sz="4" w:space="0"/>
            </w:tcBorders>
            <w:shd w:val="clear" w:color="auto" w:fill="auto"/>
            <w:vAlign w:val="center"/>
          </w:tcPr>
          <w:p w14:paraId="64D85B46">
            <w:pPr>
              <w:spacing w:line="360" w:lineRule="exact"/>
              <w:jc w:val="left"/>
              <w:rPr>
                <w:rFonts w:hint="eastAsia" w:ascii="宋体" w:hAnsi="宋体" w:eastAsia="宋体" w:cs="Times New Roman"/>
                <w:szCs w:val="21"/>
              </w:rPr>
            </w:pPr>
            <w:r>
              <w:rPr>
                <w:rFonts w:hint="eastAsia" w:ascii="宋体" w:hAnsi="宋体" w:eastAsia="宋体" w:cs="宋体"/>
                <w:color w:val="000000"/>
                <w:kern w:val="0"/>
                <w:szCs w:val="21"/>
              </w:rPr>
              <w:t>常州海图信息科技股份有限公司</w:t>
            </w:r>
          </w:p>
        </w:tc>
      </w:tr>
      <w:tr w14:paraId="795F8BAC">
        <w:tblPrEx>
          <w:tblCellMar>
            <w:top w:w="0" w:type="dxa"/>
            <w:left w:w="108" w:type="dxa"/>
            <w:bottom w:w="0" w:type="dxa"/>
            <w:right w:w="108" w:type="dxa"/>
          </w:tblCellMar>
        </w:tblPrEx>
        <w:trPr>
          <w:trHeight w:val="559" w:hRule="atLeast"/>
        </w:trPr>
        <w:tc>
          <w:tcPr>
            <w:tcW w:w="482" w:type="pct"/>
            <w:tcBorders>
              <w:top w:val="nil"/>
              <w:left w:val="single" w:color="auto" w:sz="4" w:space="0"/>
              <w:bottom w:val="single" w:color="auto" w:sz="4" w:space="0"/>
              <w:right w:val="single" w:color="auto" w:sz="4" w:space="0"/>
            </w:tcBorders>
            <w:shd w:val="clear" w:color="auto" w:fill="auto"/>
            <w:noWrap/>
            <w:vAlign w:val="center"/>
          </w:tcPr>
          <w:p w14:paraId="5A313A5A">
            <w:pPr>
              <w:spacing w:line="360" w:lineRule="exact"/>
              <w:jc w:val="center"/>
              <w:rPr>
                <w:rFonts w:hint="eastAsia" w:ascii="宋体" w:hAnsi="宋体" w:eastAsia="宋体" w:cs="Times New Roman"/>
                <w:szCs w:val="21"/>
              </w:rPr>
            </w:pPr>
            <w:r>
              <w:rPr>
                <w:rFonts w:hint="eastAsia" w:ascii="宋体" w:hAnsi="宋体" w:eastAsia="宋体" w:cs="宋体"/>
                <w:kern w:val="0"/>
                <w:szCs w:val="21"/>
              </w:rPr>
              <w:t>14</w:t>
            </w:r>
          </w:p>
        </w:tc>
        <w:tc>
          <w:tcPr>
            <w:tcW w:w="2339" w:type="pct"/>
            <w:tcBorders>
              <w:top w:val="nil"/>
              <w:left w:val="nil"/>
              <w:bottom w:val="single" w:color="auto" w:sz="4" w:space="0"/>
              <w:right w:val="single" w:color="auto" w:sz="4" w:space="0"/>
            </w:tcBorders>
            <w:shd w:val="clear" w:color="auto" w:fill="auto"/>
            <w:vAlign w:val="center"/>
          </w:tcPr>
          <w:p w14:paraId="2D986F81">
            <w:pPr>
              <w:spacing w:line="360" w:lineRule="exact"/>
              <w:jc w:val="left"/>
              <w:rPr>
                <w:rFonts w:hint="eastAsia" w:ascii="宋体" w:hAnsi="宋体" w:eastAsia="宋体" w:cs="Times New Roman"/>
                <w:szCs w:val="21"/>
              </w:rPr>
            </w:pPr>
            <w:r>
              <w:rPr>
                <w:rFonts w:hint="eastAsia" w:ascii="宋体" w:hAnsi="宋体" w:eastAsia="宋体" w:cs="宋体"/>
                <w:color w:val="000000"/>
                <w:kern w:val="0"/>
                <w:szCs w:val="21"/>
              </w:rPr>
              <w:t>光伏组件用超薄超细焊带及高电流接线盒的研发及产业化</w:t>
            </w:r>
          </w:p>
        </w:tc>
        <w:tc>
          <w:tcPr>
            <w:tcW w:w="2179" w:type="pct"/>
            <w:tcBorders>
              <w:top w:val="nil"/>
              <w:left w:val="nil"/>
              <w:bottom w:val="single" w:color="auto" w:sz="4" w:space="0"/>
              <w:right w:val="single" w:color="auto" w:sz="4" w:space="0"/>
            </w:tcBorders>
            <w:shd w:val="clear" w:color="auto" w:fill="auto"/>
            <w:vAlign w:val="center"/>
          </w:tcPr>
          <w:p w14:paraId="62773D45">
            <w:pPr>
              <w:spacing w:line="360" w:lineRule="exact"/>
              <w:jc w:val="left"/>
              <w:rPr>
                <w:rFonts w:hint="eastAsia" w:ascii="宋体" w:hAnsi="宋体" w:eastAsia="宋体" w:cs="Times New Roman"/>
                <w:szCs w:val="21"/>
              </w:rPr>
            </w:pPr>
            <w:r>
              <w:rPr>
                <w:rFonts w:hint="eastAsia" w:ascii="宋体" w:hAnsi="宋体" w:eastAsia="宋体" w:cs="宋体"/>
                <w:color w:val="000000"/>
                <w:kern w:val="0"/>
                <w:szCs w:val="21"/>
              </w:rPr>
              <w:t>常州九天新能源科技股份有限公司</w:t>
            </w:r>
          </w:p>
        </w:tc>
      </w:tr>
      <w:tr w14:paraId="7052364D">
        <w:tblPrEx>
          <w:tblCellMar>
            <w:top w:w="0" w:type="dxa"/>
            <w:left w:w="108" w:type="dxa"/>
            <w:bottom w:w="0" w:type="dxa"/>
            <w:right w:w="108" w:type="dxa"/>
          </w:tblCellMar>
        </w:tblPrEx>
        <w:trPr>
          <w:trHeight w:val="559" w:hRule="atLeast"/>
        </w:trPr>
        <w:tc>
          <w:tcPr>
            <w:tcW w:w="482" w:type="pct"/>
            <w:tcBorders>
              <w:top w:val="nil"/>
              <w:left w:val="single" w:color="auto" w:sz="4" w:space="0"/>
              <w:bottom w:val="single" w:color="auto" w:sz="4" w:space="0"/>
              <w:right w:val="single" w:color="auto" w:sz="4" w:space="0"/>
            </w:tcBorders>
            <w:shd w:val="clear" w:color="auto" w:fill="auto"/>
            <w:noWrap/>
            <w:vAlign w:val="center"/>
          </w:tcPr>
          <w:p w14:paraId="0D486162">
            <w:pPr>
              <w:widowControl/>
              <w:spacing w:line="360" w:lineRule="exact"/>
              <w:jc w:val="center"/>
              <w:rPr>
                <w:rFonts w:hint="eastAsia" w:ascii="宋体" w:hAnsi="宋体" w:eastAsia="宋体" w:cs="Times New Roman"/>
                <w:kern w:val="0"/>
                <w:szCs w:val="21"/>
              </w:rPr>
            </w:pPr>
            <w:r>
              <w:rPr>
                <w:rFonts w:hint="eastAsia" w:ascii="宋体" w:hAnsi="宋体" w:eastAsia="宋体" w:cs="宋体"/>
                <w:kern w:val="0"/>
                <w:szCs w:val="21"/>
              </w:rPr>
              <w:t>15</w:t>
            </w:r>
          </w:p>
        </w:tc>
        <w:tc>
          <w:tcPr>
            <w:tcW w:w="2339" w:type="pct"/>
            <w:tcBorders>
              <w:top w:val="nil"/>
              <w:left w:val="nil"/>
              <w:bottom w:val="single" w:color="auto" w:sz="4" w:space="0"/>
              <w:right w:val="single" w:color="auto" w:sz="4" w:space="0"/>
            </w:tcBorders>
            <w:shd w:val="clear" w:color="auto" w:fill="auto"/>
            <w:vAlign w:val="center"/>
          </w:tcPr>
          <w:p w14:paraId="2CCC9716">
            <w:pPr>
              <w:spacing w:line="360" w:lineRule="exact"/>
              <w:jc w:val="left"/>
              <w:rPr>
                <w:rFonts w:hint="eastAsia" w:ascii="宋体" w:hAnsi="宋体" w:eastAsia="宋体" w:cs="Times New Roman"/>
                <w:szCs w:val="21"/>
              </w:rPr>
            </w:pPr>
            <w:r>
              <w:rPr>
                <w:rFonts w:hint="eastAsia" w:ascii="宋体" w:hAnsi="宋体" w:eastAsia="宋体" w:cs="宋体"/>
                <w:color w:val="000000"/>
                <w:kern w:val="0"/>
                <w:szCs w:val="21"/>
              </w:rPr>
              <w:t>高效大尺寸双面单晶硅太阳能电池的研发与产业化</w:t>
            </w:r>
          </w:p>
        </w:tc>
        <w:tc>
          <w:tcPr>
            <w:tcW w:w="2179" w:type="pct"/>
            <w:tcBorders>
              <w:top w:val="nil"/>
              <w:left w:val="nil"/>
              <w:bottom w:val="single" w:color="auto" w:sz="4" w:space="0"/>
              <w:right w:val="single" w:color="auto" w:sz="4" w:space="0"/>
            </w:tcBorders>
            <w:shd w:val="clear" w:color="auto" w:fill="auto"/>
            <w:vAlign w:val="center"/>
          </w:tcPr>
          <w:p w14:paraId="36975DB3">
            <w:pPr>
              <w:spacing w:line="360" w:lineRule="exact"/>
              <w:jc w:val="left"/>
              <w:rPr>
                <w:rFonts w:hint="eastAsia" w:ascii="宋体" w:hAnsi="宋体" w:eastAsia="宋体" w:cs="Times New Roman"/>
                <w:szCs w:val="21"/>
              </w:rPr>
            </w:pPr>
            <w:r>
              <w:rPr>
                <w:rFonts w:hint="eastAsia" w:ascii="宋体" w:hAnsi="宋体" w:eastAsia="宋体" w:cs="宋体"/>
                <w:color w:val="000000"/>
                <w:kern w:val="0"/>
                <w:szCs w:val="21"/>
              </w:rPr>
              <w:t>江苏格林保尔光伏有限公司</w:t>
            </w:r>
          </w:p>
        </w:tc>
      </w:tr>
      <w:tr w14:paraId="23924ADE">
        <w:tblPrEx>
          <w:tblCellMar>
            <w:top w:w="0" w:type="dxa"/>
            <w:left w:w="108" w:type="dxa"/>
            <w:bottom w:w="0" w:type="dxa"/>
            <w:right w:w="108" w:type="dxa"/>
          </w:tblCellMar>
        </w:tblPrEx>
        <w:trPr>
          <w:trHeight w:val="559" w:hRule="atLeast"/>
        </w:trPr>
        <w:tc>
          <w:tcPr>
            <w:tcW w:w="482" w:type="pct"/>
            <w:tcBorders>
              <w:top w:val="nil"/>
              <w:left w:val="single" w:color="auto" w:sz="4" w:space="0"/>
              <w:bottom w:val="single" w:color="auto" w:sz="4" w:space="0"/>
              <w:right w:val="single" w:color="auto" w:sz="4" w:space="0"/>
            </w:tcBorders>
            <w:shd w:val="clear" w:color="auto" w:fill="auto"/>
            <w:noWrap/>
            <w:vAlign w:val="center"/>
          </w:tcPr>
          <w:p w14:paraId="0255F45D">
            <w:pPr>
              <w:spacing w:line="360" w:lineRule="exact"/>
              <w:jc w:val="center"/>
              <w:rPr>
                <w:rFonts w:hint="eastAsia" w:ascii="宋体" w:hAnsi="宋体" w:eastAsia="宋体" w:cs="Times New Roman"/>
                <w:szCs w:val="21"/>
              </w:rPr>
            </w:pPr>
            <w:r>
              <w:rPr>
                <w:rFonts w:hint="eastAsia" w:ascii="宋体" w:hAnsi="宋体" w:eastAsia="宋体" w:cs="宋体"/>
                <w:kern w:val="0"/>
                <w:szCs w:val="21"/>
              </w:rPr>
              <w:t>16</w:t>
            </w:r>
          </w:p>
        </w:tc>
        <w:tc>
          <w:tcPr>
            <w:tcW w:w="2339" w:type="pct"/>
            <w:tcBorders>
              <w:top w:val="nil"/>
              <w:left w:val="nil"/>
              <w:bottom w:val="single" w:color="auto" w:sz="4" w:space="0"/>
              <w:right w:val="single" w:color="auto" w:sz="4" w:space="0"/>
            </w:tcBorders>
            <w:shd w:val="clear" w:color="auto" w:fill="auto"/>
            <w:vAlign w:val="center"/>
          </w:tcPr>
          <w:p w14:paraId="368C580C">
            <w:pPr>
              <w:spacing w:line="360" w:lineRule="exact"/>
              <w:jc w:val="left"/>
              <w:rPr>
                <w:rFonts w:hint="eastAsia" w:ascii="宋体" w:hAnsi="宋体" w:eastAsia="宋体" w:cs="Times New Roman"/>
                <w:szCs w:val="21"/>
              </w:rPr>
            </w:pPr>
            <w:r>
              <w:rPr>
                <w:rFonts w:hint="eastAsia" w:ascii="宋体" w:hAnsi="宋体" w:eastAsia="宋体" w:cs="宋体"/>
                <w:color w:val="000000"/>
                <w:kern w:val="0"/>
                <w:szCs w:val="21"/>
              </w:rPr>
              <w:t>国六排放增程式发动机尾气再循环EGR系统的研发及产业化</w:t>
            </w:r>
          </w:p>
        </w:tc>
        <w:tc>
          <w:tcPr>
            <w:tcW w:w="2179" w:type="pct"/>
            <w:tcBorders>
              <w:top w:val="nil"/>
              <w:left w:val="nil"/>
              <w:bottom w:val="single" w:color="auto" w:sz="4" w:space="0"/>
              <w:right w:val="single" w:color="auto" w:sz="4" w:space="0"/>
            </w:tcBorders>
            <w:shd w:val="clear" w:color="auto" w:fill="auto"/>
            <w:vAlign w:val="center"/>
          </w:tcPr>
          <w:p w14:paraId="322EB5FE">
            <w:pPr>
              <w:spacing w:line="360" w:lineRule="exact"/>
              <w:jc w:val="left"/>
              <w:rPr>
                <w:rFonts w:hint="eastAsia" w:ascii="宋体" w:hAnsi="宋体" w:eastAsia="宋体" w:cs="Times New Roman"/>
                <w:szCs w:val="21"/>
              </w:rPr>
            </w:pPr>
            <w:r>
              <w:rPr>
                <w:rFonts w:hint="eastAsia" w:ascii="宋体" w:hAnsi="宋体" w:eastAsia="宋体" w:cs="宋体"/>
                <w:color w:val="000000"/>
                <w:kern w:val="0"/>
                <w:szCs w:val="21"/>
              </w:rPr>
              <w:t>常州腾龙汽车零部件股份有限公司</w:t>
            </w:r>
          </w:p>
        </w:tc>
      </w:tr>
      <w:tr w14:paraId="5F641541">
        <w:tblPrEx>
          <w:tblCellMar>
            <w:top w:w="0" w:type="dxa"/>
            <w:left w:w="108" w:type="dxa"/>
            <w:bottom w:w="0" w:type="dxa"/>
            <w:right w:w="108" w:type="dxa"/>
          </w:tblCellMar>
        </w:tblPrEx>
        <w:trPr>
          <w:trHeight w:val="559" w:hRule="atLeast"/>
        </w:trPr>
        <w:tc>
          <w:tcPr>
            <w:tcW w:w="482" w:type="pct"/>
            <w:tcBorders>
              <w:top w:val="nil"/>
              <w:left w:val="single" w:color="auto" w:sz="4" w:space="0"/>
              <w:bottom w:val="single" w:color="auto" w:sz="4" w:space="0"/>
              <w:right w:val="single" w:color="auto" w:sz="4" w:space="0"/>
            </w:tcBorders>
            <w:shd w:val="clear" w:color="auto" w:fill="auto"/>
            <w:noWrap/>
            <w:vAlign w:val="center"/>
          </w:tcPr>
          <w:p w14:paraId="3E4EF300">
            <w:pPr>
              <w:spacing w:line="360" w:lineRule="exact"/>
              <w:jc w:val="center"/>
              <w:rPr>
                <w:rFonts w:hint="eastAsia" w:ascii="宋体" w:hAnsi="宋体" w:eastAsia="宋体" w:cs="Times New Roman"/>
                <w:szCs w:val="21"/>
              </w:rPr>
            </w:pPr>
            <w:r>
              <w:rPr>
                <w:rFonts w:hint="eastAsia" w:ascii="宋体" w:hAnsi="宋体" w:eastAsia="宋体" w:cs="宋体"/>
                <w:kern w:val="0"/>
                <w:szCs w:val="21"/>
              </w:rPr>
              <w:t>17</w:t>
            </w:r>
          </w:p>
        </w:tc>
        <w:tc>
          <w:tcPr>
            <w:tcW w:w="2339" w:type="pct"/>
            <w:tcBorders>
              <w:top w:val="nil"/>
              <w:left w:val="nil"/>
              <w:bottom w:val="single" w:color="auto" w:sz="4" w:space="0"/>
              <w:right w:val="single" w:color="auto" w:sz="4" w:space="0"/>
            </w:tcBorders>
            <w:shd w:val="clear" w:color="auto" w:fill="auto"/>
            <w:vAlign w:val="center"/>
          </w:tcPr>
          <w:p w14:paraId="75CD245C">
            <w:pPr>
              <w:spacing w:line="360" w:lineRule="exact"/>
              <w:jc w:val="left"/>
              <w:rPr>
                <w:rFonts w:hint="eastAsia" w:ascii="宋体" w:hAnsi="宋体" w:eastAsia="宋体" w:cs="Times New Roman"/>
                <w:szCs w:val="21"/>
              </w:rPr>
            </w:pPr>
            <w:r>
              <w:rPr>
                <w:rFonts w:hint="eastAsia" w:ascii="宋体" w:hAnsi="宋体" w:eastAsia="宋体" w:cs="宋体"/>
                <w:color w:val="000000"/>
                <w:kern w:val="0"/>
                <w:szCs w:val="21"/>
              </w:rPr>
              <w:t>基于RTK和MSIF技术的无人驾驶商用锂电草坪车研发及产业化</w:t>
            </w:r>
          </w:p>
        </w:tc>
        <w:tc>
          <w:tcPr>
            <w:tcW w:w="2179" w:type="pct"/>
            <w:tcBorders>
              <w:top w:val="nil"/>
              <w:left w:val="nil"/>
              <w:bottom w:val="single" w:color="auto" w:sz="4" w:space="0"/>
              <w:right w:val="single" w:color="auto" w:sz="4" w:space="0"/>
            </w:tcBorders>
            <w:shd w:val="clear" w:color="auto" w:fill="auto"/>
            <w:vAlign w:val="center"/>
          </w:tcPr>
          <w:p w14:paraId="3778819F">
            <w:pPr>
              <w:spacing w:line="360" w:lineRule="exact"/>
              <w:jc w:val="left"/>
              <w:rPr>
                <w:rFonts w:hint="eastAsia" w:ascii="宋体" w:hAnsi="宋体" w:eastAsia="宋体" w:cs="Times New Roman"/>
                <w:szCs w:val="21"/>
              </w:rPr>
            </w:pPr>
            <w:r>
              <w:rPr>
                <w:rFonts w:hint="eastAsia" w:ascii="宋体" w:hAnsi="宋体" w:eastAsia="宋体" w:cs="宋体"/>
                <w:color w:val="000000"/>
                <w:kern w:val="0"/>
                <w:szCs w:val="21"/>
              </w:rPr>
              <w:t>格力博（江苏）股份有限公司</w:t>
            </w:r>
          </w:p>
        </w:tc>
      </w:tr>
      <w:tr w14:paraId="6E9372A6">
        <w:tblPrEx>
          <w:tblCellMar>
            <w:top w:w="0" w:type="dxa"/>
            <w:left w:w="108" w:type="dxa"/>
            <w:bottom w:w="0" w:type="dxa"/>
            <w:right w:w="108" w:type="dxa"/>
          </w:tblCellMar>
        </w:tblPrEx>
        <w:trPr>
          <w:trHeight w:val="559" w:hRule="atLeast"/>
        </w:trPr>
        <w:tc>
          <w:tcPr>
            <w:tcW w:w="482" w:type="pct"/>
            <w:tcBorders>
              <w:top w:val="nil"/>
              <w:left w:val="single" w:color="auto" w:sz="4" w:space="0"/>
              <w:bottom w:val="single" w:color="auto" w:sz="4" w:space="0"/>
              <w:right w:val="single" w:color="auto" w:sz="4" w:space="0"/>
            </w:tcBorders>
            <w:shd w:val="clear" w:color="auto" w:fill="auto"/>
            <w:noWrap/>
            <w:vAlign w:val="center"/>
          </w:tcPr>
          <w:p w14:paraId="3A615AF8">
            <w:pPr>
              <w:widowControl/>
              <w:spacing w:line="360" w:lineRule="exact"/>
              <w:jc w:val="center"/>
              <w:rPr>
                <w:rFonts w:hint="eastAsia" w:ascii="宋体" w:hAnsi="宋体" w:eastAsia="宋体" w:cs="Times New Roman"/>
                <w:kern w:val="0"/>
                <w:szCs w:val="21"/>
              </w:rPr>
            </w:pPr>
            <w:r>
              <w:rPr>
                <w:rFonts w:hint="eastAsia" w:ascii="宋体" w:hAnsi="宋体" w:eastAsia="宋体" w:cs="宋体"/>
                <w:kern w:val="0"/>
                <w:szCs w:val="21"/>
              </w:rPr>
              <w:t>18</w:t>
            </w:r>
          </w:p>
        </w:tc>
        <w:tc>
          <w:tcPr>
            <w:tcW w:w="2339" w:type="pct"/>
            <w:tcBorders>
              <w:top w:val="nil"/>
              <w:left w:val="nil"/>
              <w:bottom w:val="single" w:color="auto" w:sz="4" w:space="0"/>
              <w:right w:val="single" w:color="auto" w:sz="4" w:space="0"/>
            </w:tcBorders>
            <w:shd w:val="clear" w:color="auto" w:fill="auto"/>
            <w:vAlign w:val="center"/>
          </w:tcPr>
          <w:p w14:paraId="43EBB0D6">
            <w:pPr>
              <w:spacing w:line="360" w:lineRule="exact"/>
              <w:jc w:val="left"/>
              <w:rPr>
                <w:rFonts w:hint="eastAsia" w:ascii="宋体" w:hAnsi="宋体" w:eastAsia="宋体" w:cs="Times New Roman"/>
                <w:szCs w:val="21"/>
              </w:rPr>
            </w:pPr>
            <w:r>
              <w:rPr>
                <w:rFonts w:hint="eastAsia" w:ascii="宋体" w:hAnsi="宋体" w:eastAsia="宋体" w:cs="宋体"/>
                <w:color w:val="000000"/>
                <w:kern w:val="0"/>
                <w:szCs w:val="21"/>
              </w:rPr>
              <w:t>氢能自行车及分布式氢能数字化平台的研发及产业化</w:t>
            </w:r>
          </w:p>
        </w:tc>
        <w:tc>
          <w:tcPr>
            <w:tcW w:w="2179" w:type="pct"/>
            <w:tcBorders>
              <w:top w:val="nil"/>
              <w:left w:val="nil"/>
              <w:bottom w:val="single" w:color="auto" w:sz="4" w:space="0"/>
              <w:right w:val="single" w:color="auto" w:sz="4" w:space="0"/>
            </w:tcBorders>
            <w:shd w:val="clear" w:color="auto" w:fill="auto"/>
            <w:vAlign w:val="center"/>
          </w:tcPr>
          <w:p w14:paraId="4CD4B7F6">
            <w:pPr>
              <w:spacing w:line="360" w:lineRule="exact"/>
              <w:jc w:val="left"/>
              <w:rPr>
                <w:rFonts w:hint="eastAsia" w:ascii="宋体" w:hAnsi="宋体" w:eastAsia="宋体" w:cs="Times New Roman"/>
                <w:szCs w:val="21"/>
              </w:rPr>
            </w:pPr>
            <w:r>
              <w:rPr>
                <w:rFonts w:hint="eastAsia" w:ascii="宋体" w:hAnsi="宋体" w:eastAsia="宋体" w:cs="宋体"/>
                <w:color w:val="000000"/>
                <w:kern w:val="0"/>
                <w:szCs w:val="21"/>
              </w:rPr>
              <w:t>永安行科技股份有限公司</w:t>
            </w:r>
          </w:p>
        </w:tc>
      </w:tr>
      <w:tr w14:paraId="5ED3D7E3">
        <w:tblPrEx>
          <w:tblCellMar>
            <w:top w:w="0" w:type="dxa"/>
            <w:left w:w="108" w:type="dxa"/>
            <w:bottom w:w="0" w:type="dxa"/>
            <w:right w:w="108" w:type="dxa"/>
          </w:tblCellMar>
        </w:tblPrEx>
        <w:trPr>
          <w:trHeight w:val="559" w:hRule="atLeast"/>
        </w:trPr>
        <w:tc>
          <w:tcPr>
            <w:tcW w:w="482" w:type="pct"/>
            <w:tcBorders>
              <w:top w:val="nil"/>
              <w:left w:val="single" w:color="auto" w:sz="4" w:space="0"/>
              <w:bottom w:val="single" w:color="auto" w:sz="4" w:space="0"/>
              <w:right w:val="single" w:color="auto" w:sz="4" w:space="0"/>
            </w:tcBorders>
            <w:shd w:val="clear" w:color="auto" w:fill="auto"/>
            <w:noWrap/>
            <w:vAlign w:val="center"/>
          </w:tcPr>
          <w:p w14:paraId="0CD928E4">
            <w:pPr>
              <w:spacing w:line="360" w:lineRule="exact"/>
              <w:jc w:val="center"/>
              <w:rPr>
                <w:rFonts w:hint="eastAsia" w:ascii="宋体" w:hAnsi="宋体" w:eastAsia="宋体" w:cs="Times New Roman"/>
                <w:szCs w:val="21"/>
              </w:rPr>
            </w:pPr>
            <w:r>
              <w:rPr>
                <w:rFonts w:hint="eastAsia" w:ascii="宋体" w:hAnsi="宋体" w:eastAsia="宋体" w:cs="宋体"/>
                <w:kern w:val="0"/>
                <w:szCs w:val="21"/>
              </w:rPr>
              <w:t>19</w:t>
            </w:r>
          </w:p>
        </w:tc>
        <w:tc>
          <w:tcPr>
            <w:tcW w:w="2339" w:type="pct"/>
            <w:tcBorders>
              <w:top w:val="nil"/>
              <w:left w:val="nil"/>
              <w:bottom w:val="single" w:color="auto" w:sz="4" w:space="0"/>
              <w:right w:val="single" w:color="auto" w:sz="4" w:space="0"/>
            </w:tcBorders>
            <w:shd w:val="clear" w:color="auto" w:fill="auto"/>
            <w:vAlign w:val="center"/>
          </w:tcPr>
          <w:p w14:paraId="02026482">
            <w:pPr>
              <w:spacing w:line="360" w:lineRule="exact"/>
              <w:jc w:val="left"/>
              <w:rPr>
                <w:rFonts w:hint="eastAsia" w:ascii="宋体" w:hAnsi="宋体" w:eastAsia="宋体" w:cs="Times New Roman"/>
                <w:szCs w:val="21"/>
              </w:rPr>
            </w:pPr>
            <w:r>
              <w:rPr>
                <w:rFonts w:hint="eastAsia" w:ascii="宋体" w:hAnsi="宋体" w:eastAsia="宋体" w:cs="宋体"/>
                <w:color w:val="000000"/>
                <w:kern w:val="0"/>
                <w:szCs w:val="21"/>
              </w:rPr>
              <w:t>新能源汽车SiC芯片及功率器件关键技术开发</w:t>
            </w:r>
          </w:p>
        </w:tc>
        <w:tc>
          <w:tcPr>
            <w:tcW w:w="2179" w:type="pct"/>
            <w:tcBorders>
              <w:top w:val="nil"/>
              <w:left w:val="nil"/>
              <w:bottom w:val="single" w:color="auto" w:sz="4" w:space="0"/>
              <w:right w:val="single" w:color="auto" w:sz="4" w:space="0"/>
            </w:tcBorders>
            <w:shd w:val="clear" w:color="auto" w:fill="auto"/>
            <w:vAlign w:val="center"/>
          </w:tcPr>
          <w:p w14:paraId="32D688BE">
            <w:pPr>
              <w:spacing w:line="360" w:lineRule="exact"/>
              <w:jc w:val="left"/>
              <w:rPr>
                <w:rFonts w:hint="eastAsia" w:ascii="宋体" w:hAnsi="宋体" w:eastAsia="宋体" w:cs="Times New Roman"/>
                <w:szCs w:val="21"/>
              </w:rPr>
            </w:pPr>
            <w:r>
              <w:rPr>
                <w:rFonts w:hint="eastAsia" w:ascii="宋体" w:hAnsi="宋体" w:eastAsia="宋体" w:cs="宋体"/>
                <w:color w:val="000000"/>
                <w:kern w:val="0"/>
                <w:szCs w:val="21"/>
              </w:rPr>
              <w:t>江苏宏微科技股份有限公司</w:t>
            </w:r>
          </w:p>
        </w:tc>
      </w:tr>
      <w:tr w14:paraId="5833E714">
        <w:tblPrEx>
          <w:tblCellMar>
            <w:top w:w="0" w:type="dxa"/>
            <w:left w:w="108" w:type="dxa"/>
            <w:bottom w:w="0" w:type="dxa"/>
            <w:right w:w="108" w:type="dxa"/>
          </w:tblCellMar>
        </w:tblPrEx>
        <w:trPr>
          <w:trHeight w:val="559" w:hRule="atLeast"/>
        </w:trPr>
        <w:tc>
          <w:tcPr>
            <w:tcW w:w="482" w:type="pct"/>
            <w:tcBorders>
              <w:top w:val="nil"/>
              <w:left w:val="single" w:color="auto" w:sz="4" w:space="0"/>
              <w:bottom w:val="single" w:color="auto" w:sz="4" w:space="0"/>
              <w:right w:val="single" w:color="auto" w:sz="4" w:space="0"/>
            </w:tcBorders>
            <w:shd w:val="clear" w:color="auto" w:fill="auto"/>
            <w:noWrap/>
            <w:vAlign w:val="center"/>
          </w:tcPr>
          <w:p w14:paraId="000DFB42">
            <w:pPr>
              <w:spacing w:line="360" w:lineRule="exact"/>
              <w:jc w:val="center"/>
              <w:rPr>
                <w:rFonts w:hint="eastAsia" w:ascii="宋体" w:hAnsi="宋体" w:eastAsia="宋体" w:cs="Times New Roman"/>
                <w:szCs w:val="21"/>
              </w:rPr>
            </w:pPr>
            <w:r>
              <w:rPr>
                <w:rFonts w:hint="eastAsia" w:ascii="宋体" w:hAnsi="宋体" w:eastAsia="宋体" w:cs="宋体"/>
                <w:kern w:val="0"/>
                <w:szCs w:val="21"/>
              </w:rPr>
              <w:t>20</w:t>
            </w:r>
          </w:p>
        </w:tc>
        <w:tc>
          <w:tcPr>
            <w:tcW w:w="2339" w:type="pct"/>
            <w:tcBorders>
              <w:top w:val="nil"/>
              <w:left w:val="nil"/>
              <w:bottom w:val="single" w:color="auto" w:sz="4" w:space="0"/>
              <w:right w:val="single" w:color="auto" w:sz="4" w:space="0"/>
            </w:tcBorders>
            <w:shd w:val="clear" w:color="auto" w:fill="auto"/>
            <w:vAlign w:val="center"/>
          </w:tcPr>
          <w:p w14:paraId="336CB3A5">
            <w:pPr>
              <w:spacing w:line="360" w:lineRule="exact"/>
              <w:jc w:val="left"/>
              <w:rPr>
                <w:rFonts w:hint="eastAsia" w:ascii="宋体" w:hAnsi="宋体" w:eastAsia="宋体" w:cs="Times New Roman"/>
                <w:szCs w:val="21"/>
              </w:rPr>
            </w:pPr>
            <w:r>
              <w:rPr>
                <w:rFonts w:hint="eastAsia" w:ascii="宋体" w:hAnsi="宋体" w:eastAsia="宋体" w:cs="宋体"/>
                <w:color w:val="000000"/>
                <w:kern w:val="0"/>
                <w:szCs w:val="21"/>
              </w:rPr>
              <w:t>智能光储充一体化系统的研发及产业化</w:t>
            </w:r>
          </w:p>
        </w:tc>
        <w:tc>
          <w:tcPr>
            <w:tcW w:w="2179" w:type="pct"/>
            <w:tcBorders>
              <w:top w:val="nil"/>
              <w:left w:val="nil"/>
              <w:bottom w:val="single" w:color="auto" w:sz="4" w:space="0"/>
              <w:right w:val="single" w:color="auto" w:sz="4" w:space="0"/>
            </w:tcBorders>
            <w:shd w:val="clear" w:color="auto" w:fill="auto"/>
            <w:vAlign w:val="center"/>
          </w:tcPr>
          <w:p w14:paraId="3A423D08">
            <w:pPr>
              <w:spacing w:line="360" w:lineRule="exact"/>
              <w:jc w:val="left"/>
              <w:rPr>
                <w:rFonts w:hint="eastAsia" w:ascii="宋体" w:hAnsi="宋体" w:eastAsia="宋体" w:cs="Times New Roman"/>
                <w:szCs w:val="21"/>
              </w:rPr>
            </w:pPr>
            <w:r>
              <w:rPr>
                <w:rFonts w:hint="eastAsia" w:ascii="宋体" w:hAnsi="宋体" w:eastAsia="宋体" w:cs="宋体"/>
                <w:color w:val="000000"/>
                <w:kern w:val="0"/>
                <w:szCs w:val="21"/>
              </w:rPr>
              <w:t>江苏正辉太阳能电力有限公司</w:t>
            </w:r>
          </w:p>
        </w:tc>
      </w:tr>
      <w:tr w14:paraId="52CBE3DB">
        <w:tblPrEx>
          <w:tblCellMar>
            <w:top w:w="0" w:type="dxa"/>
            <w:left w:w="108" w:type="dxa"/>
            <w:bottom w:w="0" w:type="dxa"/>
            <w:right w:w="108" w:type="dxa"/>
          </w:tblCellMar>
        </w:tblPrEx>
        <w:trPr>
          <w:trHeight w:val="559" w:hRule="atLeast"/>
        </w:trPr>
        <w:tc>
          <w:tcPr>
            <w:tcW w:w="482" w:type="pct"/>
            <w:tcBorders>
              <w:top w:val="nil"/>
              <w:left w:val="single" w:color="auto" w:sz="4" w:space="0"/>
              <w:bottom w:val="single" w:color="auto" w:sz="4" w:space="0"/>
              <w:right w:val="single" w:color="auto" w:sz="4" w:space="0"/>
            </w:tcBorders>
            <w:shd w:val="clear" w:color="auto" w:fill="auto"/>
            <w:noWrap/>
            <w:vAlign w:val="center"/>
          </w:tcPr>
          <w:p w14:paraId="6168B6F4">
            <w:pPr>
              <w:spacing w:line="360" w:lineRule="exact"/>
              <w:jc w:val="center"/>
              <w:rPr>
                <w:rFonts w:hint="eastAsia" w:ascii="宋体" w:hAnsi="宋体" w:eastAsia="宋体" w:cs="Times New Roman"/>
                <w:szCs w:val="21"/>
              </w:rPr>
            </w:pPr>
            <w:r>
              <w:rPr>
                <w:rFonts w:hint="eastAsia" w:ascii="宋体" w:hAnsi="宋体" w:eastAsia="宋体" w:cs="宋体"/>
                <w:kern w:val="0"/>
                <w:szCs w:val="21"/>
              </w:rPr>
              <w:t>21</w:t>
            </w:r>
          </w:p>
        </w:tc>
        <w:tc>
          <w:tcPr>
            <w:tcW w:w="2339" w:type="pct"/>
            <w:tcBorders>
              <w:top w:val="nil"/>
              <w:left w:val="nil"/>
              <w:bottom w:val="single" w:color="auto" w:sz="4" w:space="0"/>
              <w:right w:val="single" w:color="auto" w:sz="4" w:space="0"/>
            </w:tcBorders>
            <w:shd w:val="clear" w:color="auto" w:fill="auto"/>
            <w:vAlign w:val="center"/>
          </w:tcPr>
          <w:p w14:paraId="093F8BA1">
            <w:pPr>
              <w:spacing w:line="360" w:lineRule="exact"/>
              <w:jc w:val="left"/>
              <w:rPr>
                <w:rFonts w:hint="eastAsia" w:ascii="宋体" w:hAnsi="宋体" w:eastAsia="宋体" w:cs="Times New Roman"/>
                <w:szCs w:val="21"/>
              </w:rPr>
            </w:pPr>
            <w:r>
              <w:rPr>
                <w:rFonts w:hint="eastAsia" w:ascii="宋体" w:hAnsi="宋体" w:eastAsia="宋体" w:cs="宋体"/>
                <w:color w:val="000000"/>
                <w:kern w:val="0"/>
                <w:szCs w:val="21"/>
              </w:rPr>
              <w:t>新能源汽车主驱系统用高精密旋转变压器的研发及产业化</w:t>
            </w:r>
          </w:p>
        </w:tc>
        <w:tc>
          <w:tcPr>
            <w:tcW w:w="2179" w:type="pct"/>
            <w:tcBorders>
              <w:top w:val="nil"/>
              <w:left w:val="nil"/>
              <w:bottom w:val="single" w:color="auto" w:sz="4" w:space="0"/>
              <w:right w:val="single" w:color="auto" w:sz="4" w:space="0"/>
            </w:tcBorders>
            <w:shd w:val="clear" w:color="auto" w:fill="auto"/>
            <w:vAlign w:val="center"/>
          </w:tcPr>
          <w:p w14:paraId="65DC62EC">
            <w:pPr>
              <w:spacing w:line="360" w:lineRule="exact"/>
              <w:jc w:val="left"/>
              <w:rPr>
                <w:rFonts w:hint="eastAsia" w:ascii="宋体" w:hAnsi="宋体" w:eastAsia="宋体" w:cs="Times New Roman"/>
                <w:szCs w:val="21"/>
              </w:rPr>
            </w:pPr>
            <w:r>
              <w:rPr>
                <w:rFonts w:hint="eastAsia" w:ascii="宋体" w:hAnsi="宋体" w:eastAsia="宋体" w:cs="宋体"/>
                <w:color w:val="000000"/>
                <w:kern w:val="0"/>
                <w:szCs w:val="21"/>
              </w:rPr>
              <w:t>常州华旋传感技术有限公司</w:t>
            </w:r>
          </w:p>
        </w:tc>
      </w:tr>
      <w:tr w14:paraId="70666411">
        <w:tblPrEx>
          <w:tblCellMar>
            <w:top w:w="0" w:type="dxa"/>
            <w:left w:w="108" w:type="dxa"/>
            <w:bottom w:w="0" w:type="dxa"/>
            <w:right w:w="108" w:type="dxa"/>
          </w:tblCellMar>
        </w:tblPrEx>
        <w:trPr>
          <w:trHeight w:val="559" w:hRule="atLeast"/>
        </w:trPr>
        <w:tc>
          <w:tcPr>
            <w:tcW w:w="482" w:type="pct"/>
            <w:tcBorders>
              <w:top w:val="nil"/>
              <w:left w:val="single" w:color="auto" w:sz="4" w:space="0"/>
              <w:bottom w:val="single" w:color="auto" w:sz="4" w:space="0"/>
              <w:right w:val="single" w:color="auto" w:sz="4" w:space="0"/>
            </w:tcBorders>
            <w:shd w:val="clear" w:color="auto" w:fill="auto"/>
            <w:noWrap/>
            <w:vAlign w:val="center"/>
          </w:tcPr>
          <w:p w14:paraId="4F3CB29D">
            <w:pPr>
              <w:spacing w:line="360" w:lineRule="exact"/>
              <w:jc w:val="center"/>
              <w:rPr>
                <w:rFonts w:hint="eastAsia" w:ascii="宋体" w:hAnsi="宋体" w:eastAsia="宋体" w:cs="Times New Roman"/>
                <w:szCs w:val="21"/>
              </w:rPr>
            </w:pPr>
            <w:r>
              <w:rPr>
                <w:rFonts w:hint="eastAsia" w:ascii="宋体" w:hAnsi="宋体" w:eastAsia="宋体" w:cs="宋体"/>
                <w:kern w:val="0"/>
                <w:szCs w:val="21"/>
              </w:rPr>
              <w:t>22</w:t>
            </w:r>
          </w:p>
        </w:tc>
        <w:tc>
          <w:tcPr>
            <w:tcW w:w="2339" w:type="pct"/>
            <w:tcBorders>
              <w:top w:val="nil"/>
              <w:left w:val="nil"/>
              <w:bottom w:val="single" w:color="auto" w:sz="4" w:space="0"/>
              <w:right w:val="single" w:color="auto" w:sz="4" w:space="0"/>
            </w:tcBorders>
            <w:shd w:val="clear" w:color="auto" w:fill="auto"/>
            <w:vAlign w:val="center"/>
          </w:tcPr>
          <w:p w14:paraId="669D1D28">
            <w:pPr>
              <w:spacing w:line="360" w:lineRule="exact"/>
              <w:jc w:val="left"/>
              <w:rPr>
                <w:rFonts w:hint="eastAsia" w:ascii="宋体" w:hAnsi="宋体" w:eastAsia="宋体" w:cs="Times New Roman"/>
                <w:szCs w:val="21"/>
              </w:rPr>
            </w:pPr>
            <w:r>
              <w:rPr>
                <w:rFonts w:hint="eastAsia" w:ascii="宋体" w:hAnsi="宋体" w:eastAsia="宋体" w:cs="宋体"/>
                <w:color w:val="000000"/>
                <w:kern w:val="0"/>
                <w:szCs w:val="21"/>
              </w:rPr>
              <w:t>基于CAN架构的快装电驱系统的研发及产业化</w:t>
            </w:r>
          </w:p>
        </w:tc>
        <w:tc>
          <w:tcPr>
            <w:tcW w:w="2179" w:type="pct"/>
            <w:tcBorders>
              <w:top w:val="nil"/>
              <w:left w:val="nil"/>
              <w:bottom w:val="single" w:color="auto" w:sz="4" w:space="0"/>
              <w:right w:val="single" w:color="auto" w:sz="4" w:space="0"/>
            </w:tcBorders>
            <w:shd w:val="clear" w:color="auto" w:fill="auto"/>
            <w:vAlign w:val="center"/>
          </w:tcPr>
          <w:p w14:paraId="3474657E">
            <w:pPr>
              <w:spacing w:line="360" w:lineRule="exact"/>
              <w:jc w:val="left"/>
              <w:rPr>
                <w:rFonts w:hint="eastAsia" w:ascii="宋体" w:hAnsi="宋体" w:eastAsia="宋体" w:cs="Times New Roman"/>
                <w:szCs w:val="21"/>
              </w:rPr>
            </w:pPr>
            <w:r>
              <w:rPr>
                <w:rFonts w:hint="eastAsia" w:ascii="宋体" w:hAnsi="宋体" w:eastAsia="宋体" w:cs="宋体"/>
                <w:color w:val="000000"/>
                <w:kern w:val="0"/>
                <w:szCs w:val="21"/>
              </w:rPr>
              <w:t>常州市凯迪电器股份有限公司</w:t>
            </w:r>
          </w:p>
        </w:tc>
      </w:tr>
      <w:tr w14:paraId="22A6F1F2">
        <w:tblPrEx>
          <w:tblCellMar>
            <w:top w:w="0" w:type="dxa"/>
            <w:left w:w="108" w:type="dxa"/>
            <w:bottom w:w="0" w:type="dxa"/>
            <w:right w:w="108" w:type="dxa"/>
          </w:tblCellMar>
        </w:tblPrEx>
        <w:trPr>
          <w:trHeight w:val="559" w:hRule="atLeast"/>
        </w:trPr>
        <w:tc>
          <w:tcPr>
            <w:tcW w:w="482" w:type="pct"/>
            <w:tcBorders>
              <w:top w:val="nil"/>
              <w:left w:val="single" w:color="auto" w:sz="4" w:space="0"/>
              <w:bottom w:val="single" w:color="auto" w:sz="4" w:space="0"/>
              <w:right w:val="single" w:color="auto" w:sz="4" w:space="0"/>
            </w:tcBorders>
            <w:shd w:val="clear" w:color="auto" w:fill="auto"/>
            <w:noWrap/>
            <w:vAlign w:val="center"/>
          </w:tcPr>
          <w:p w14:paraId="40263DCF">
            <w:pPr>
              <w:spacing w:line="360" w:lineRule="exact"/>
              <w:jc w:val="center"/>
              <w:rPr>
                <w:rFonts w:hint="eastAsia" w:ascii="宋体" w:hAnsi="宋体" w:eastAsia="宋体" w:cs="Times New Roman"/>
                <w:szCs w:val="21"/>
              </w:rPr>
            </w:pPr>
            <w:r>
              <w:rPr>
                <w:rFonts w:hint="eastAsia" w:ascii="宋体" w:hAnsi="宋体" w:eastAsia="宋体" w:cs="宋体"/>
                <w:kern w:val="0"/>
                <w:szCs w:val="21"/>
              </w:rPr>
              <w:t>23</w:t>
            </w:r>
          </w:p>
        </w:tc>
        <w:tc>
          <w:tcPr>
            <w:tcW w:w="2339" w:type="pct"/>
            <w:tcBorders>
              <w:top w:val="nil"/>
              <w:left w:val="nil"/>
              <w:bottom w:val="single" w:color="auto" w:sz="4" w:space="0"/>
              <w:right w:val="single" w:color="auto" w:sz="4" w:space="0"/>
            </w:tcBorders>
            <w:shd w:val="clear" w:color="auto" w:fill="auto"/>
            <w:vAlign w:val="center"/>
          </w:tcPr>
          <w:p w14:paraId="161E0319">
            <w:pPr>
              <w:spacing w:line="360" w:lineRule="exact"/>
              <w:jc w:val="left"/>
              <w:rPr>
                <w:rFonts w:hint="eastAsia" w:ascii="宋体" w:hAnsi="宋体" w:eastAsia="宋体" w:cs="Times New Roman"/>
                <w:szCs w:val="21"/>
              </w:rPr>
            </w:pPr>
            <w:r>
              <w:rPr>
                <w:rFonts w:hint="eastAsia" w:ascii="宋体" w:hAnsi="宋体" w:eastAsia="宋体" w:cs="宋体"/>
                <w:color w:val="000000"/>
                <w:kern w:val="0"/>
                <w:szCs w:val="21"/>
              </w:rPr>
              <w:t>高效智能残膜回收机的研发及产业化</w:t>
            </w:r>
          </w:p>
        </w:tc>
        <w:tc>
          <w:tcPr>
            <w:tcW w:w="2179" w:type="pct"/>
            <w:tcBorders>
              <w:top w:val="nil"/>
              <w:left w:val="nil"/>
              <w:bottom w:val="single" w:color="auto" w:sz="4" w:space="0"/>
              <w:right w:val="single" w:color="auto" w:sz="4" w:space="0"/>
            </w:tcBorders>
            <w:shd w:val="clear" w:color="auto" w:fill="auto"/>
            <w:vAlign w:val="center"/>
          </w:tcPr>
          <w:p w14:paraId="186981D8">
            <w:pPr>
              <w:spacing w:line="360" w:lineRule="exact"/>
              <w:jc w:val="left"/>
              <w:rPr>
                <w:rFonts w:hint="eastAsia" w:ascii="宋体" w:hAnsi="宋体" w:eastAsia="宋体" w:cs="Times New Roman"/>
                <w:szCs w:val="21"/>
              </w:rPr>
            </w:pPr>
            <w:r>
              <w:rPr>
                <w:rFonts w:hint="eastAsia" w:ascii="宋体" w:hAnsi="宋体" w:eastAsia="宋体" w:cs="宋体"/>
                <w:color w:val="000000"/>
                <w:kern w:val="0"/>
                <w:szCs w:val="21"/>
              </w:rPr>
              <w:t>常州汉森机械股份有限公司</w:t>
            </w:r>
          </w:p>
        </w:tc>
      </w:tr>
      <w:tr w14:paraId="3172518D">
        <w:tblPrEx>
          <w:tblCellMar>
            <w:top w:w="0" w:type="dxa"/>
            <w:left w:w="108" w:type="dxa"/>
            <w:bottom w:w="0" w:type="dxa"/>
            <w:right w:w="108" w:type="dxa"/>
          </w:tblCellMar>
        </w:tblPrEx>
        <w:trPr>
          <w:trHeight w:val="559" w:hRule="atLeast"/>
        </w:trPr>
        <w:tc>
          <w:tcPr>
            <w:tcW w:w="482" w:type="pct"/>
            <w:tcBorders>
              <w:top w:val="nil"/>
              <w:left w:val="single" w:color="auto" w:sz="4" w:space="0"/>
              <w:bottom w:val="single" w:color="auto" w:sz="4" w:space="0"/>
              <w:right w:val="single" w:color="auto" w:sz="4" w:space="0"/>
            </w:tcBorders>
            <w:shd w:val="clear" w:color="auto" w:fill="auto"/>
            <w:noWrap/>
            <w:vAlign w:val="center"/>
          </w:tcPr>
          <w:p w14:paraId="252546E7">
            <w:pPr>
              <w:spacing w:line="360" w:lineRule="exact"/>
              <w:jc w:val="center"/>
              <w:rPr>
                <w:rFonts w:hint="eastAsia" w:ascii="宋体" w:hAnsi="宋体" w:eastAsia="宋体" w:cs="Times New Roman"/>
                <w:szCs w:val="21"/>
              </w:rPr>
            </w:pPr>
            <w:r>
              <w:rPr>
                <w:rFonts w:hint="eastAsia" w:ascii="宋体" w:hAnsi="宋体" w:eastAsia="宋体" w:cs="宋体"/>
                <w:kern w:val="0"/>
                <w:szCs w:val="21"/>
              </w:rPr>
              <w:t>24</w:t>
            </w:r>
          </w:p>
        </w:tc>
        <w:tc>
          <w:tcPr>
            <w:tcW w:w="2339" w:type="pct"/>
            <w:tcBorders>
              <w:top w:val="nil"/>
              <w:left w:val="nil"/>
              <w:bottom w:val="single" w:color="auto" w:sz="4" w:space="0"/>
              <w:right w:val="single" w:color="auto" w:sz="4" w:space="0"/>
            </w:tcBorders>
            <w:shd w:val="clear" w:color="auto" w:fill="auto"/>
            <w:vAlign w:val="center"/>
          </w:tcPr>
          <w:p w14:paraId="221DC132">
            <w:pPr>
              <w:spacing w:line="360" w:lineRule="exact"/>
              <w:jc w:val="left"/>
              <w:rPr>
                <w:rFonts w:hint="eastAsia" w:ascii="宋体" w:hAnsi="宋体" w:eastAsia="宋体" w:cs="Times New Roman"/>
                <w:szCs w:val="21"/>
              </w:rPr>
            </w:pPr>
            <w:r>
              <w:rPr>
                <w:rFonts w:hint="eastAsia" w:ascii="宋体" w:hAnsi="宋体" w:eastAsia="宋体" w:cs="宋体"/>
                <w:color w:val="000000"/>
                <w:kern w:val="0"/>
                <w:szCs w:val="21"/>
              </w:rPr>
              <w:t>低油耗快启动微小型航空涡喷发动机的研发及产业化</w:t>
            </w:r>
          </w:p>
        </w:tc>
        <w:tc>
          <w:tcPr>
            <w:tcW w:w="2179" w:type="pct"/>
            <w:tcBorders>
              <w:top w:val="nil"/>
              <w:left w:val="nil"/>
              <w:bottom w:val="single" w:color="auto" w:sz="4" w:space="0"/>
              <w:right w:val="single" w:color="auto" w:sz="4" w:space="0"/>
            </w:tcBorders>
            <w:shd w:val="clear" w:color="auto" w:fill="auto"/>
            <w:vAlign w:val="center"/>
          </w:tcPr>
          <w:p w14:paraId="6A895442">
            <w:pPr>
              <w:spacing w:line="360" w:lineRule="exact"/>
              <w:jc w:val="left"/>
              <w:rPr>
                <w:rFonts w:hint="eastAsia" w:ascii="宋体" w:hAnsi="宋体" w:eastAsia="宋体" w:cs="Times New Roman"/>
                <w:szCs w:val="21"/>
              </w:rPr>
            </w:pPr>
            <w:r>
              <w:rPr>
                <w:rFonts w:hint="eastAsia" w:ascii="宋体" w:hAnsi="宋体" w:eastAsia="宋体" w:cs="宋体"/>
                <w:color w:val="000000"/>
                <w:kern w:val="0"/>
                <w:szCs w:val="21"/>
              </w:rPr>
              <w:t>常州环能涡轮动力股份有限公司</w:t>
            </w:r>
          </w:p>
        </w:tc>
      </w:tr>
      <w:tr w14:paraId="1EFAEC68">
        <w:tblPrEx>
          <w:tblCellMar>
            <w:top w:w="0" w:type="dxa"/>
            <w:left w:w="108" w:type="dxa"/>
            <w:bottom w:w="0" w:type="dxa"/>
            <w:right w:w="108" w:type="dxa"/>
          </w:tblCellMar>
        </w:tblPrEx>
        <w:trPr>
          <w:trHeight w:val="559" w:hRule="atLeast"/>
        </w:trPr>
        <w:tc>
          <w:tcPr>
            <w:tcW w:w="482" w:type="pct"/>
            <w:tcBorders>
              <w:top w:val="nil"/>
              <w:left w:val="single" w:color="auto" w:sz="4" w:space="0"/>
              <w:bottom w:val="single" w:color="auto" w:sz="4" w:space="0"/>
              <w:right w:val="single" w:color="auto" w:sz="4" w:space="0"/>
            </w:tcBorders>
            <w:shd w:val="clear" w:color="auto" w:fill="auto"/>
            <w:noWrap/>
            <w:vAlign w:val="center"/>
          </w:tcPr>
          <w:p w14:paraId="21A7CCD1">
            <w:pPr>
              <w:spacing w:line="360" w:lineRule="exact"/>
              <w:jc w:val="center"/>
              <w:rPr>
                <w:rFonts w:hint="eastAsia" w:ascii="宋体" w:hAnsi="宋体" w:eastAsia="宋体" w:cs="Times New Roman"/>
                <w:szCs w:val="21"/>
              </w:rPr>
            </w:pPr>
            <w:r>
              <w:rPr>
                <w:rFonts w:hint="eastAsia" w:ascii="宋体" w:hAnsi="宋体" w:eastAsia="宋体" w:cs="宋体"/>
                <w:kern w:val="0"/>
                <w:szCs w:val="21"/>
              </w:rPr>
              <w:t>25</w:t>
            </w:r>
          </w:p>
        </w:tc>
        <w:tc>
          <w:tcPr>
            <w:tcW w:w="2339" w:type="pct"/>
            <w:tcBorders>
              <w:top w:val="nil"/>
              <w:left w:val="nil"/>
              <w:bottom w:val="single" w:color="auto" w:sz="4" w:space="0"/>
              <w:right w:val="single" w:color="auto" w:sz="4" w:space="0"/>
            </w:tcBorders>
            <w:shd w:val="clear" w:color="auto" w:fill="auto"/>
            <w:vAlign w:val="center"/>
          </w:tcPr>
          <w:p w14:paraId="3D6941D9">
            <w:pPr>
              <w:spacing w:line="360" w:lineRule="exact"/>
              <w:jc w:val="left"/>
              <w:rPr>
                <w:rFonts w:hint="eastAsia" w:ascii="宋体" w:hAnsi="宋体" w:eastAsia="宋体" w:cs="Times New Roman"/>
                <w:szCs w:val="21"/>
              </w:rPr>
            </w:pPr>
            <w:r>
              <w:rPr>
                <w:rFonts w:hint="eastAsia" w:ascii="宋体" w:hAnsi="宋体" w:eastAsia="宋体" w:cs="宋体"/>
                <w:color w:val="000000"/>
                <w:kern w:val="0"/>
                <w:szCs w:val="21"/>
              </w:rPr>
              <w:t>新能源车用轮边电机驱动器环形电容卷绕机的研发及产业化</w:t>
            </w:r>
          </w:p>
        </w:tc>
        <w:tc>
          <w:tcPr>
            <w:tcW w:w="2179" w:type="pct"/>
            <w:tcBorders>
              <w:top w:val="nil"/>
              <w:left w:val="nil"/>
              <w:bottom w:val="single" w:color="auto" w:sz="4" w:space="0"/>
              <w:right w:val="single" w:color="auto" w:sz="4" w:space="0"/>
            </w:tcBorders>
            <w:shd w:val="clear" w:color="auto" w:fill="auto"/>
            <w:vAlign w:val="center"/>
          </w:tcPr>
          <w:p w14:paraId="0A0FE618">
            <w:pPr>
              <w:spacing w:line="360" w:lineRule="exact"/>
              <w:jc w:val="left"/>
              <w:rPr>
                <w:rFonts w:hint="eastAsia" w:ascii="宋体" w:hAnsi="宋体" w:eastAsia="宋体" w:cs="Times New Roman"/>
                <w:szCs w:val="21"/>
              </w:rPr>
            </w:pPr>
            <w:r>
              <w:rPr>
                <w:rFonts w:hint="eastAsia" w:ascii="宋体" w:hAnsi="宋体" w:eastAsia="宋体" w:cs="宋体"/>
                <w:color w:val="000000"/>
                <w:kern w:val="0"/>
                <w:szCs w:val="21"/>
              </w:rPr>
              <w:t>常州晟威机电股份有限公司</w:t>
            </w:r>
          </w:p>
        </w:tc>
      </w:tr>
      <w:tr w14:paraId="28BAA5D3">
        <w:tblPrEx>
          <w:tblCellMar>
            <w:top w:w="0" w:type="dxa"/>
            <w:left w:w="108" w:type="dxa"/>
            <w:bottom w:w="0" w:type="dxa"/>
            <w:right w:w="108" w:type="dxa"/>
          </w:tblCellMar>
        </w:tblPrEx>
        <w:trPr>
          <w:trHeight w:val="559" w:hRule="atLeast"/>
        </w:trPr>
        <w:tc>
          <w:tcPr>
            <w:tcW w:w="482" w:type="pct"/>
            <w:tcBorders>
              <w:top w:val="nil"/>
              <w:left w:val="single" w:color="auto" w:sz="4" w:space="0"/>
              <w:bottom w:val="single" w:color="auto" w:sz="4" w:space="0"/>
              <w:right w:val="single" w:color="auto" w:sz="4" w:space="0"/>
            </w:tcBorders>
            <w:shd w:val="clear" w:color="auto" w:fill="auto"/>
            <w:noWrap/>
            <w:vAlign w:val="center"/>
          </w:tcPr>
          <w:p w14:paraId="32D6FE2F">
            <w:pPr>
              <w:spacing w:line="360" w:lineRule="exact"/>
              <w:jc w:val="center"/>
              <w:rPr>
                <w:rFonts w:hint="eastAsia" w:ascii="宋体" w:hAnsi="宋体" w:eastAsia="宋体" w:cs="Times New Roman"/>
                <w:szCs w:val="21"/>
              </w:rPr>
            </w:pPr>
            <w:r>
              <w:rPr>
                <w:rFonts w:hint="eastAsia" w:ascii="宋体" w:hAnsi="宋体" w:eastAsia="宋体" w:cs="宋体"/>
                <w:kern w:val="0"/>
                <w:szCs w:val="21"/>
              </w:rPr>
              <w:t>26</w:t>
            </w:r>
          </w:p>
        </w:tc>
        <w:tc>
          <w:tcPr>
            <w:tcW w:w="2339" w:type="pct"/>
            <w:tcBorders>
              <w:top w:val="nil"/>
              <w:left w:val="nil"/>
              <w:bottom w:val="single" w:color="auto" w:sz="4" w:space="0"/>
              <w:right w:val="single" w:color="auto" w:sz="4" w:space="0"/>
            </w:tcBorders>
            <w:shd w:val="clear" w:color="auto" w:fill="auto"/>
            <w:vAlign w:val="center"/>
          </w:tcPr>
          <w:p w14:paraId="7CE22F8E">
            <w:pPr>
              <w:spacing w:line="360" w:lineRule="exact"/>
              <w:jc w:val="left"/>
              <w:rPr>
                <w:rFonts w:hint="eastAsia" w:ascii="宋体" w:hAnsi="宋体" w:eastAsia="宋体" w:cs="Times New Roman"/>
                <w:szCs w:val="21"/>
              </w:rPr>
            </w:pPr>
            <w:r>
              <w:rPr>
                <w:rFonts w:hint="eastAsia" w:ascii="宋体" w:hAnsi="宋体" w:eastAsia="宋体" w:cs="宋体"/>
                <w:color w:val="000000"/>
                <w:kern w:val="0"/>
                <w:szCs w:val="21"/>
              </w:rPr>
              <w:t>电液伺服阀阀芯形性协同制造成套装备研发与产业化</w:t>
            </w:r>
          </w:p>
        </w:tc>
        <w:tc>
          <w:tcPr>
            <w:tcW w:w="2179" w:type="pct"/>
            <w:tcBorders>
              <w:top w:val="nil"/>
              <w:left w:val="nil"/>
              <w:bottom w:val="single" w:color="auto" w:sz="4" w:space="0"/>
              <w:right w:val="single" w:color="auto" w:sz="4" w:space="0"/>
            </w:tcBorders>
            <w:shd w:val="clear" w:color="auto" w:fill="auto"/>
            <w:vAlign w:val="center"/>
          </w:tcPr>
          <w:p w14:paraId="0C475CAA">
            <w:pPr>
              <w:spacing w:line="360" w:lineRule="exact"/>
              <w:jc w:val="left"/>
              <w:rPr>
                <w:rFonts w:hint="eastAsia" w:ascii="宋体" w:hAnsi="宋体" w:eastAsia="宋体" w:cs="Times New Roman"/>
                <w:szCs w:val="21"/>
              </w:rPr>
            </w:pPr>
            <w:r>
              <w:rPr>
                <w:rFonts w:hint="eastAsia" w:ascii="宋体" w:hAnsi="宋体" w:eastAsia="宋体" w:cs="宋体"/>
                <w:color w:val="000000"/>
                <w:kern w:val="0"/>
                <w:szCs w:val="21"/>
              </w:rPr>
              <w:t>常州市海力工具有限公司</w:t>
            </w:r>
          </w:p>
        </w:tc>
      </w:tr>
      <w:tr w14:paraId="42D1BE69">
        <w:tblPrEx>
          <w:tblCellMar>
            <w:top w:w="0" w:type="dxa"/>
            <w:left w:w="108" w:type="dxa"/>
            <w:bottom w:w="0" w:type="dxa"/>
            <w:right w:w="108" w:type="dxa"/>
          </w:tblCellMar>
        </w:tblPrEx>
        <w:trPr>
          <w:trHeight w:val="559" w:hRule="atLeast"/>
        </w:trPr>
        <w:tc>
          <w:tcPr>
            <w:tcW w:w="482" w:type="pct"/>
            <w:tcBorders>
              <w:top w:val="nil"/>
              <w:left w:val="single" w:color="auto" w:sz="4" w:space="0"/>
              <w:bottom w:val="single" w:color="auto" w:sz="4" w:space="0"/>
              <w:right w:val="single" w:color="auto" w:sz="4" w:space="0"/>
            </w:tcBorders>
            <w:shd w:val="clear" w:color="auto" w:fill="auto"/>
            <w:noWrap/>
            <w:vAlign w:val="center"/>
          </w:tcPr>
          <w:p w14:paraId="335FE2AD">
            <w:pPr>
              <w:spacing w:line="360" w:lineRule="exact"/>
              <w:jc w:val="center"/>
              <w:rPr>
                <w:rFonts w:hint="eastAsia" w:ascii="宋体" w:hAnsi="宋体" w:eastAsia="宋体" w:cs="Times New Roman"/>
                <w:szCs w:val="21"/>
              </w:rPr>
            </w:pPr>
            <w:r>
              <w:rPr>
                <w:rFonts w:hint="eastAsia" w:ascii="宋体" w:hAnsi="宋体" w:eastAsia="宋体" w:cs="宋体"/>
                <w:kern w:val="0"/>
                <w:szCs w:val="21"/>
              </w:rPr>
              <w:t>27</w:t>
            </w:r>
          </w:p>
        </w:tc>
        <w:tc>
          <w:tcPr>
            <w:tcW w:w="2339" w:type="pct"/>
            <w:tcBorders>
              <w:top w:val="nil"/>
              <w:left w:val="nil"/>
              <w:bottom w:val="single" w:color="auto" w:sz="4" w:space="0"/>
              <w:right w:val="single" w:color="auto" w:sz="4" w:space="0"/>
            </w:tcBorders>
            <w:shd w:val="clear" w:color="auto" w:fill="auto"/>
            <w:vAlign w:val="center"/>
          </w:tcPr>
          <w:p w14:paraId="0087C9D6">
            <w:pPr>
              <w:spacing w:line="360" w:lineRule="exact"/>
              <w:jc w:val="left"/>
              <w:rPr>
                <w:rFonts w:hint="eastAsia" w:ascii="宋体" w:hAnsi="宋体" w:eastAsia="宋体" w:cs="Times New Roman"/>
                <w:szCs w:val="21"/>
              </w:rPr>
            </w:pPr>
            <w:r>
              <w:rPr>
                <w:rFonts w:hint="eastAsia" w:ascii="宋体" w:hAnsi="宋体" w:eastAsia="宋体" w:cs="宋体"/>
                <w:color w:val="000000"/>
                <w:kern w:val="0"/>
                <w:szCs w:val="21"/>
              </w:rPr>
              <w:t>超声复合加工五轴数控机床研发及产业化</w:t>
            </w:r>
          </w:p>
        </w:tc>
        <w:tc>
          <w:tcPr>
            <w:tcW w:w="2179" w:type="pct"/>
            <w:tcBorders>
              <w:top w:val="nil"/>
              <w:left w:val="nil"/>
              <w:bottom w:val="single" w:color="auto" w:sz="4" w:space="0"/>
              <w:right w:val="single" w:color="auto" w:sz="4" w:space="0"/>
            </w:tcBorders>
            <w:shd w:val="clear" w:color="auto" w:fill="auto"/>
            <w:vAlign w:val="center"/>
          </w:tcPr>
          <w:p w14:paraId="7456D90D">
            <w:pPr>
              <w:spacing w:line="360" w:lineRule="exact"/>
              <w:jc w:val="left"/>
              <w:rPr>
                <w:rFonts w:hint="eastAsia" w:ascii="宋体" w:hAnsi="宋体" w:eastAsia="宋体" w:cs="Times New Roman"/>
                <w:szCs w:val="21"/>
              </w:rPr>
            </w:pPr>
            <w:r>
              <w:rPr>
                <w:rFonts w:hint="eastAsia" w:ascii="宋体" w:hAnsi="宋体" w:eastAsia="宋体" w:cs="宋体"/>
                <w:color w:val="000000"/>
                <w:kern w:val="0"/>
                <w:szCs w:val="21"/>
              </w:rPr>
              <w:t>中国机械总院集团江苏分院有限公司</w:t>
            </w:r>
          </w:p>
        </w:tc>
      </w:tr>
      <w:tr w14:paraId="4B0F6545">
        <w:tblPrEx>
          <w:tblCellMar>
            <w:top w:w="0" w:type="dxa"/>
            <w:left w:w="108" w:type="dxa"/>
            <w:bottom w:w="0" w:type="dxa"/>
            <w:right w:w="108" w:type="dxa"/>
          </w:tblCellMar>
        </w:tblPrEx>
        <w:trPr>
          <w:trHeight w:val="559" w:hRule="atLeast"/>
        </w:trPr>
        <w:tc>
          <w:tcPr>
            <w:tcW w:w="482" w:type="pct"/>
            <w:tcBorders>
              <w:top w:val="nil"/>
              <w:left w:val="single" w:color="auto" w:sz="4" w:space="0"/>
              <w:bottom w:val="single" w:color="auto" w:sz="4" w:space="0"/>
              <w:right w:val="single" w:color="auto" w:sz="4" w:space="0"/>
            </w:tcBorders>
            <w:shd w:val="clear" w:color="auto" w:fill="auto"/>
            <w:noWrap/>
            <w:vAlign w:val="center"/>
          </w:tcPr>
          <w:p w14:paraId="7346498C">
            <w:pPr>
              <w:spacing w:line="360" w:lineRule="exact"/>
              <w:jc w:val="center"/>
              <w:rPr>
                <w:rFonts w:hint="eastAsia" w:ascii="宋体" w:hAnsi="宋体" w:eastAsia="宋体" w:cs="Times New Roman"/>
                <w:szCs w:val="21"/>
              </w:rPr>
            </w:pPr>
            <w:r>
              <w:rPr>
                <w:rFonts w:hint="eastAsia" w:ascii="宋体" w:hAnsi="宋体" w:eastAsia="宋体" w:cs="宋体"/>
                <w:kern w:val="0"/>
                <w:szCs w:val="21"/>
              </w:rPr>
              <w:t>28</w:t>
            </w:r>
          </w:p>
        </w:tc>
        <w:tc>
          <w:tcPr>
            <w:tcW w:w="2339" w:type="pct"/>
            <w:tcBorders>
              <w:top w:val="nil"/>
              <w:left w:val="nil"/>
              <w:bottom w:val="single" w:color="auto" w:sz="4" w:space="0"/>
              <w:right w:val="single" w:color="auto" w:sz="4" w:space="0"/>
            </w:tcBorders>
            <w:shd w:val="clear" w:color="auto" w:fill="auto"/>
            <w:vAlign w:val="center"/>
          </w:tcPr>
          <w:p w14:paraId="6A80751F">
            <w:pPr>
              <w:spacing w:line="360" w:lineRule="exact"/>
              <w:jc w:val="left"/>
              <w:rPr>
                <w:rFonts w:hint="eastAsia" w:ascii="宋体" w:hAnsi="宋体" w:eastAsia="宋体" w:cs="Times New Roman"/>
                <w:szCs w:val="21"/>
              </w:rPr>
            </w:pPr>
            <w:r>
              <w:rPr>
                <w:rFonts w:hint="eastAsia" w:ascii="宋体" w:hAnsi="宋体" w:eastAsia="宋体" w:cs="宋体"/>
                <w:color w:val="000000"/>
                <w:kern w:val="0"/>
                <w:szCs w:val="21"/>
              </w:rPr>
              <w:t>面向高档数控机床的高可靠性圆盘式刀库及自动换刀装置的研发及产业化</w:t>
            </w:r>
          </w:p>
        </w:tc>
        <w:tc>
          <w:tcPr>
            <w:tcW w:w="2179" w:type="pct"/>
            <w:tcBorders>
              <w:top w:val="nil"/>
              <w:left w:val="nil"/>
              <w:bottom w:val="single" w:color="auto" w:sz="4" w:space="0"/>
              <w:right w:val="single" w:color="auto" w:sz="4" w:space="0"/>
            </w:tcBorders>
            <w:shd w:val="clear" w:color="auto" w:fill="auto"/>
            <w:vAlign w:val="center"/>
          </w:tcPr>
          <w:p w14:paraId="5D1A0A70">
            <w:pPr>
              <w:spacing w:line="360" w:lineRule="exact"/>
              <w:jc w:val="left"/>
              <w:rPr>
                <w:rFonts w:hint="eastAsia" w:ascii="宋体" w:hAnsi="宋体" w:eastAsia="宋体" w:cs="Times New Roman"/>
                <w:szCs w:val="21"/>
              </w:rPr>
            </w:pPr>
            <w:r>
              <w:rPr>
                <w:rFonts w:hint="eastAsia" w:ascii="宋体" w:hAnsi="宋体" w:eastAsia="宋体" w:cs="宋体"/>
                <w:color w:val="000000"/>
                <w:kern w:val="0"/>
                <w:szCs w:val="21"/>
              </w:rPr>
              <w:t>江苏德速智能机械股份有限公司</w:t>
            </w:r>
          </w:p>
        </w:tc>
      </w:tr>
      <w:tr w14:paraId="3C98A4E1">
        <w:tblPrEx>
          <w:tblCellMar>
            <w:top w:w="0" w:type="dxa"/>
            <w:left w:w="108" w:type="dxa"/>
            <w:bottom w:w="0" w:type="dxa"/>
            <w:right w:w="108" w:type="dxa"/>
          </w:tblCellMar>
        </w:tblPrEx>
        <w:trPr>
          <w:trHeight w:val="559" w:hRule="atLeast"/>
        </w:trPr>
        <w:tc>
          <w:tcPr>
            <w:tcW w:w="482" w:type="pct"/>
            <w:tcBorders>
              <w:top w:val="nil"/>
              <w:left w:val="single" w:color="auto" w:sz="4" w:space="0"/>
              <w:bottom w:val="single" w:color="auto" w:sz="4" w:space="0"/>
              <w:right w:val="single" w:color="auto" w:sz="4" w:space="0"/>
            </w:tcBorders>
            <w:shd w:val="clear" w:color="auto" w:fill="auto"/>
            <w:noWrap/>
            <w:vAlign w:val="center"/>
          </w:tcPr>
          <w:p w14:paraId="594D362A">
            <w:pPr>
              <w:spacing w:line="360" w:lineRule="exact"/>
              <w:jc w:val="center"/>
              <w:rPr>
                <w:rFonts w:hint="eastAsia" w:ascii="宋体" w:hAnsi="宋体" w:eastAsia="宋体" w:cs="Times New Roman"/>
                <w:szCs w:val="21"/>
              </w:rPr>
            </w:pPr>
            <w:r>
              <w:rPr>
                <w:rFonts w:hint="eastAsia" w:ascii="宋体" w:hAnsi="宋体" w:eastAsia="宋体" w:cs="宋体"/>
                <w:kern w:val="0"/>
                <w:szCs w:val="21"/>
              </w:rPr>
              <w:t>29</w:t>
            </w:r>
          </w:p>
        </w:tc>
        <w:tc>
          <w:tcPr>
            <w:tcW w:w="2339" w:type="pct"/>
            <w:tcBorders>
              <w:top w:val="nil"/>
              <w:left w:val="nil"/>
              <w:bottom w:val="single" w:color="auto" w:sz="4" w:space="0"/>
              <w:right w:val="single" w:color="auto" w:sz="4" w:space="0"/>
            </w:tcBorders>
            <w:shd w:val="clear" w:color="auto" w:fill="auto"/>
            <w:vAlign w:val="center"/>
          </w:tcPr>
          <w:p w14:paraId="0223C01B">
            <w:pPr>
              <w:spacing w:line="360" w:lineRule="exact"/>
              <w:jc w:val="left"/>
              <w:rPr>
                <w:rFonts w:hint="eastAsia" w:ascii="宋体" w:hAnsi="宋体" w:eastAsia="宋体" w:cs="Times New Roman"/>
                <w:szCs w:val="21"/>
              </w:rPr>
            </w:pPr>
            <w:r>
              <w:rPr>
                <w:rFonts w:hint="eastAsia" w:ascii="宋体" w:hAnsi="宋体" w:eastAsia="宋体" w:cs="宋体"/>
                <w:color w:val="000000"/>
                <w:kern w:val="0"/>
                <w:szCs w:val="21"/>
              </w:rPr>
              <w:t>智能阻尼减振系列产品研发及产业化</w:t>
            </w:r>
          </w:p>
        </w:tc>
        <w:tc>
          <w:tcPr>
            <w:tcW w:w="2179" w:type="pct"/>
            <w:tcBorders>
              <w:top w:val="nil"/>
              <w:left w:val="nil"/>
              <w:bottom w:val="single" w:color="auto" w:sz="4" w:space="0"/>
              <w:right w:val="single" w:color="auto" w:sz="4" w:space="0"/>
            </w:tcBorders>
            <w:shd w:val="clear" w:color="auto" w:fill="auto"/>
            <w:vAlign w:val="center"/>
          </w:tcPr>
          <w:p w14:paraId="308D6CEE">
            <w:pPr>
              <w:spacing w:line="360" w:lineRule="exact"/>
              <w:jc w:val="left"/>
              <w:rPr>
                <w:rFonts w:hint="eastAsia" w:ascii="宋体" w:hAnsi="宋体" w:eastAsia="宋体" w:cs="Times New Roman"/>
                <w:szCs w:val="21"/>
              </w:rPr>
            </w:pPr>
            <w:r>
              <w:rPr>
                <w:rFonts w:hint="eastAsia" w:ascii="宋体" w:hAnsi="宋体" w:eastAsia="宋体" w:cs="宋体"/>
                <w:color w:val="000000"/>
                <w:kern w:val="0"/>
                <w:szCs w:val="21"/>
              </w:rPr>
              <w:t>常州格林电力机械制造有限公司</w:t>
            </w:r>
          </w:p>
        </w:tc>
      </w:tr>
      <w:tr w14:paraId="3ACBCC28">
        <w:tblPrEx>
          <w:tblCellMar>
            <w:top w:w="0" w:type="dxa"/>
            <w:left w:w="108" w:type="dxa"/>
            <w:bottom w:w="0" w:type="dxa"/>
            <w:right w:w="108" w:type="dxa"/>
          </w:tblCellMar>
        </w:tblPrEx>
        <w:trPr>
          <w:trHeight w:val="559" w:hRule="atLeast"/>
        </w:trPr>
        <w:tc>
          <w:tcPr>
            <w:tcW w:w="482" w:type="pct"/>
            <w:tcBorders>
              <w:top w:val="nil"/>
              <w:left w:val="single" w:color="auto" w:sz="4" w:space="0"/>
              <w:bottom w:val="single" w:color="auto" w:sz="4" w:space="0"/>
              <w:right w:val="single" w:color="auto" w:sz="4" w:space="0"/>
            </w:tcBorders>
            <w:shd w:val="clear" w:color="auto" w:fill="auto"/>
            <w:noWrap/>
            <w:vAlign w:val="center"/>
          </w:tcPr>
          <w:p w14:paraId="71188DC1">
            <w:pPr>
              <w:spacing w:line="360" w:lineRule="exact"/>
              <w:jc w:val="center"/>
              <w:rPr>
                <w:rFonts w:hint="eastAsia" w:ascii="宋体" w:hAnsi="宋体" w:eastAsia="宋体" w:cs="Times New Roman"/>
                <w:szCs w:val="21"/>
              </w:rPr>
            </w:pPr>
            <w:r>
              <w:rPr>
                <w:rFonts w:hint="eastAsia" w:ascii="宋体" w:hAnsi="宋体" w:eastAsia="宋体" w:cs="宋体"/>
                <w:kern w:val="0"/>
                <w:szCs w:val="21"/>
              </w:rPr>
              <w:t>30</w:t>
            </w:r>
          </w:p>
        </w:tc>
        <w:tc>
          <w:tcPr>
            <w:tcW w:w="2339" w:type="pct"/>
            <w:tcBorders>
              <w:top w:val="nil"/>
              <w:left w:val="nil"/>
              <w:bottom w:val="single" w:color="auto" w:sz="4" w:space="0"/>
              <w:right w:val="single" w:color="auto" w:sz="4" w:space="0"/>
            </w:tcBorders>
            <w:shd w:val="clear" w:color="auto" w:fill="auto"/>
            <w:vAlign w:val="center"/>
          </w:tcPr>
          <w:p w14:paraId="560326D0">
            <w:pPr>
              <w:spacing w:line="360" w:lineRule="exact"/>
              <w:jc w:val="left"/>
              <w:rPr>
                <w:rFonts w:hint="eastAsia" w:ascii="宋体" w:hAnsi="宋体" w:eastAsia="宋体" w:cs="Times New Roman"/>
                <w:szCs w:val="21"/>
              </w:rPr>
            </w:pPr>
            <w:r>
              <w:rPr>
                <w:rFonts w:hint="eastAsia" w:ascii="宋体" w:hAnsi="宋体" w:eastAsia="宋体" w:cs="宋体"/>
                <w:color w:val="000000"/>
                <w:kern w:val="0"/>
                <w:szCs w:val="21"/>
              </w:rPr>
              <w:t>热力蒸汽再压缩成套装备的研发及产业化</w:t>
            </w:r>
          </w:p>
        </w:tc>
        <w:tc>
          <w:tcPr>
            <w:tcW w:w="2179" w:type="pct"/>
            <w:tcBorders>
              <w:top w:val="nil"/>
              <w:left w:val="nil"/>
              <w:bottom w:val="single" w:color="auto" w:sz="4" w:space="0"/>
              <w:right w:val="single" w:color="auto" w:sz="4" w:space="0"/>
            </w:tcBorders>
            <w:shd w:val="clear" w:color="auto" w:fill="auto"/>
            <w:vAlign w:val="center"/>
          </w:tcPr>
          <w:p w14:paraId="51F4E396">
            <w:pPr>
              <w:spacing w:line="360" w:lineRule="exact"/>
              <w:jc w:val="left"/>
              <w:rPr>
                <w:rFonts w:hint="eastAsia" w:ascii="宋体" w:hAnsi="宋体" w:eastAsia="宋体" w:cs="Times New Roman"/>
                <w:szCs w:val="21"/>
              </w:rPr>
            </w:pPr>
            <w:r>
              <w:rPr>
                <w:rFonts w:hint="eastAsia" w:ascii="宋体" w:hAnsi="宋体" w:eastAsia="宋体" w:cs="宋体"/>
                <w:color w:val="000000"/>
                <w:kern w:val="0"/>
                <w:szCs w:val="21"/>
              </w:rPr>
              <w:t>艾肯（江苏）工业技术有限公司</w:t>
            </w:r>
          </w:p>
        </w:tc>
      </w:tr>
      <w:tr w14:paraId="11966468">
        <w:tblPrEx>
          <w:tblCellMar>
            <w:top w:w="0" w:type="dxa"/>
            <w:left w:w="108" w:type="dxa"/>
            <w:bottom w:w="0" w:type="dxa"/>
            <w:right w:w="108" w:type="dxa"/>
          </w:tblCellMar>
        </w:tblPrEx>
        <w:trPr>
          <w:trHeight w:val="559" w:hRule="atLeast"/>
        </w:trPr>
        <w:tc>
          <w:tcPr>
            <w:tcW w:w="482" w:type="pct"/>
            <w:tcBorders>
              <w:top w:val="nil"/>
              <w:left w:val="single" w:color="auto" w:sz="4" w:space="0"/>
              <w:bottom w:val="single" w:color="auto" w:sz="4" w:space="0"/>
              <w:right w:val="single" w:color="auto" w:sz="4" w:space="0"/>
            </w:tcBorders>
            <w:shd w:val="clear" w:color="auto" w:fill="auto"/>
            <w:noWrap/>
            <w:vAlign w:val="center"/>
          </w:tcPr>
          <w:p w14:paraId="758DC326">
            <w:pPr>
              <w:spacing w:line="360" w:lineRule="exact"/>
              <w:jc w:val="center"/>
              <w:rPr>
                <w:rFonts w:hint="eastAsia" w:ascii="宋体" w:hAnsi="宋体" w:eastAsia="宋体" w:cs="Times New Roman"/>
                <w:szCs w:val="21"/>
              </w:rPr>
            </w:pPr>
            <w:r>
              <w:rPr>
                <w:rFonts w:hint="eastAsia" w:ascii="宋体" w:hAnsi="宋体" w:eastAsia="宋体" w:cs="宋体"/>
                <w:kern w:val="0"/>
                <w:szCs w:val="21"/>
              </w:rPr>
              <w:t>31</w:t>
            </w:r>
          </w:p>
        </w:tc>
        <w:tc>
          <w:tcPr>
            <w:tcW w:w="2339" w:type="pct"/>
            <w:tcBorders>
              <w:top w:val="nil"/>
              <w:left w:val="nil"/>
              <w:bottom w:val="single" w:color="auto" w:sz="4" w:space="0"/>
              <w:right w:val="single" w:color="auto" w:sz="4" w:space="0"/>
            </w:tcBorders>
            <w:shd w:val="clear" w:color="auto" w:fill="auto"/>
            <w:vAlign w:val="center"/>
          </w:tcPr>
          <w:p w14:paraId="5A847EAA">
            <w:pPr>
              <w:spacing w:line="360" w:lineRule="exact"/>
              <w:jc w:val="left"/>
              <w:rPr>
                <w:rFonts w:hint="eastAsia" w:ascii="宋体" w:hAnsi="宋体" w:eastAsia="宋体" w:cs="Times New Roman"/>
                <w:szCs w:val="21"/>
              </w:rPr>
            </w:pPr>
            <w:r>
              <w:rPr>
                <w:rFonts w:hint="eastAsia" w:ascii="宋体" w:hAnsi="宋体" w:eastAsia="宋体" w:cs="宋体"/>
                <w:color w:val="000000"/>
                <w:kern w:val="0"/>
                <w:szCs w:val="21"/>
              </w:rPr>
              <w:t>伺服动力刀架系列产品研发及产业化</w:t>
            </w:r>
          </w:p>
        </w:tc>
        <w:tc>
          <w:tcPr>
            <w:tcW w:w="2179" w:type="pct"/>
            <w:tcBorders>
              <w:top w:val="nil"/>
              <w:left w:val="nil"/>
              <w:bottom w:val="single" w:color="auto" w:sz="4" w:space="0"/>
              <w:right w:val="single" w:color="auto" w:sz="4" w:space="0"/>
            </w:tcBorders>
            <w:shd w:val="clear" w:color="auto" w:fill="auto"/>
            <w:vAlign w:val="center"/>
          </w:tcPr>
          <w:p w14:paraId="27FC3552">
            <w:pPr>
              <w:spacing w:line="360" w:lineRule="exact"/>
              <w:jc w:val="left"/>
              <w:rPr>
                <w:rFonts w:hint="eastAsia" w:ascii="宋体" w:hAnsi="宋体" w:eastAsia="宋体" w:cs="Times New Roman"/>
                <w:szCs w:val="21"/>
              </w:rPr>
            </w:pPr>
            <w:r>
              <w:rPr>
                <w:rFonts w:hint="eastAsia" w:ascii="宋体" w:hAnsi="宋体" w:eastAsia="宋体" w:cs="宋体"/>
                <w:color w:val="000000"/>
                <w:kern w:val="0"/>
                <w:szCs w:val="21"/>
              </w:rPr>
              <w:t>常州市新墅机床数控设备有限公司</w:t>
            </w:r>
          </w:p>
        </w:tc>
      </w:tr>
    </w:tbl>
    <w:p w14:paraId="3F7B25BF">
      <w:pPr>
        <w:widowControl/>
        <w:spacing w:line="560" w:lineRule="exact"/>
        <w:jc w:val="left"/>
        <w:rPr>
          <w:rFonts w:hint="eastAsia" w:ascii="仿宋_GB2312" w:hAnsi="微软雅黑" w:eastAsia="仿宋_GB2312" w:cs="宋体"/>
          <w:color w:val="333333"/>
          <w:kern w:val="0"/>
          <w:sz w:val="32"/>
          <w:szCs w:val="32"/>
        </w:rPr>
      </w:pPr>
    </w:p>
    <w:sectPr>
      <w:pgSz w:w="11906" w:h="16838"/>
      <w:pgMar w:top="2098" w:right="1531" w:bottom="1985" w:left="1531" w:header="851" w:footer="992" w:gutter="0"/>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panose1 w:val="02010600030101010101"/>
    <w:charset w:val="86"/>
    <w:family w:val="auto"/>
    <w:pitch w:val="default"/>
    <w:sig w:usb0="A00002BF" w:usb1="38CF7CFA" w:usb2="00000016" w:usb3="00000000" w:csb0="0004000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IyOTFlYWZkYTJiNzZjOGRlYjI2YjUyNjA5NWE3YzMifQ=="/>
  </w:docVars>
  <w:rsids>
    <w:rsidRoot w:val="003822B0"/>
    <w:rsid w:val="00077E0B"/>
    <w:rsid w:val="000875FC"/>
    <w:rsid w:val="000C10C3"/>
    <w:rsid w:val="000D6F04"/>
    <w:rsid w:val="00126390"/>
    <w:rsid w:val="001C72B0"/>
    <w:rsid w:val="001D416E"/>
    <w:rsid w:val="001F6386"/>
    <w:rsid w:val="00221C86"/>
    <w:rsid w:val="002D597F"/>
    <w:rsid w:val="003822B0"/>
    <w:rsid w:val="003E5FB3"/>
    <w:rsid w:val="00433AA8"/>
    <w:rsid w:val="00490A1C"/>
    <w:rsid w:val="004E1958"/>
    <w:rsid w:val="005622F7"/>
    <w:rsid w:val="00574C14"/>
    <w:rsid w:val="005C3C47"/>
    <w:rsid w:val="006D43F4"/>
    <w:rsid w:val="00890112"/>
    <w:rsid w:val="009E645D"/>
    <w:rsid w:val="00A55703"/>
    <w:rsid w:val="00C44B5F"/>
    <w:rsid w:val="00C73720"/>
    <w:rsid w:val="00CF769C"/>
    <w:rsid w:val="00D145DA"/>
    <w:rsid w:val="00D325D4"/>
    <w:rsid w:val="00DC0A3B"/>
    <w:rsid w:val="00E51D62"/>
    <w:rsid w:val="00E94631"/>
    <w:rsid w:val="00EF3ED6"/>
    <w:rsid w:val="00F475AC"/>
    <w:rsid w:val="69AE4A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link w:val="9"/>
    <w:unhideWhenUsed/>
    <w:uiPriority w:val="99"/>
    <w:pPr>
      <w:tabs>
        <w:tab w:val="center" w:pos="4153"/>
        <w:tab w:val="right" w:pos="8306"/>
      </w:tabs>
      <w:snapToGrid w:val="0"/>
      <w:jc w:val="left"/>
    </w:pPr>
    <w:rPr>
      <w:sz w:val="18"/>
      <w:szCs w:val="18"/>
    </w:rPr>
  </w:style>
  <w:style w:type="paragraph" w:styleId="3">
    <w:name w:val="header"/>
    <w:basedOn w:val="1"/>
    <w:link w:val="8"/>
    <w:unhideWhenUsed/>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nhideWhenUsed/>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Hyperlink"/>
    <w:basedOn w:val="6"/>
    <w:semiHidden/>
    <w:unhideWhenUsed/>
    <w:uiPriority w:val="99"/>
    <w:rPr>
      <w:color w:val="0000FF"/>
      <w:u w:val="single"/>
    </w:rPr>
  </w:style>
  <w:style w:type="character" w:customStyle="1" w:styleId="8">
    <w:name w:val="页眉 字符"/>
    <w:basedOn w:val="6"/>
    <w:link w:val="3"/>
    <w:qFormat/>
    <w:uiPriority w:val="99"/>
    <w:rPr>
      <w:sz w:val="18"/>
      <w:szCs w:val="18"/>
    </w:rPr>
  </w:style>
  <w:style w:type="character" w:customStyle="1" w:styleId="9">
    <w:name w:val="页脚 字符"/>
    <w:basedOn w:val="6"/>
    <w:link w:val="2"/>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1529</Words>
  <Characters>1609</Characters>
  <Lines>12</Lines>
  <Paragraphs>3</Paragraphs>
  <TotalTime>86</TotalTime>
  <ScaleCrop>false</ScaleCrop>
  <LinksUpToDate>false</LinksUpToDate>
  <CharactersWithSpaces>1651</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2023-09-22T07:45:00Z</dcterms:created>
  <dc:creator>兆有 唐</dc:creator>
  <cp:lastModifiedBy>人间四月天</cp:lastModifiedBy>
  <cp:lastPrinted>2024-09-09T01:43:00Z</cp:lastPrinted>
  <dcterms:modified xsi:type="dcterms:W3CDTF">2024-09-09T04:36:23Z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5EC49E849A6B4ABFBB13149A0D8B44C9_13</vt:lpwstr>
  </property>
</Properties>
</file>