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2023年度</w:t>
              <w:br w:type="textWrapping"/>
              <w:t/>
            </w:r>
            <w:r>
              <w:rPr>
                <w:rFonts w:ascii="宋体" w:hAnsi="宋体" w:cs="宋体" w:eastAsia="宋体"/>
                <w:b w:val="true"/>
                <w:sz w:val="52"/>
              </w:rPr>
              <w:t>常州市生态环境综合行政执法局</w:t>
            </w:r>
            <w:r>
              <w:rPr>
                <w:rFonts w:ascii="宋体" w:hAnsi="宋体" w:cs="宋体" w:eastAsia="宋体"/>
                <w:b w:val="true"/>
                <w:sz w:val="52"/>
              </w:rPr>
              <w:t xml:space="preserve"></w:t>
              <w:br w:type="textWrapping"/>
              <w:t>单位决算公开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w:t>
      </w:r>
      <w:r>
        <w:rPr>
          <w:rFonts w:hint="eastAsia" w:ascii="仿宋" w:hAnsi="仿宋" w:eastAsia="仿宋" w:cs="仿宋"/>
          <w:lang w:val="en-US" w:eastAsia="zh-CN"/>
        </w:rPr>
        <w:t>3</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2023年度</w:t>
      </w:r>
      <w:r>
        <w:rPr>
          <w:rFonts w:ascii="黑体" w:hAnsi="黑体" w:cs="黑体" w:eastAsia="黑体"/>
        </w:rPr>
        <w:t>单位</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eastAsia="zh-CN"/>
        </w:rPr>
        <w:t>财政拨款</w:t>
      </w:r>
      <w:r>
        <w:rPr>
          <w:rFonts w:hint="eastAsia" w:ascii="仿宋" w:hAnsi="仿宋" w:eastAsia="仿宋" w:cs="仿宋"/>
        </w:rPr>
        <w:t>“三公”经费、会议费、培训费支出决算表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w:t>
      </w:r>
      <w:r>
        <w:rPr>
          <w:rFonts w:hint="eastAsia" w:ascii="仿宋" w:hAnsi="仿宋" w:eastAsia="仿宋" w:cs="仿宋"/>
          <w:lang w:val="en-US" w:eastAsia="zh-CN"/>
        </w:rPr>
        <w:t>财政拨款</w:t>
      </w:r>
      <w:r>
        <w:rPr>
          <w:rFonts w:hint="eastAsia" w:ascii="仿宋" w:hAnsi="仿宋" w:eastAsia="仿宋" w:cs="仿宋"/>
        </w:rPr>
        <w:t>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2023年度</w:t>
      </w:r>
      <w:r>
        <w:rPr>
          <w:rFonts w:ascii="黑体" w:hAnsi="黑体" w:cs="黑体" w:eastAsia="黑体"/>
        </w:rPr>
        <w:t>单位</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(一)贯彻执行党和国家有关生态环境执法方面的方针政策和法律法规。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(二)制定全市生态环境执法工作要点并组织实施。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(三)组织开展全市生态环境执法检查，查处生态环境违法行为，负责生态环境行政处罚、行政强制。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(四)组织开展全市生态环境执法专项行动，组织各类专项巡查工作。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(五)承担全市生态环境日常执法监督工作。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(六)负责全市生态环境执法信息公开工作和生态环境执法队伍建设。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(七)参与全市生态环境信访工作，协调解决有关跨区域、跨流域生态环境污染纠纷。</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(八)参与全市生态环境应急管理，指导协调较大以上环境污染事故和生态破坏事件的预警、应急处置、调查处理。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综合大队（信访办公室）、监督大队、机动大队（应急中心）。</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w:t>
      </w:r>
      <w:r>
        <w:rPr>
          <w:rFonts w:hint="eastAsia" w:ascii="黑体" w:hAnsi="黑体" w:eastAsia="黑体" w:cs="黑体"/>
          <w:b w:val="0"/>
          <w:bCs w:val="0"/>
          <w:lang w:val="en-US" w:eastAsia="zh-CN"/>
        </w:rPr>
        <w:t>3</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2023年，常州市生态环境综合行政执法局认真贯彻落实省厅和市委、市政府各项决策部署，以服务“532”发展战略、助力新能源之都建设为目标，围绕改善环境质量、增强群众获得感、打击数据造假等方面开展专项执法行动，不断优化执法方式、提高执法效能，为深入打好污染防治攻坚战、协同推进生态环境高水平保护和经济高质量发展提供有力的执法保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为切实增强人民群众获得感、幸福感、安全感，解决群众关切生态环境问题，着重对噪声、异味环境问题开展专项整治，进一步维护群众合法权益、促进社会和谐稳定，助力保障环境质量持续改善。扎实推进源头治理管控，采取属地自查和异地执法相结合的方式开展执法保障，着力解决重点难点问题，助力流域内河流水质进一步改善。在中高考期间，开展“宁静护考”专项执法行动，会同教育、公安、住建、城管等部门，对考场周边环境噪声污染监管形成齐抓共管。加强与公安机关、检察机关的横向对接，召开行刑衔接工作专题会商，畅通环境违法犯罪案件办理“绿色通道”。开展“两打”专项执法行动，部门间通力合作，找准切入点，精准打击环境违法犯罪。联合资规、水利、交通和农业农村部门制定联合机制和生态环境执法工作方案，扎实履行生态保护执法职能，依法严惩各类破坏生态环境违法行为，防范环境风险隐患。充分利用12345等平台受理群众的环境诉求，做好信访调处，维护人民群众环境权益，优化环境信访工作机制，着力解决群众身边环境问题。严格值班值守制度，全力做好值班值守和环境安全保障工作。印发《常州市2023年环境应急工作要点》，持续推动全市突发环境事件应急响应规范化，规范环境应急工作响应程序，不断优化环境应急响应流程，提高环境应急处置能力。</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常州市生态环境综合行政执法局</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w:t>
      </w:r>
      <w:r>
        <w:rPr>
          <w:rFonts w:hint="eastAsia" w:ascii="宋体" w:hAnsi="宋体" w:eastAsia="宋体" w:cs="宋体"/>
          <w:b/>
          <w:bCs/>
          <w:sz w:val="36"/>
          <w:szCs w:val="36"/>
          <w:lang w:val="en-US" w:eastAsia="zh-CN"/>
        </w:rPr>
        <w:t>3</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468" w:type="dxa"/>
          </w:tcPr>
          <w:p>
            <w:pPr>
              <w:widowControl w:val="0"/>
              <w:ind w:left="0" w:right="0" w:firstLine="0"/>
              <w:jc w:val="left"/>
              <w:textAlignment w:val="auto"/>
              <w:rPr>
                <w:rFonts w:hint="eastAsia" w:ascii="仿宋" w:hAnsi="仿宋" w:eastAsia="仿宋" w:cs="仿宋"/>
                <w:color w:val="000000"/>
                <w:sz w:val="20"/>
              </w:rPr>
            </w:pPr>
          </w:p>
        </w:tc>
        <w:tc>
          <w:tcPr>
            <w:tcW w:w="1777"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常州市生态环境综合行政执法局</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1,694.71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0.26</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12.21</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1,471.07</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211.32</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1,694.71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1,694.86</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0.15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777"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376"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826"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1,694.86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1,694.86</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tblPrEx>
          <w:tblCellMar>
            <w:top w:w="0" w:type="dxa"/>
            <w:left w:w="108" w:type="dxa"/>
            <w:bottom w:w="0" w:type="dxa"/>
            <w:right w:w="108" w:type="dxa"/>
          </w:tblCellMar>
        </w:tblPrEx>
        <w:trPr>
          <w:trHeight w:val="403" w:hRule="atLeast"/>
          <w:jc w:val="center"/>
        </w:trPr>
        <w:tc>
          <w:tcPr>
            <w:tcW w:w="16660"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247" w:hRule="atLeast"/>
          <w:jc w:val="center"/>
        </w:trPr>
        <w:tc>
          <w:tcPr>
            <w:tcW w:w="4357" w:type="dxa"/>
            <w:gridSpan w:val="2"/>
            <w:vAlign w:val="center"/>
          </w:tcPr>
          <w:p>
            <w:pPr>
              <w:pStyle w:val="22"/>
              <w:widowControl w:val="0"/>
              <w:jc w:val="center"/>
              <w:rPr>
                <w:rFonts w:hint="eastAsia" w:ascii="仿宋" w:hAnsi="仿宋" w:eastAsia="仿宋" w:cs="仿宋"/>
              </w:rPr>
            </w:pPr>
          </w:p>
        </w:tc>
        <w:tc>
          <w:tcPr>
            <w:tcW w:w="1716" w:type="dxa"/>
            <w:vAlign w:val="center"/>
          </w:tcPr>
          <w:p>
            <w:pPr>
              <w:pStyle w:val="22"/>
              <w:widowControl w:val="0"/>
              <w:jc w:val="center"/>
              <w:rPr>
                <w:rFonts w:hint="eastAsia" w:ascii="仿宋" w:hAnsi="仿宋" w:eastAsia="仿宋" w:cs="仿宋"/>
              </w:rPr>
            </w:pPr>
          </w:p>
        </w:tc>
        <w:tc>
          <w:tcPr>
            <w:tcW w:w="1728" w:type="dxa"/>
            <w:vAlign w:val="center"/>
          </w:tcPr>
          <w:p>
            <w:pPr>
              <w:pStyle w:val="22"/>
              <w:widowControl w:val="0"/>
              <w:jc w:val="center"/>
              <w:rPr>
                <w:rFonts w:hint="eastAsia" w:ascii="仿宋" w:hAnsi="仿宋" w:eastAsia="仿宋" w:cs="仿宋"/>
              </w:rPr>
            </w:pPr>
          </w:p>
        </w:tc>
        <w:tc>
          <w:tcPr>
            <w:tcW w:w="1686" w:type="dxa"/>
            <w:vAlign w:val="center"/>
          </w:tcPr>
          <w:p>
            <w:pPr>
              <w:pStyle w:val="22"/>
              <w:widowControl w:val="0"/>
              <w:jc w:val="center"/>
              <w:rPr>
                <w:rFonts w:hint="eastAsia" w:ascii="仿宋" w:hAnsi="仿宋" w:eastAsia="仿宋" w:cs="仿宋"/>
              </w:rPr>
            </w:pPr>
          </w:p>
        </w:tc>
        <w:tc>
          <w:tcPr>
            <w:tcW w:w="3207" w:type="dxa"/>
            <w:gridSpan w:val="2"/>
            <w:vAlign w:val="center"/>
          </w:tcPr>
          <w:p>
            <w:pPr>
              <w:pStyle w:val="22"/>
              <w:widowControl w:val="0"/>
              <w:jc w:val="center"/>
              <w:rPr>
                <w:rFonts w:hint="eastAsia" w:ascii="仿宋" w:hAnsi="仿宋" w:eastAsia="仿宋" w:cs="仿宋"/>
              </w:rPr>
            </w:pPr>
          </w:p>
        </w:tc>
        <w:tc>
          <w:tcPr>
            <w:tcW w:w="1263" w:type="dxa"/>
            <w:vAlign w:val="center"/>
          </w:tcPr>
          <w:p>
            <w:pPr>
              <w:pStyle w:val="22"/>
              <w:widowControl w:val="0"/>
              <w:jc w:val="center"/>
              <w:rPr>
                <w:rFonts w:hint="eastAsia" w:ascii="仿宋" w:hAnsi="仿宋" w:eastAsia="仿宋" w:cs="仿宋"/>
              </w:rPr>
            </w:pPr>
          </w:p>
        </w:tc>
        <w:tc>
          <w:tcPr>
            <w:tcW w:w="2703"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247" w:hRule="atLeast"/>
          <w:jc w:val="center"/>
        </w:trPr>
        <w:tc>
          <w:tcPr>
            <w:tcW w:w="13957"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2703"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728"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86"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7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716"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1,694.71</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1,694.71</w:t>
            </w:r>
          </w:p>
        </w:tc>
        <w:tc>
          <w:tcPr>
            <w:tcW w:w="1686"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0.26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0.26</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0.26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0.26</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0.26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0.26</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12.21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12.21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12.21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12.21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12.21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12.21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1,470.92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1,470.92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环境保护管理事务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1,120.37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1,120.37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1,120.37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1,120.37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自然生态保护</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63.12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63.12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生态保护</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63.12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63.12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污染减排</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287.44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287.44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生态环境执法监察</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287.44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287.44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211.32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211.32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211.32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211.32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79.04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79.04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109.30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109.30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22.98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22.98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113" w:bottom="720" w:left="11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tblPrEx>
          <w:tblCellMar>
            <w:top w:w="55" w:type="dxa"/>
            <w:left w:w="55" w:type="dxa"/>
            <w:bottom w:w="55" w:type="dxa"/>
            <w:right w:w="55" w:type="dxa"/>
          </w:tblCellMar>
        </w:tblPrEx>
        <w:trPr>
          <w:trHeight w:val="532" w:hRule="atLeast"/>
        </w:trPr>
        <w:tc>
          <w:tcPr>
            <w:tcW w:w="15689"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227" w:hRule="atLeast"/>
        </w:trPr>
        <w:tc>
          <w:tcPr>
            <w:tcW w:w="5115" w:type="dxa"/>
            <w:gridSpan w:val="2"/>
            <w:vAlign w:val="center"/>
          </w:tcPr>
          <w:p>
            <w:pPr>
              <w:pStyle w:val="22"/>
              <w:widowControl w:val="0"/>
              <w:jc w:val="center"/>
              <w:rPr>
                <w:rFonts w:hint="eastAsia" w:ascii="仿宋" w:hAnsi="仿宋" w:eastAsia="仿宋" w:cs="仿宋"/>
              </w:rPr>
            </w:pPr>
          </w:p>
        </w:tc>
        <w:tc>
          <w:tcPr>
            <w:tcW w:w="2164" w:type="dxa"/>
            <w:vAlign w:val="center"/>
          </w:tcPr>
          <w:p>
            <w:pPr>
              <w:pStyle w:val="22"/>
              <w:widowControl w:val="0"/>
              <w:spacing w:before="0" w:after="0"/>
              <w:ind w:firstLine="0"/>
              <w:jc w:val="center"/>
              <w:rPr>
                <w:rFonts w:hint="eastAsia" w:ascii="仿宋" w:hAnsi="仿宋" w:eastAsia="仿宋" w:cs="仿宋"/>
                <w:sz w:val="20"/>
              </w:rPr>
            </w:pPr>
          </w:p>
        </w:tc>
        <w:tc>
          <w:tcPr>
            <w:tcW w:w="1897" w:type="dxa"/>
            <w:vAlign w:val="center"/>
          </w:tcPr>
          <w:p>
            <w:pPr>
              <w:pStyle w:val="22"/>
              <w:widowControl w:val="0"/>
              <w:spacing w:before="0" w:after="0"/>
              <w:ind w:firstLine="0"/>
              <w:jc w:val="center"/>
              <w:rPr>
                <w:rFonts w:hint="eastAsia" w:ascii="仿宋" w:hAnsi="仿宋" w:eastAsia="仿宋" w:cs="仿宋"/>
                <w:sz w:val="20"/>
              </w:rPr>
            </w:pPr>
          </w:p>
        </w:tc>
        <w:tc>
          <w:tcPr>
            <w:tcW w:w="1739" w:type="dxa"/>
            <w:vAlign w:val="center"/>
          </w:tcPr>
          <w:p>
            <w:pPr>
              <w:pStyle w:val="22"/>
              <w:widowControl w:val="0"/>
              <w:spacing w:before="0" w:after="0"/>
              <w:ind w:firstLine="0"/>
              <w:jc w:val="center"/>
              <w:rPr>
                <w:rFonts w:hint="eastAsia" w:ascii="仿宋" w:hAnsi="仿宋" w:eastAsia="仿宋" w:cs="仿宋"/>
                <w:sz w:val="20"/>
              </w:rPr>
            </w:pPr>
          </w:p>
        </w:tc>
        <w:tc>
          <w:tcPr>
            <w:tcW w:w="1715" w:type="dxa"/>
            <w:vAlign w:val="center"/>
          </w:tcPr>
          <w:p>
            <w:pPr>
              <w:pStyle w:val="22"/>
              <w:widowControl w:val="0"/>
              <w:spacing w:before="0" w:after="0"/>
              <w:ind w:firstLine="0"/>
              <w:jc w:val="center"/>
              <w:rPr>
                <w:rFonts w:hint="eastAsia" w:ascii="仿宋" w:hAnsi="仿宋" w:eastAsia="仿宋" w:cs="仿宋"/>
                <w:sz w:val="20"/>
              </w:rPr>
            </w:pPr>
          </w:p>
        </w:tc>
        <w:tc>
          <w:tcPr>
            <w:tcW w:w="3059"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90" w:hRule="atLeast"/>
        </w:trPr>
        <w:tc>
          <w:tcPr>
            <w:tcW w:w="12630"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059"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1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897"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39"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715"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927"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1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897"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739"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715"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63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26"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1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1,694.86</w:t>
            </w:r>
          </w:p>
        </w:tc>
        <w:tc>
          <w:tcPr>
            <w:tcW w:w="189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1,344.15</w:t>
            </w:r>
          </w:p>
        </w:tc>
        <w:tc>
          <w:tcPr>
            <w:tcW w:w="1739"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350.71</w:t>
            </w:r>
          </w:p>
        </w:tc>
        <w:tc>
          <w:tcPr>
            <w:tcW w:w="171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63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26"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0.26</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0.26</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0.26</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12.21</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12.21</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12.21</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1,471.07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1,120.37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350.71</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环境保护管理事务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1,120.37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1,120.37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1,120.37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1,120.37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自然生态保护</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63.12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63.12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生态保护</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63.12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63.12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污染减排</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287.59</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287.59</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2111102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生态环境执法监察</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287.59</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287.59</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211.32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211.32</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211.32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211.32</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79.04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79.04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109.30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109.30</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22.98</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22.98</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567" w:bottom="7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常州市生态环境综合行政执法局</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1,694.71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1,471.07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1,471.07</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1,694.71</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1,694.86</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1,694.86</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0.15</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0.15</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1,694.86</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1,694.86</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1,694.86</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1,694.86</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1,344.15</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350.71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1,471.07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1,120.37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350.71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环境保护管理事务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1,120.37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1,120.37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63.12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63.12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63.12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63.12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污染减排</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生态环境执法监察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79.04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79.04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109.30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常州市生态环境综合行政执法局</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1,344.15</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1,310.65</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1,286.35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565.87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565.87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86.46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139.50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55.93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55.93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1,694.86</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1,344.15</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350.71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1,471.07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1,120.37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350.71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环境保护管理事务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1,120.37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1,120.37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1,120.37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1,120.37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63.12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63.12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63.12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63.12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污染减排</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生态环境执法监察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211.32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211.32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211.32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211.32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109.30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1,344.15</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1,310.65</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1,286.35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1,286.35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565.87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565.87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95.33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86.46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86.46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139.50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139.50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55.93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55.93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cs="宋体"/>
                <w:b/>
                <w:bCs/>
                <w:color w:val="000000"/>
                <w:kern w:val="0"/>
                <w:sz w:val="36"/>
                <w:szCs w:val="36"/>
                <w:lang w:val="en-US" w:eastAsia="ar-SA" w:bidi="zh-CN"/>
              </w:rPr>
              <w:t>财政拨款</w:t>
            </w:r>
            <w:r>
              <w:rPr>
                <w:rFonts w:hint="eastAsia" w:ascii="宋体" w:hAnsi="宋体" w:eastAsia="宋体" w:cs="宋体"/>
                <w:b/>
                <w:bCs/>
                <w:color w:val="000000"/>
                <w:kern w:val="0"/>
                <w:sz w:val="36"/>
                <w:szCs w:val="36"/>
                <w:lang w:val="zh-CN" w:eastAsia="ar-SA" w:bidi="zh-CN"/>
              </w:rPr>
              <w:t>“三公”经费、会议费、培训费支出决算表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0.17</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0.17</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1.77</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16.23</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0.17</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0.17</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1.77</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16.23</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18</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8</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339</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14</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982</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blPrEx>
          <w:tblCellMar>
            <w:top w:w="55" w:type="dxa"/>
            <w:left w:w="55" w:type="dxa"/>
            <w:bottom w:w="55" w:type="dxa"/>
            <w:right w:w="55" w:type="dxa"/>
          </w:tblCellMar>
        </w:tblPrEx>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无政府性基金预算收入支出决算，故本表为空。</w:t>
      </w:r>
      <w:r>
        <w:rPr>
          <w:rFonts w:ascii="仿宋" w:hAnsi="仿宋" w:cs="仿宋" w:eastAsia="仿宋"/>
          <w:sz w:val="22"/>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cs="宋体"/>
                <w:b/>
                <w:bCs/>
                <w:color w:val="000000"/>
                <w:kern w:val="0"/>
                <w:sz w:val="36"/>
                <w:szCs w:val="36"/>
                <w:lang w:val="en-US" w:eastAsia="ar-SA" w:bidi="zh-CN"/>
              </w:rPr>
              <w:t>财政拨款</w:t>
            </w:r>
            <w:r>
              <w:rPr>
                <w:rFonts w:hint="eastAsia" w:ascii="宋体" w:hAnsi="宋体" w:eastAsia="宋体" w:cs="宋体"/>
                <w:b/>
                <w:bCs/>
                <w:color w:val="000000"/>
                <w:kern w:val="0"/>
                <w:sz w:val="36"/>
                <w:szCs w:val="36"/>
                <w:lang w:val="zh-CN" w:eastAsia="ar-SA" w:bidi="zh-CN"/>
              </w:rPr>
              <w:t>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33.50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33.50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0.06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0.22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6.50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0.22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1.77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1.60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0.17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21.76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1.19</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w:t>
      </w:r>
      <w:r>
        <w:rPr>
          <w:rFonts w:hint="eastAsia" w:ascii="仿宋" w:hAnsi="仿宋" w:eastAsia="仿宋" w:cs="仿宋"/>
          <w:b w:val="0"/>
          <w:bCs w:val="0"/>
          <w:sz w:val="22"/>
          <w:szCs w:val="22"/>
          <w:lang w:val="en-US" w:eastAsia="zh-CN"/>
        </w:rPr>
        <w:t>财政拨款</w:t>
      </w:r>
      <w:r>
        <w:rPr>
          <w:rFonts w:hint="eastAsia" w:ascii="仿宋" w:hAnsi="仿宋" w:eastAsia="仿宋" w:cs="仿宋"/>
          <w:b w:val="0"/>
          <w:bCs w:val="0"/>
          <w:sz w:val="22"/>
          <w:szCs w:val="22"/>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常州市生态环境综合行政执法局</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79.88</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79.38</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79.88</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79.88</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w:t>
      </w:r>
      <w:r>
        <w:rPr>
          <w:rFonts w:hint="eastAsia" w:ascii="宋体" w:hAnsi="宋体" w:eastAsia="宋体" w:cs="宋体"/>
          <w:b/>
          <w:bCs/>
          <w:color w:val="000000"/>
          <w:kern w:val="0"/>
          <w:sz w:val="36"/>
          <w:szCs w:val="36"/>
          <w:lang w:val="en-US" w:eastAsia="zh-CN" w:bidi="zh-CN"/>
        </w:rPr>
        <w:t>3</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单位</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2023年度收入、支出决算总计1,694.86万元。与上年相比，收、支总计各增加52.32万元，增长3.19%。其中：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（一）收入决算总计1,694.86万元。包括：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1.本年收入决算合计1,694.71万元。与上年相比，增加52.17万元，增长3.18%，变动原因：增人增支。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3.年初结转和结余0.15万元。与上年相比，增加0.15万元（上年决算数为0万元，无法计算增减比率），变动原因：年初现金结转增加。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（二）支出决算总计1,694.86万元。包括：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1.本年支出决算合计1,694.86万元。与上年相比，增加52.47万元，增长3.19%，变动原因：增人增支。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3.年末结转和结余0万元。与上年相比，减少0.15万元，减少100%，变动原因：年末现金结转减少。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年收入决算合计1,694.71万元，其中：财政拨款收入1,694.71万元，占100%；上级补助收入0万元，占0%；财政专户管理教育收费0万元，占0%；事业收入（不含专户管理教育收费）0万元，占0%；经营收入0万元，占0%；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2023年度本年支出决算合计1,694.86万元，其中：基本支出1,344.15万元，占79.31%；项目支出350.71万元，占20.69%；上缴上级支出0万元，占0%；经营支出0万元，占0%；对附属单位补助支出0万元，占0%。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2023年度财政拨款收入、支出决算总计1,694.86万元。与上年相比，收、支总计各增加178.42万元，增长11.77%，变动原因：增人增支。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2023年度财政拨款支出决算1,694.86万元，占本年支出合计的100%。与2023年度财政拨款支出年初预算1,376.91万元相比，完成年初预算的123.09%。其中：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行政事业单位养老支出（款）行政单位离退休（项）。年初预算0.26万元，支出决算0.26万元，完成年初预算的100%。决算数与年初预算数相同。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行政事业单位医疗（款）公务员医疗补助（项）。年初预算12.21万元，支出决算12.21万元，完成年初预算的100%。决算数与年初预算数相同。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1.环境保护管理事务（款）行政运行（项）。年初预算882.82万元，支出决算1,120.37万元，完成年初预算的126.91%。决算数与年初预算数的差异原因：增人增支。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2.自然生态保护（款）生态保护（项）。年初预算0万元，支出决算63.12万元，（年初预算数为0万元，无法计算完成比率）决算数与年初预算数的差异原因：年中追加环保专项资金。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3.污染减排（款）生态环境执法监察（项）。年初预算270.3万元，支出决算287.59万元，完成年初预算的106.4%。决算数与年初预算数的差异原因：专项业务费年中调整。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1.住房改革支出（款）住房公积金（项）。年初预算79.04万元，支出决算79.04万元，完成年初预算的100%。决算数与年初预算数相同。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2.住房改革支出（款）提租补贴（项）。年初预算109.3万元，支出决算109.3万元，完成年初预算的100%。决算数与年初预算数相同。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3.住房改革支出（款）购房补贴（项）。年初预算22.98万元，支出决算22.98万元，完成年初预算的100%。决算数与年初预算数相同。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2023年度财政拨款基本支出决算1,344.15万元，其中：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（一）人员经费1,310.65万元。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主要包括：基本工资、津贴补贴、奖金、机关事业单位基本养老保险缴费、职业年金缴费、职工基本医疗保险缴费、公务员医疗补助缴费、住房公积金、其他工资福利支出、退休费、其他对个人和家庭的补助。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（二）公用经费33.5万元。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主要包括：办公费、水费、电费、维修（护）费、会议费、培训费、公务接待费、工会经费、其他交通费用。</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2023年度一般公共预算财政拨款支出决算1,694.86万元。与上年相比，增加178.57万元，增长11.78%，变动原因：增人增支。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2023年度一般公共预算财政拨款基本支出决算1,344.15万元，其中：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（一）人员经费1,310.65万元。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主要包括：基本工资、津贴补贴、奖金、机关事业单位基本养老保险缴费、职业年金缴费、职工基本医疗保险缴费、公务员医疗补助缴费、住房公积金、其他工资福利支出、退休费、其他对个人和家庭的补助。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（二）公用经费33.5万元。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主要包括：办公费、水费、电费、维修（护）费、会议费、培训费、公务接待费、工会经费、其他交通费用。</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九、财政拨款“三公”经费、会议费、培训费支出情况说明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（一）财政拨款“三公”经费支出总体情况说明。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三公”经费支出决算0.17万元（其中：一般公共预算支出0.17万元；政府性基金预算支出0万元；国有资本经营预算支出0万元）。与上年相比，减少0.1万元，变动原因：厉行节约，减少支出。其中，因公出国（境）费支出0万元，占“三公”经费的0%；公务用车购置及运行维护费支出0万元，占“三公”经费的0%；公务接待费支出0.17万元，占“三公”经费的100%。2023年度财政拨款“三公”经费支出预算0.17万元（其中：一般公共预算支出0.17万元；政府性基金预算支出0万元；国有资本经营预算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（二）财政拨款“三公”经费支出具体情况说明。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2023年12月31日，使用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0.17万元（其中：一般公共预算支出0.17万元；政府性基金预算支出0万元；国有资本经营预算支出0万元），支出决算0.17万元（其中：一般公共预算支出0.17万元；政府性基金预算支出0万元；国有资本经营预算支出0万元），完成调整后预算的100%，决算数与预算数相同。其中：国内公务接待支出0.17万元，接待1批次，18人次，开支内容：公务接待过程中发生的餐费等；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（三）财政拨款会议费支出决算情况说明。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会议费支出预算1.77万元（其中：一般公共预算支出1.77万元；政府性基金预算支出0万元；国有资本经营预算支出0万元），支出决算1.77万元（其中：一般公共预算支出1.77万元；政府性基金预算支出0万元；国有资本经营预算支出0万元），完成调整后预算的100%，决算数与预算数相同。2023年度全年召开会议8个，参加会议339人次，开支内容：会议召开期间发生的住宿费、餐费、会议场地租金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培训费支出预算16.23万元（其中：一般公共预算支出16.23万元；政府性基金预算支出0万元；国有资本经营预算支出0万元），支出决算16.23万元（其中：一般公共预算支出16.23万元；政府性基金预算支出0万元；国有资本经营预算支出0万元），完成调整后预算的100%，决算数与预算数相同。2023年度全年组织培训14个，组织培训982人次，开支内容：开展培训期间发生的师资费、住宿费、餐费、培训场地费、培训资料费、交通费以及其他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2023年度政府性基金预算财政拨款支出决算0万元。与上年决算数相同。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十二、财政拨款机关运行经费支出决算情况说明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机关运行经费支出决算33.5万元（其中：一般公共预算支出33.5万元；政府性基金预算支出0万元；国有资本经营预算支出0万元）。与上年相比，增加9.17万元，增长37.69%，变动原因：因人员增加导致办公费等相关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总额79.88万元，其中：政府采购货物支出0.5万元、政府采购工程支出0万元、政府采购服务支出79.38万元。政府采购授予中小企业合同金额79.88万元，占政府采购支出总额的100%，其中：授予小微企业合同金额79.88万元，占授予中小企业合同金额的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2023年12月31日，本单位共有车辆1辆，其中：副部(省)级及以上领导用车0辆、主要领导干部用车0辆、机要通信用车0辆、应急保障用车0辆、执法执勤用车1辆、特种专业技术用车0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2023年度，本单位共0个项目开展了财政重点绩效评价，涉及财政性资金合计0万元；本单位未开展单位整体支出财政重点绩效评价，涉及财政性资金0万元。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本单位共对2023年度已实施完成的2个项目开展了绩效自评价，涉及财政性资金合计270.3万元；本单位共开展1项单位整体支出绩效自评价，涉及财政性资金合计1,376.91万元。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二十一、节能环保支出(类)环境保护管理事务(款)行政运行(项)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二十二、节能环保支出(类)自然生态保护(款)生态保护(项)</w:t>
      </w:r>
      <w:r>
        <w:rPr>
          <w:rFonts w:ascii="仿宋" w:hAnsi="仿宋" w:cs="仿宋" w:eastAsia="仿宋"/>
          <w:b w:val="true"/>
        </w:rPr>
        <w:t>：</w:t>
      </w:r>
      <w:r>
        <w:rPr>
          <w:rFonts w:hint="eastAsia" w:ascii="仿宋" w:hAnsi="仿宋" w:eastAsia="仿宋" w:cs="仿宋"/>
        </w:rPr>
        <w:t>反映用于生态功能区、生态示范区、生态省（市、县）管理及能力建设、日常管护、宣教、试点示范等支出，生态修复支出，资源开发生态监管支出，生态护林员的劳务报酬等支出。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二十三、节能环保支出(类)污染减排(款)生态环境执法监察(项)</w:t>
      </w:r>
      <w:r>
        <w:rPr>
          <w:rFonts w:ascii="仿宋" w:hAnsi="仿宋" w:cs="仿宋" w:eastAsia="仿宋"/>
          <w:b w:val="true"/>
        </w:rPr>
        <w:t>：</w:t>
      </w:r>
      <w:r>
        <w:rPr>
          <w:rFonts w:hint="eastAsia" w:ascii="仿宋" w:hAnsi="仿宋" w:eastAsia="仿宋" w:cs="仿宋"/>
        </w:rPr>
        <w:t>反映生态环境部门监督检查环保法律法规、标准等执行情况的支出，行政处罚、行政诉讼、行政复议支出，环境行政稽查支出，执法装备支出,排污费申报、征收与使用管理支出，环境问题举报、环境纠纷调查处理支出，突发性污染事故预防、应急处置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常州市生态环境综合行政执法局</w:t>
    </w:r>
    <w:bookmarkStart w:id="0" w:name="_GoBack"/>
    <w:bookmarkEnd w:id="0"/>
    <w:r>
      <w:t>2023</w:t>
    </w:r>
    <w:r>
      <w:rPr>
        <w:rFonts w:hint="eastAsia"/>
        <w:lang w:val="en-US" w:eastAsia="zh-CN"/>
      </w:rPr>
      <w:t>年度</w:t>
    </w:r>
    <w:r>
      <w:t>单位</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ZhZDYyZDRkNjBlM2JhZTAwNWZjYTM1ZGFmNGQwMjEifQ=="/>
  </w:docVars>
  <w:rsids>
    <w:rsidRoot w:val="00000000"/>
    <w:rsid w:val="00064984"/>
    <w:rsid w:val="00071789"/>
    <w:rsid w:val="000C024B"/>
    <w:rsid w:val="000F12AB"/>
    <w:rsid w:val="001C31F9"/>
    <w:rsid w:val="002E63B1"/>
    <w:rsid w:val="00407CA7"/>
    <w:rsid w:val="00413AD8"/>
    <w:rsid w:val="004C0647"/>
    <w:rsid w:val="00671ED7"/>
    <w:rsid w:val="00672164"/>
    <w:rsid w:val="006732F1"/>
    <w:rsid w:val="007C0F2D"/>
    <w:rsid w:val="008322BB"/>
    <w:rsid w:val="00867423"/>
    <w:rsid w:val="008B5B05"/>
    <w:rsid w:val="009965EA"/>
    <w:rsid w:val="00A6752E"/>
    <w:rsid w:val="00B92181"/>
    <w:rsid w:val="00BD7F33"/>
    <w:rsid w:val="00C15920"/>
    <w:rsid w:val="00C82582"/>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2732</Words>
  <Characters>7627</Characters>
  <Paragraphs>501</Paragraphs>
  <TotalTime>7</TotalTime>
  <ScaleCrop>false</ScaleCrop>
  <LinksUpToDate>false</LinksUpToDate>
  <CharactersWithSpaces>7648</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CC.</cp:lastModifiedBy>
  <dcterms:modified xsi:type="dcterms:W3CDTF">2024-06-18T07:55:31Z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2052-12.1.0.16929</vt:lpwstr>
  </property>
  <property fmtid="{D5CDD505-2E9C-101B-9397-08002B2CF9AE}" pid="6" name="LastSaved">
    <vt:filetime>2021-04-15T00:00:00Z</vt:filetime>
  </property>
</Properties>
</file>