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常州市环境科学研究院</w:t>
            </w:r>
            <w:r>
              <w:rPr>
                <w:rFonts w:ascii="宋体" w:hAnsi="宋体" w:cs="宋体" w:eastAsia="宋体"/>
                <w:b w:val="true"/>
                <w:sz w:val="52"/>
              </w:rPr>
              <w:t xml:space="preserve"></w:t>
              <w:br w:type="textWrapping"/>
              <w:t>单位决算公开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w:t>
      </w:r>
      <w:r>
        <w:rPr>
          <w:rFonts w:hint="eastAsia" w:ascii="仿宋" w:hAnsi="仿宋" w:eastAsia="仿宋" w:cs="仿宋"/>
          <w:lang w:val="en-US" w:eastAsia="zh-CN"/>
        </w:rPr>
        <w:t>3</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2023年度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eastAsia="zh-CN"/>
        </w:rPr>
        <w:t>财政拨款</w:t>
      </w:r>
      <w:r>
        <w:rPr>
          <w:rFonts w:hint="eastAsia" w:ascii="仿宋" w:hAnsi="仿宋" w:eastAsia="仿宋" w:cs="仿宋"/>
        </w:rPr>
        <w:t>“三公”经费、会议费、培训费支出决算表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w:t>
      </w:r>
      <w:r>
        <w:rPr>
          <w:rFonts w:hint="eastAsia" w:ascii="仿宋" w:hAnsi="仿宋" w:eastAsia="仿宋" w:cs="仿宋"/>
          <w:lang w:val="en-US" w:eastAsia="zh-CN"/>
        </w:rPr>
        <w:t>财政拨款</w:t>
      </w:r>
      <w:r>
        <w:rPr>
          <w:rFonts w:hint="eastAsia" w:ascii="仿宋" w:hAnsi="仿宋" w:eastAsia="仿宋" w:cs="仿宋"/>
        </w:rPr>
        <w:t>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2023年度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开展生态环境保护相关法律、法规、政策研究，参与生态环境规划和方案编制。开展生态环境科学研究，开展生态环境保护技术示范推广和技术咨询等公益性服务。承办上级交办的其他任务。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办公室、规划政策所、科研所。</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w:t>
      </w:r>
      <w:r>
        <w:rPr>
          <w:rFonts w:hint="eastAsia" w:ascii="黑体" w:hAnsi="黑体" w:eastAsia="黑体" w:cs="黑体"/>
          <w:b w:val="0"/>
          <w:bCs w:val="0"/>
          <w:lang w:val="en-US" w:eastAsia="zh-CN"/>
        </w:rPr>
        <w:t>3</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开展生态环境规划政策研究。一是高质量完成人大提案和政协议案答复工作。牵头组织实施人大提案、政协议案办理的实地调研、交流座谈等活动，圆满完成人大议案《关于发展生态智慧城市，构建低碳循环经济体系的建议》和政协提案《关于发展智慧城市构建低碳循环经济体系的建议》的答复办理工作。二是开展全市城乡生活污水、工业废水收集处理情况调查工作，配合市局水处和住建局共同编制完成《关于全面加强城乡污水收集处理工作的实施意见》。三是积极支撑“两湖”创新区生态环境保护规划编制及专题研究。我院作为该项规划的技术审核单位，从现场调研、专题研究、技术把关等方面全过程参与规划的编制工作，目前《常州市“两湖”创新区生态环境保护规划》已经通过审查并发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支撑我市水污染防治攻坚。一是高质量完成涉水方案报告的编制工作。根据局领导部署，我院牵头完成了《常州市洮滆片区生态保护修复专项行动方案》及配套考核细则、《环太湖城市入太河流氮磷通量核算研究报告》的编制工作。二是积极推进洮滆片区水生态环境治理项目。我院作为洮滆专班成员单位，定期召开专班调度会议并重点围绕推进有困难的项目进行督查，有效支撑了我市新一轮太湖治理工作。三是持续推进新孟河引江济太对重点河湖水环境影响研究。我院联合国家长江驻点研究工作组，协同开展新孟河引水对于我市重点河湖水质的影响，现已完成《关于新孟河引水对流域重点河湖水环境影响研究报告》，有效支撑了我市水生态环境管理工作。四是积极支撑局系统例行业务管理工作。重点围绕新一轮太湖治理、入太河流精细化溯源、水生态环境保护条例落地、太湖西部区各城市入太负荷核算、百渎港流域水质提升达标、国省考断面达标等工作提供了技术支撑。</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支撑我市土壤污染风险管控。一是支持土壤污染防治工作。作为市级质控单位，开展建设用地土壤污染状况调查关键环境监督检查，加强的监督管理，推动提高调查工作质量；配合市局开展重点监管单位土壤污染隐患排查“回头看”工作。以我市安全利用类或严格管控类耕地所在区域为重点，制定以断源为目标的耕地周边污染源排查治理工作方案；二是服务我市地下水环境监测管理，根据国家地下水环境质量考核点位管理相关文件要求，结合我市国控地下水监测点位现状，梳理现有国控地下水监测点位存在的问题和调整的必要性，编制监测点位调整技术报告，为点位调整申请提供技术支撑。</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开展环境问题专题调研。一是深入调查全市氮磷污染排放情况，重点关注农业面源氮磷污染排放核算，牵头编制完成《常州市氮磷污染排放情况的调研报告》、《京杭运河五牧断面总磷超标问题研究报告》。二是为推动全市农村生活污水实现高质量治理，着力解决工业废水生活污水混合处理的问题，牵头编制《关于常州市农村生活污水及工业废水治理调研报告》。三是认真学习浙江“千万工程”治理经验，调研先进地区河湖治理先进做法，编制完成《关于开展新一轮太湖治理的调查与研究》调研报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强化科研合作及成果产出。一是加强与中国科学院、清华大学、南京大学、北京师范大学、中国环境科学研究院、常州大学、江苏理工学院等高校院所合作，积极引智用智，提升我院科研能力及局系统支撑水平；完成“江苏省研究生工作站”申报工作，并与常州大学合作联合培养硕士研究生4名。二是稳步推进在研课题研究工作。我院牵头的5项在研课题——国家自然科学基金（面上项目）1项、国家长江驻点课题1项、市科技课题1项、市环保专项课题2项，均按照课题计划有序推进。三是积极协调长江驻点研究工作。我院作为国家长江驻点研究办公室驻地，承担着国家长江驻点研究协调任务，今年先后两次组织驻点专家围绕我市生态环境问题进行研讨，为驻点工作的顺利开展提供了重要的支撑。四是课题申报及成果产出。今年申请市科技计划课题1项，环保专项2项，申请并获“国际先进”科技成果1项，发表论文2篇，申请专利2项，获得软件著作权2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持续推进生物多样性保护课程进校园。今年，我院继续以三江口公园生物多样性示范基地为载体，与常州市外国语学校共建劳动教育基地，继续在常州外国语学校设立《三江口生物多样性劳动实践》公益课程（选修课）。组织团队修编自编教材，坚持为同学们开展公益讲座，并通过邀请业内知名专家授课的形式，提升生物多样性课程专业度及影响力，获得学校师生高度认可。</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常州市环境科学研究院</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w:t>
      </w:r>
      <w:r>
        <w:rPr>
          <w:rFonts w:hint="eastAsia" w:ascii="宋体" w:hAnsi="宋体" w:eastAsia="宋体" w:cs="宋体"/>
          <w:b/>
          <w:bCs/>
          <w:sz w:val="36"/>
          <w:szCs w:val="36"/>
          <w:lang w:val="en-US" w:eastAsia="zh-CN"/>
        </w:rPr>
        <w:t>3</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468" w:type="dxa"/>
          </w:tcPr>
          <w:p>
            <w:pPr>
              <w:widowControl w:val="0"/>
              <w:ind w:left="0" w:right="0" w:firstLine="0"/>
              <w:jc w:val="left"/>
              <w:textAlignment w:val="auto"/>
              <w:rPr>
                <w:rFonts w:hint="eastAsia" w:ascii="仿宋" w:hAnsi="仿宋" w:eastAsia="仿宋" w:cs="仿宋"/>
                <w:color w:val="000000"/>
                <w:sz w:val="20"/>
              </w:rPr>
            </w:pPr>
          </w:p>
        </w:tc>
        <w:tc>
          <w:tcPr>
            <w:tcW w:w="1777"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常州市环境科学研究院</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540.20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11.90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135.58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58.62</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1.14</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3.43</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522.37</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102.12</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687.68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687.68</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777"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376"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826"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687.68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687.68</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blPrEx>
          <w:tblCellMar>
            <w:top w:w="0" w:type="dxa"/>
            <w:left w:w="108" w:type="dxa"/>
            <w:bottom w:w="0" w:type="dxa"/>
            <w:right w:w="108" w:type="dxa"/>
          </w:tblCellMar>
        </w:tblPrEx>
        <w:trPr>
          <w:trHeight w:val="403" w:hRule="atLeast"/>
          <w:jc w:val="center"/>
        </w:trPr>
        <w:tc>
          <w:tcPr>
            <w:tcW w:w="16660"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247" w:hRule="atLeast"/>
          <w:jc w:val="center"/>
        </w:trPr>
        <w:tc>
          <w:tcPr>
            <w:tcW w:w="4357" w:type="dxa"/>
            <w:gridSpan w:val="2"/>
            <w:vAlign w:val="center"/>
          </w:tcPr>
          <w:p>
            <w:pPr>
              <w:pStyle w:val="22"/>
              <w:widowControl w:val="0"/>
              <w:jc w:val="center"/>
              <w:rPr>
                <w:rFonts w:hint="eastAsia" w:ascii="仿宋" w:hAnsi="仿宋" w:eastAsia="仿宋" w:cs="仿宋"/>
              </w:rPr>
            </w:pPr>
          </w:p>
        </w:tc>
        <w:tc>
          <w:tcPr>
            <w:tcW w:w="1716" w:type="dxa"/>
            <w:vAlign w:val="center"/>
          </w:tcPr>
          <w:p>
            <w:pPr>
              <w:pStyle w:val="22"/>
              <w:widowControl w:val="0"/>
              <w:jc w:val="center"/>
              <w:rPr>
                <w:rFonts w:hint="eastAsia" w:ascii="仿宋" w:hAnsi="仿宋" w:eastAsia="仿宋" w:cs="仿宋"/>
              </w:rPr>
            </w:pPr>
          </w:p>
        </w:tc>
        <w:tc>
          <w:tcPr>
            <w:tcW w:w="1728" w:type="dxa"/>
            <w:vAlign w:val="center"/>
          </w:tcPr>
          <w:p>
            <w:pPr>
              <w:pStyle w:val="22"/>
              <w:widowControl w:val="0"/>
              <w:jc w:val="center"/>
              <w:rPr>
                <w:rFonts w:hint="eastAsia" w:ascii="仿宋" w:hAnsi="仿宋" w:eastAsia="仿宋" w:cs="仿宋"/>
              </w:rPr>
            </w:pPr>
          </w:p>
        </w:tc>
        <w:tc>
          <w:tcPr>
            <w:tcW w:w="1686" w:type="dxa"/>
            <w:vAlign w:val="center"/>
          </w:tcPr>
          <w:p>
            <w:pPr>
              <w:pStyle w:val="22"/>
              <w:widowControl w:val="0"/>
              <w:jc w:val="center"/>
              <w:rPr>
                <w:rFonts w:hint="eastAsia" w:ascii="仿宋" w:hAnsi="仿宋" w:eastAsia="仿宋" w:cs="仿宋"/>
              </w:rPr>
            </w:pPr>
          </w:p>
        </w:tc>
        <w:tc>
          <w:tcPr>
            <w:tcW w:w="3207" w:type="dxa"/>
            <w:gridSpan w:val="2"/>
            <w:vAlign w:val="center"/>
          </w:tcPr>
          <w:p>
            <w:pPr>
              <w:pStyle w:val="22"/>
              <w:widowControl w:val="0"/>
              <w:jc w:val="center"/>
              <w:rPr>
                <w:rFonts w:hint="eastAsia" w:ascii="仿宋" w:hAnsi="仿宋" w:eastAsia="仿宋" w:cs="仿宋"/>
              </w:rPr>
            </w:pPr>
          </w:p>
        </w:tc>
        <w:tc>
          <w:tcPr>
            <w:tcW w:w="1263" w:type="dxa"/>
            <w:vAlign w:val="center"/>
          </w:tcPr>
          <w:p>
            <w:pPr>
              <w:pStyle w:val="22"/>
              <w:widowControl w:val="0"/>
              <w:jc w:val="center"/>
              <w:rPr>
                <w:rFonts w:hint="eastAsia" w:ascii="仿宋" w:hAnsi="仿宋" w:eastAsia="仿宋" w:cs="仿宋"/>
              </w:rPr>
            </w:pP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247" w:hRule="atLeast"/>
          <w:jc w:val="center"/>
        </w:trPr>
        <w:tc>
          <w:tcPr>
            <w:tcW w:w="13957"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728"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8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7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71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687.68</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540.20</w:t>
            </w:r>
          </w:p>
        </w:tc>
        <w:tc>
          <w:tcPr>
            <w:tcW w:w="168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11.90</w:t>
            </w:r>
          </w:p>
        </w:tc>
        <w:tc>
          <w:tcPr>
            <w:tcW w:w="126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技术研究与开发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其他技术研究与开发支出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522.37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374.89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11.90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462.55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325.97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其他环境保护管理事务支出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462.55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325.97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48.92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48.92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48.92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48.92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2119999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15.27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15.27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58.49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58.49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28.36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28.36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113" w:bottom="720" w:left="11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blPrEx>
          <w:tblCellMar>
            <w:top w:w="55" w:type="dxa"/>
            <w:left w:w="55" w:type="dxa"/>
            <w:bottom w:w="55" w:type="dxa"/>
            <w:right w:w="55" w:type="dxa"/>
          </w:tblCellMar>
        </w:tblPrEx>
        <w:trPr>
          <w:trHeight w:val="532" w:hRule="atLeast"/>
        </w:trPr>
        <w:tc>
          <w:tcPr>
            <w:tcW w:w="15689"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227" w:hRule="atLeast"/>
        </w:trPr>
        <w:tc>
          <w:tcPr>
            <w:tcW w:w="5115" w:type="dxa"/>
            <w:gridSpan w:val="2"/>
            <w:vAlign w:val="center"/>
          </w:tcPr>
          <w:p>
            <w:pPr>
              <w:pStyle w:val="22"/>
              <w:widowControl w:val="0"/>
              <w:jc w:val="center"/>
              <w:rPr>
                <w:rFonts w:hint="eastAsia" w:ascii="仿宋" w:hAnsi="仿宋" w:eastAsia="仿宋" w:cs="仿宋"/>
              </w:rPr>
            </w:pPr>
          </w:p>
        </w:tc>
        <w:tc>
          <w:tcPr>
            <w:tcW w:w="2164" w:type="dxa"/>
            <w:vAlign w:val="center"/>
          </w:tcPr>
          <w:p>
            <w:pPr>
              <w:pStyle w:val="22"/>
              <w:widowControl w:val="0"/>
              <w:spacing w:before="0" w:after="0"/>
              <w:ind w:firstLine="0"/>
              <w:jc w:val="center"/>
              <w:rPr>
                <w:rFonts w:hint="eastAsia" w:ascii="仿宋" w:hAnsi="仿宋" w:eastAsia="仿宋" w:cs="仿宋"/>
                <w:sz w:val="20"/>
              </w:rPr>
            </w:pPr>
          </w:p>
        </w:tc>
        <w:tc>
          <w:tcPr>
            <w:tcW w:w="1897" w:type="dxa"/>
            <w:vAlign w:val="center"/>
          </w:tcPr>
          <w:p>
            <w:pPr>
              <w:pStyle w:val="22"/>
              <w:widowControl w:val="0"/>
              <w:spacing w:before="0" w:after="0"/>
              <w:ind w:firstLine="0"/>
              <w:jc w:val="center"/>
              <w:rPr>
                <w:rFonts w:hint="eastAsia" w:ascii="仿宋" w:hAnsi="仿宋" w:eastAsia="仿宋" w:cs="仿宋"/>
                <w:sz w:val="20"/>
              </w:rPr>
            </w:pPr>
          </w:p>
        </w:tc>
        <w:tc>
          <w:tcPr>
            <w:tcW w:w="1739" w:type="dxa"/>
            <w:vAlign w:val="center"/>
          </w:tcPr>
          <w:p>
            <w:pPr>
              <w:pStyle w:val="22"/>
              <w:widowControl w:val="0"/>
              <w:spacing w:before="0" w:after="0"/>
              <w:ind w:firstLine="0"/>
              <w:jc w:val="center"/>
              <w:rPr>
                <w:rFonts w:hint="eastAsia" w:ascii="仿宋" w:hAnsi="仿宋" w:eastAsia="仿宋" w:cs="仿宋"/>
                <w:sz w:val="20"/>
              </w:rPr>
            </w:pPr>
          </w:p>
        </w:tc>
        <w:tc>
          <w:tcPr>
            <w:tcW w:w="1715" w:type="dxa"/>
            <w:vAlign w:val="center"/>
          </w:tcPr>
          <w:p>
            <w:pPr>
              <w:pStyle w:val="22"/>
              <w:widowControl w:val="0"/>
              <w:spacing w:before="0" w:after="0"/>
              <w:ind w:firstLine="0"/>
              <w:jc w:val="center"/>
              <w:rPr>
                <w:rFonts w:hint="eastAsia" w:ascii="仿宋" w:hAnsi="仿宋" w:eastAsia="仿宋" w:cs="仿宋"/>
                <w:sz w:val="20"/>
              </w:rPr>
            </w:pP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90" w:hRule="atLeast"/>
        </w:trPr>
        <w:tc>
          <w:tcPr>
            <w:tcW w:w="12630"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1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897"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39"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715"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927"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1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897"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39"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15"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63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26"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1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687.68</w:t>
            </w:r>
          </w:p>
        </w:tc>
        <w:tc>
          <w:tcPr>
            <w:tcW w:w="189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387.66</w:t>
            </w:r>
          </w:p>
        </w:tc>
        <w:tc>
          <w:tcPr>
            <w:tcW w:w="1739"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164.45</w:t>
            </w:r>
          </w:p>
        </w:tc>
        <w:tc>
          <w:tcPr>
            <w:tcW w:w="171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63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135.58</w:t>
            </w:r>
          </w:p>
        </w:tc>
        <w:tc>
          <w:tcPr>
            <w:tcW w:w="1426"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技术研究与开发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其他技术研究与开发支出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522.37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280.97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105.82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135.58</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462.55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280.97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135.58</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其他环境保护管理事务支出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462.55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280.97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135.58</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48.92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48.92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48.92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48.92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2119999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102.12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102.12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102.12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102.12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15.27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15.27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58.49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58.49</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28.36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28.36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567" w:bottom="7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常州市环境科学研究院</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540.20</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387.66</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152.55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技术研究与开发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其他技术研究与开发支出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374.89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280.97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93.92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325.97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280.97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其他环境保护管理事务支出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325.97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280.97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48.92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48.92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48.92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48.92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58.49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58.49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常州市环境科学研究院</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387.66</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374.85</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300.46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50.39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540.20</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387.66</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152.55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技术研究与开发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其他技术研究与开发支出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374.89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280.97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93.92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325.97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280.97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其他环境保护管理事务支出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325.97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280.97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102.12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102.12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58.49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58.49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387.66</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374.85</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300.46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300.46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50.39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50.39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76.15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0.16</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0.16</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0.60</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0.16</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0.16</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2.37</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0.28</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18</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7</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40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4</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w:t>
      </w:r>
      <w:r>
        <w:rPr>
          <w:rFonts w:hint="eastAsia" w:ascii="仿宋" w:hAnsi="仿宋" w:eastAsia="仿宋" w:cs="仿宋"/>
          <w:b w:val="0"/>
          <w:bCs w:val="0"/>
          <w:sz w:val="22"/>
          <w:szCs w:val="22"/>
          <w:lang w:val="en-US" w:eastAsia="zh-CN"/>
        </w:rPr>
        <w:t>财政拨款</w:t>
      </w:r>
      <w:r>
        <w:rPr>
          <w:rFonts w:hint="eastAsia" w:ascii="仿宋" w:hAnsi="仿宋" w:eastAsia="仿宋" w:cs="仿宋"/>
          <w:b w:val="0"/>
          <w:bCs w:val="0"/>
          <w:sz w:val="22"/>
          <w:szCs w:val="22"/>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
      </w:r>
      <w:r>
        <w:rPr>
          <w:rFonts w:hint="eastAsia" w:ascii="仿宋" w:hAnsi="仿宋" w:eastAsia="仿宋" w:cs="仿宋"/>
          <w:b w:val="0"/>
          <w:bCs w:val="0"/>
          <w:sz w:val="22"/>
          <w:szCs w:val="22"/>
          <w:lang w:eastAsia="zh-CN"/>
        </w:rPr>
        <w:t>本</w:t>
      </w:r>
      <w:r>
        <w:rPr>
          <w:rFonts w:ascii="仿宋" w:hAnsi="仿宋" w:cs="仿宋" w:eastAsia="仿宋"/>
          <w:sz w:val="22"/>
        </w:rPr>
        <w:t>单位</w:t>
      </w:r>
      <w:r>
        <w:rPr>
          <w:rFonts w:hint="eastAsia" w:ascii="仿宋" w:hAnsi="仿宋" w:eastAsia="仿宋" w:cs="仿宋"/>
          <w:b w:val="0"/>
          <w:bCs w:val="0"/>
          <w:sz w:val="22"/>
          <w:szCs w:val="22"/>
        </w:rPr>
        <w:t>无</w:t>
      </w:r>
      <w:r>
        <w:rPr>
          <w:rFonts w:hint="eastAsia" w:ascii="仿宋" w:hAnsi="仿宋" w:eastAsia="仿宋" w:cs="仿宋"/>
          <w:b w:val="0"/>
          <w:bCs w:val="0"/>
          <w:sz w:val="22"/>
          <w:szCs w:val="22"/>
          <w:lang w:val="en-US" w:eastAsia="zh-CN"/>
        </w:rPr>
        <w:t>财政拨款</w:t>
      </w:r>
      <w:r>
        <w:rPr>
          <w:rFonts w:hint="eastAsia" w:ascii="仿宋" w:hAnsi="仿宋" w:eastAsia="仿宋" w:cs="仿宋"/>
          <w:b w:val="0"/>
          <w:bCs w:val="0"/>
          <w:sz w:val="22"/>
          <w:szCs w:val="22"/>
        </w:rPr>
        <w:t>机关运行经费支出决算，故本表为空。</w:t>
      </w:r>
      <w:r>
        <w:rPr>
          <w:rFonts w:ascii="仿宋" w:hAnsi="仿宋" w:cs="仿宋" w:eastAsia="仿宋"/>
          <w:sz w:val="22"/>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51.73</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51.73</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w:t>
      </w:r>
      <w:r>
        <w:rPr>
          <w:rFonts w:hint="eastAsia" w:ascii="宋体" w:hAnsi="宋体" w:eastAsia="宋体" w:cs="宋体"/>
          <w:b/>
          <w:bCs/>
          <w:color w:val="000000"/>
          <w:kern w:val="0"/>
          <w:sz w:val="36"/>
          <w:szCs w:val="36"/>
          <w:lang w:val="en-US" w:eastAsia="zh-CN" w:bidi="zh-CN"/>
        </w:rPr>
        <w:t>3</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2023年度收入、支出决算总计687.68万元。与上年相比，收、支总计各增加270.87万元，增长64.99%。其中：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（一）收入决算总计687.68万元。包括：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687.68万元。与上年相比，增加270.87万元，增长64.99%，变动原因：经营收入增加约90万；一般公共预算收入新增市级课题和环保专项约101万、人员经费增加约88万（含新增在职人员的人员经费和补发2021年度剩余绩效）。</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（二）支出决算总计687.68万元。包括：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687.68万元。与上年相比，增加270.87万元，增长64.99%，变动原因：2023年淘汰业务用车新购业务用车及房屋修缮的经营支出增加90万;市级课题项目和环保专项支出约101万；人员经费支出增加约88万（含新增在职人员的人员经费和补发2021年度剩余绩效）。</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年收入决算合计687.68万元，其中：财政拨款收入540.2万元，占78.55%；上级补助收入0万元，占0%；财政专户管理教育收费0万元，占0%；事业收入（不含专户管理教育收费）11.9万元，占1.73%；经营收入135.58万元，占19.72%；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2023年度本年支出决算合计687.68万元，其中：基本支出387.66万元，占56.37%；项目支出164.45万元，占23.91%；上缴上级支出0万元，占0%；经营支出135.58万元，占19.72%；对附属单位补助支出0万元，占0%。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收入、支出决算总计540.2万元。与上年相比，收、支总计各增加186.3万元，增长52.64%，变动原因：新增市级课题和环保专项约101万、人员经费增加约85万（含新增在职人员的人员经费和补发2021年度剩余绩效）。</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2023年度财政拨款支出决算540.2万元，占本年支出合计的78.55%。与2023年度财政拨款支出年初预算325.11万元相比，完成年初预算的166.16%。其中：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技术研究与开发（款）其他技术研究与开发支出（项）。年初预算0万元，支出决算58.62万元，（年初预算数为0万元，无法计算完成比率）决算数与年初预算数的差异原因：市级课题资金于年末下达。</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行政事业单位养老支出（款）事业单位离退休（项）。年初预算1.14万元，支出决算1.14万元，完成年初预算的100%。决算数与年初预算数相同。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行政事业单位医疗（款）公务员医疗补助（项）。年初预算3.43万元，支出决算3.43万元，完成年初预算的100%。决算数与年初预算数相同。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其他环境保护管理事务支出（项）。年初预算213.5万元，支出决算325.97万元，完成年初预算的152.68%。决算数与年初预算数的差异原因：补发2021年度剩余绩效的人员经费支出、新增2名在职员工的人员经费和公用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2.自然生态保护（款）生态保护（项）。年初预算0万元，支出决算48.92万元，（年初预算数为0万元，无法计算完成比率）决算数与年初预算数的差异原因：第三批市级生态环保专项资金于9月初下达指标。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1.住房改革支出（款）住房公积金（项）。年初预算15.27万元，支出决算15.27万元，完成年初预算的100%。决算数与年初预算数相同。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2.住房改革支出（款）提租补贴（项）。年初预算63.41万元，支出决算58.49万元，完成年初预算的92.24%。决算数与年初预算数的差异原因：1名在职人员于4月转为退休人员。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3.住房改革支出（款）购房补贴（项）。年初预算28.36万元，支出决算28.36万元，完成年初预算的100%。决算数与年初预算数相同。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2023年度财政拨款基本支出决算387.66万元，其中：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（一）人员经费374.85万元。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其他工资福利支出、退休费、抚恤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（二）公用经费12.81万元。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主要包括：办公费、印刷费、水费、电费、邮电费、差旅费、会议费、培训费、公务接待费、工会经费、福利费、其他商品和服务支出。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一般公共预算财政拨款支出决算540.2万元。与上年相比，增加186.3万元，增长52.64%，变动原因：新增市级课题和环保专项支出约101万、人员经费支出增加约85万（含新增在职人员的人员经费和补发2021年度剩余绩效）。</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2023年度一般公共预算财政拨款基本支出决算387.66万元，其中：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（一）人员经费374.85万元。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其他工资福利支出、退休费、抚恤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（二）公用经费12.81万元。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主要包括：办公费、印刷费、水费、电费、邮电费、差旅费、会议费、培训费、公务接待费、工会经费、福利费、其他商品和服务支出。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九、财政拨款“三公”经费、会议费、培训费支出情况说明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（一）财政拨款“三公”经费支出总体情况说明。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三公”经费支出决算0.16万元（其中：一般公共预算支出0.16万元；政府性基金预算支出0万元；国有资本经营预算支出0万元）。与上年相比，增加0.16万元，变动原因：新增公务接待费0.16万，为中国环境科学研究院赴常调研座谈会。其中，因公出国（境）费支出0万元，占“三公”经费的0%；公务用车购置及运行维护费支出0万元，占“三公”经费的0%；公务接待费支出0.16万元，占“三公”经费的100%。2023年度财政拨款“三公”经费支出预算0.16万元（其中：一般公共预算支出0.16万元；政府性基金预算支出0万元；国有资本经营预算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（二）财政拨款“三公”经费支出具体情况说明。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2023年12月31日，使用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0.16万元（其中：一般公共预算支出0.16万元；政府性基金预算支出0万元；国有资本经营预算支出0万元），支出决算0.16万元（其中：一般公共预算支出0.16万元；政府性基金预算支出0万元；国有资本经营预算支出0万元），完成调整后预算的100%，决算数与预算数相同。其中：国内公务接待支出0.16万元，接待1批次，18人次，开支内容：按规定开支的公务接待费用；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（三）财政拨款会议费支出决算情况说明。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会议费支出预算3万元（其中：一般公共预算支出3万元；政府性基金预算支出0万元；国有资本经营预算支出0万元），支出决算2.37万元（其中：一般公共预算支出2.37万元；政府性基金预算支出0万元；国有资本经营预算支出0万元），完成调整后预算的79%，决算数与预算数的差异原因：厉行节约、响应政府过紧日子要求。2023年度全年召开会议7个，参加会议40人次，开支内容：在会议期间按规定开支的住宿费、会议费、会议场地租金、交通费等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培训费支出预算0.6万元（其中：一般公共预算支出0.6万元；政府性基金预算支出0万元；国有资本经营预算支出0万元），支出决算0.28万元（其中：一般公共预算支出0.28万元；政府性基金预算支出0万元；国有资本经营预算支出0万元），完成调整后预算的46.67%，决算数与预算数的差异原因：厉行节约、响应政府过紧日子要求。2023年度全年组织培训2个，组织培训4人次，开支内容：在培训期间发生的师资费、住宿费、交通费、伙食费等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十二、财政拨款机关运行经费支出决算情况说明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2023年度机关运行经费支出决算0万元（其中：一般公共预算支出0万元；政府性基金预算支出0万元；国有资本经营预算支出0万元）。与上年决算数相同。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总额51.73万元，其中：政府采购货物支出51.73万元、政府采购工程支出0万元、政府采购服务支出0万元。政府采购授予中小企业合同金额0万元，占政府采购支出总额的0%，其中：授予小微企业合同金额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2023年12月31日，本单位共有车辆5辆，其中：副部(省)级及以上领导用车0辆、主要领导干部用车0辆、机要通信用车0辆、应急保障用车0辆、执法执勤用车0辆、特种专业技术用车0辆、离退休干部用车0辆、其他用车5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2023年度，本单位共0个项目开展了财政重点绩效评价，涉及财政性资金合计0万元；本单位未开展单位整体支出财政重点绩效评价，涉及财政性资金0万元。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本单位共对2023年度已实施完成的5个项目开展了绩效自评价，涉及财政性资金合计180.58万元；本单位共开展1项单位整体支出绩效自评价，涉及财政性资金合计687.68万元。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十九、科学技术支出(类)技术研究与开发(款)其他技术研究与开发支出(项)</w:t>
      </w:r>
      <w:r>
        <w:rPr>
          <w:rFonts w:ascii="仿宋" w:hAnsi="仿宋" w:cs="仿宋" w:eastAsia="仿宋"/>
          <w:b w:val="true"/>
        </w:rPr>
        <w:t>：</w:t>
      </w:r>
      <w:r>
        <w:rPr>
          <w:rFonts w:hint="eastAsia" w:ascii="仿宋" w:hAnsi="仿宋" w:eastAsia="仿宋" w:cs="仿宋"/>
        </w:rPr>
        <w:t>反映除上述项目以外其他用于技术研究与开发方面的支出。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二十三、节能环保支出(类)自然生态保护(款)生态保护(项)</w:t>
      </w:r>
      <w:r>
        <w:rPr>
          <w:rFonts w:ascii="仿宋" w:hAnsi="仿宋" w:cs="仿宋" w:eastAsia="仿宋"/>
          <w:b w:val="true"/>
        </w:rPr>
        <w:t>：</w:t>
      </w:r>
      <w:r>
        <w:rPr>
          <w:rFonts w:hint="eastAsia" w:ascii="仿宋" w:hAnsi="仿宋" w:eastAsia="仿宋" w:cs="仿宋"/>
        </w:rPr>
        <w:t>反映用于生态功能区、生态示范区、生态省（市、县）管理及能力建设、日常管护、宣教、试点示范等支出，生态修复支出，资源开发生态监管支出，生态护林员的劳务报酬等支出。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二十四、节能环保支出(类)其他节能环保支出(款)其他节能环保支出(项)</w:t>
      </w:r>
      <w:r>
        <w:rPr>
          <w:rFonts w:ascii="仿宋" w:hAnsi="仿宋" w:cs="仿宋" w:eastAsia="仿宋"/>
          <w:b w:val="true"/>
        </w:rPr>
        <w:t>：</w:t>
      </w:r>
      <w:r>
        <w:rPr>
          <w:rFonts w:hint="eastAsia" w:ascii="仿宋" w:hAnsi="仿宋" w:eastAsia="仿宋" w:cs="仿宋"/>
        </w:rPr>
        <w:t>反映除上述项目以外其他用于节能环保方面的支出。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常州市环境科学研究院</w:t>
    </w:r>
    <w:bookmarkStart w:id="0" w:name="_GoBack"/>
    <w:bookmarkEnd w:id="0"/>
    <w:r>
      <w:t>2023</w:t>
    </w:r>
    <w:r>
      <w:rPr>
        <w:rFonts w:hint="eastAsia"/>
        <w:lang w:val="en-US" w:eastAsia="zh-CN"/>
      </w:rPr>
      <w:t>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ZhZDYyZDRkNjBlM2JhZTAwNWZjYTM1ZGFmNGQwMjEifQ=="/>
  </w:docVars>
  <w:rsids>
    <w:rsidRoot w:val="00000000"/>
    <w:rsid w:val="00064984"/>
    <w:rsid w:val="00071789"/>
    <w:rsid w:val="000C024B"/>
    <w:rsid w:val="000F12AB"/>
    <w:rsid w:val="001C31F9"/>
    <w:rsid w:val="002E63B1"/>
    <w:rsid w:val="00407CA7"/>
    <w:rsid w:val="00413AD8"/>
    <w:rsid w:val="004C0647"/>
    <w:rsid w:val="00671ED7"/>
    <w:rsid w:val="00672164"/>
    <w:rsid w:val="006732F1"/>
    <w:rsid w:val="007C0F2D"/>
    <w:rsid w:val="008322BB"/>
    <w:rsid w:val="00867423"/>
    <w:rsid w:val="008B5B05"/>
    <w:rsid w:val="009965EA"/>
    <w:rsid w:val="00A6752E"/>
    <w:rsid w:val="00B92181"/>
    <w:rsid w:val="00BD7F33"/>
    <w:rsid w:val="00C15920"/>
    <w:rsid w:val="00C82582"/>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2732</Words>
  <Characters>7627</Characters>
  <Paragraphs>501</Paragraphs>
  <TotalTime>7</TotalTime>
  <ScaleCrop>false</ScaleCrop>
  <LinksUpToDate>false</LinksUpToDate>
  <CharactersWithSpaces>7648</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CC.</cp:lastModifiedBy>
  <dcterms:modified xsi:type="dcterms:W3CDTF">2024-06-18T07:55:31Z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2052-12.1.0.16929</vt:lpwstr>
  </property>
  <property fmtid="{D5CDD505-2E9C-101B-9397-08002B2CF9AE}" pid="6" name="LastSaved">
    <vt:filetime>2021-04-15T00:00:00Z</vt:filetime>
  </property>
</Properties>
</file>