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2022年度</w:t>
              <w:br w:type="textWrapping"/>
              <w:t/>
            </w:r>
            <w:r>
              <w:rPr>
                <w:rFonts w:ascii="宋体" w:hAnsi="宋体" w:cs="宋体" w:eastAsia="宋体"/>
                <w:b w:val="true"/>
                <w:sz w:val="52"/>
              </w:rPr>
              <w:t>常州市文化广电和旅游局</w:t>
            </w:r>
            <w:r>
              <w:rPr>
                <w:rFonts w:ascii="宋体" w:hAnsi="宋体" w:cs="宋体" w:eastAsia="宋体"/>
                <w:b w:val="true"/>
                <w:sz w:val="52"/>
              </w:rPr>
              <w:t xml:space="preserve"></w:t>
              <w:br w:type="textWrapping"/>
              <w:t>单位预算公开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单位</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2022</w:t>
      </w:r>
      <w:r>
        <w:rPr>
          <w:rFonts w:hint="eastAsia" w:ascii="仿宋" w:hAnsi="仿宋" w:eastAsia="仿宋" w:cs="仿宋"/>
        </w:rPr>
        <w:t>年度</w:t>
      </w:r>
      <w:r>
        <w:rPr>
          <w:rFonts w:hint="eastAsia" w:ascii="仿宋" w:hAnsi="仿宋" w:eastAsia="仿宋" w:cs="仿宋"/>
          <w:lang w:val="en-US" w:eastAsia="zh-CN"/>
        </w:rPr>
        <w:t>单位</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lang w:val="en-US" w:eastAsia="zh-CN"/>
        </w:rPr>
        <w:t>年度</w:t>
      </w:r>
      <w:r>
        <w:rPr>
          <w:rFonts w:ascii="仿宋" w:hAnsi="仿宋" w:cs="仿宋" w:eastAsia="仿宋"/>
          <w:b w:val="true"/>
        </w:rPr>
        <w:t>单位</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单位</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5" w:type="default"/>
          <w:pgSz w:w="11906" w:h="16838"/>
          <w:pgMar w:top="1580" w:right="70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单位</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（一）研究拟订全市文化、广播电视、旅游政策措施，依法组织起草有关地方性法规、规章草案和政策文件。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（二）统筹指导全市文化事业、文化产业、广播电视和旅游业发展，拟订发展规划并组织实施，推进文化和旅游融合发展，推进文化和旅游体制机制改革。</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（三）指导、管理全市文艺事业，指导艺术创作生产，扶持体现社会主义核心价值观、具有导向性、代表性、示范性的文艺作品，推动各门类艺术、各艺术品种发展。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（四）负责全市公共文化事业发展，推进全市公共文化服务体系建设和旅游公共服务体系建设，深入实施文化和旅游惠民工程，统筹推进基本公共文化服务标准化、均等化。</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（五）指导、推进全市文化和旅游科技创新发展，推进文化和旅游行业信息化、标准化建设，推进智慧旅游发展。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（六）负责全市文化和旅游资源的普查、挖掘、评估、整合、开发等工作，指导、协调全市文化和旅游产业发展，指导、监督全市文化旅游重点基础设施建设。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（七）管理全市重大文化和旅游活动，组织全市旅游整体形象推广和品牌建设，促进文化产业、旅游产业市场推广和对外合作，制定全市旅游市场开发战略并组织实施，指导、推进全域旅游。</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指导全市文化和旅游市场发展，对全市文化和旅游经营、服务质量进行监管，推进文化和旅游行业信用体系建设，指导全市文化市场综合执法，依法规范文化和旅游市场，负责文化、旅游安全的综合协调和监督管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（九）负责全市非物质文化遗产保护，推动非物质文化遗产的保护、传承、普及、弘扬和振兴。</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综合管理全市广播电视事业，加强广播电视阵地管理，指导、监督广播电视重点基础设施建设，负责对各类广播电视机构进行业务指导和行业监管，监督管理、审查广播电视节目、网络视听节目的内容和质量，负责对广播电视节目传输覆盖、监测和安全播出进行监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（十一）指导、推进全市文物事业发展，组织文物资源调查，指导、协调文物保护利用工作，组织、指导文物考古工作，负责全市博物馆纪念馆监督管理工作。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（十二）承办市委、市政府交办的其他事项。</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单位</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
      </w:r>
      <w:bookmarkStart w:id="0" w:name="_GoBack"/>
      <w:bookmarkEnd w:id="0"/>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本单位内设机构包括：</w:t>
      </w:r>
      <w:r>
        <w:rPr>
          <w:rFonts w:ascii="仿宋" w:hAnsi="仿宋" w:cs="仿宋" w:eastAsia="仿宋"/>
        </w:rPr>
        <w:t/>
      </w:r>
      <w:r>
        <w:rPr>
          <w:rFonts w:ascii="仿宋" w:hAnsi="仿宋" w:cs="仿宋" w:eastAsia="仿宋"/>
        </w:rPr>
        <w:t/>
      </w:r>
      <w:r>
        <w:rPr>
          <w:rFonts w:ascii="仿宋" w:hAnsi="仿宋" w:cs="仿宋" w:eastAsia="仿宋"/>
        </w:rPr>
        <w:t>办公室、政策法规处（行政服务处）、艺术处、公共服务处、科教信息处、规划发展处、文旅产业处、资源开发处、旅游推广处、市场管理处、非物质文化遗产处、文物管理处、文物保护处、广电管理处、技术保障处、财务处、组织人事处，另按规定设置机关党委。</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本单位无下属单位。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2022</w:t>
      </w:r>
      <w:r>
        <w:rPr>
          <w:rFonts w:hint="eastAsia" w:ascii="仿宋" w:hAnsi="仿宋" w:eastAsia="仿宋" w:cs="仿宋"/>
          <w:b/>
          <w:bCs/>
        </w:rPr>
        <w:t>年度</w:t>
      </w:r>
      <w:r>
        <w:rPr>
          <w:rFonts w:ascii="仿宋" w:hAnsi="仿宋" w:cs="仿宋" w:eastAsia="仿宋"/>
          <w:b w:val="true"/>
        </w:rPr>
        <w:t>单位</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2022年是加快实施“532”发展战略的关键之年，市文广旅局将全面贯彻党的十九大及十九届历次全会精神，深入落实省、市党代会决策部署，持续强化文旅融合、资源整合、产品聚合，协同推进长三角文旅中轴、长三角休闲度假中心建设，统筹抓好全域旅游创新发展、文旅产业转型升级、艺术精品创作生产、公共服务质效提升、遗产保护传承利用等重点工作，为建设文化繁荣、旅游兴旺的现代化常州提供坚强保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狠抓大项目，增强文旅核心竞争力。全面掀起大运河文化旅游长廊重点项目建设热潮，建成常州大运河工业遗产展览馆及天虹纺织厂史馆，完成大成三厂文保区修缮、大运河钟楼段两岸绿廊及相关桥梁工程建设，整体提升焦溪古镇文旅景观风貌，大观楼、止园方案设计形成初步成果，用更多耀眼珍珠串起“运河十景”美丽项链。统筹推进老城厢文旅综合提升工程，青果巷历史文化街区二期项目完成业态招商并开街，纺织博览园项目完成桑麻名人馆、纺织博物馆装修展陈、业态招商并投运，大庙弄片区历史风貌改造项目完成玉佩弄风貌提升并启动菜管办大楼修缮及广播电视塔、民居改造，南大街复兴项目完成青云坊地下空间改建，盛宣怀故居保护修缮项目完成故居织补及周边环境整治征收工作，购物中心片区改造项目启动金秋大厦、中联大厦地块工程建设，精心做好前后北岸历史文化街区整治提升、塔寺园一体化、南港片区改造、三堡街文旅消费集聚区等项目方案设计，创成2家省级以上旅游休闲街区，加快把老城厢打造成为文旅新IP、网红打卡地。</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是推动集群化，构建全域旅游新格局。积极构建国内一流的主题公园集群，建成投运曹山未来城国际会展中心，古桥水镇部分区域对外展示，启动温泉小镇、环球中心建设方案设计；开工建设环球恐龙城东方侏罗纪“恐龙星球”项目，打造集创意总部、水世界、雪世界等于一体的休闲度假目的地；基本完成中沙文旅中心主体建筑，打造文旅场景体验“月亮船”。加快构建省内领先的旅游度假区集群，天目湖旅游度假区建成投运方所文化村、民宿集聚区、滨湖亮化景观带等，启动建设夜公园灯光秀、鼎珵历史文化艺术馆等，全力跻身具有世界影响的旅游度假区行列；太湖湾旅游度假区增设露营谷元气地带无动力设施，打造宜居宜游“微度假”旅游目的地；曹山旅游度假区完成省级乡村旅游重点村牛马塘村改造提升，开工建设新阳度假酒店、上陶商业街，争创国家级旅游度假区；茅山旅游度假区建成茅山森林世界景区综合功能区，争创国家级旅游度假区。培育壮大各具特色的乡村旅游集聚区，建成投运壹方创意休闲现代农业产业园、悠然南山特色田园乡村小镇中心商业街、姜下村特色田园综合体“鹅生活”主题农场、“杏花春雨”乡村研学旅游等，打造长三角红色研学第一村——水西村，举办江苏省第十三届乡村旅游节，推出一批乡村休闲旅游精品线路，创成至少3家省级以上乡村旅游重点村镇。</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是发力供给端，实现文旅产品快迭代。加速培育“品美食、住美宿”休闲度假产品，建成投运西太湖万丽、青羽舍、温德姆至尊、施柏阁等精品度假酒店，完成铂骊酒店、英迪格酒店、萨维尔皇家酒店、南山和园开元度假村主体建设，开工建设悦榕庄酒店、瑞吉酒店、希尔顿惠庭等高端品牌酒店，打造运河天地·龙城夜巷、文化广场、陈渡码头等特色美食新地标，评定第二批“常州礼遇”品牌饭店，擦亮“江南美食之都”名片。引导发展“白天观景、晚上看戏”文旅演艺产品，扶持建设义园京剧小剧场、有点意思脱口秀舞台、运河五号沉浸式剧场等特色小剧场，精心打造园林实景版锡剧《后园会》、运河题材话剧《织梦运河》、历史题材实景剧《延陵忆事》等沉浸式演出，举办“紫金艺术节分会场”“文艺精品展演季”等系列展演活动，打响“常州处处有戏”品牌。加快开发“旅游+文化+科技”深度体验产品，建成投用常州智慧文旅监管指挥中心，提升“常享游”平台资源整合、产品开发、宣传推广水平，扩大“云演艺”“云展览”“云课堂”等数字文旅产品供给。</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是释放新潜力，促进文旅产业深融合。提升文旅产业规模化、集约化发展水平，建成投运江苏（常州）网络视听游戏产业园区、百兴教育孵化基地，完成蓝科技文化创意产业园升级改造及富都江南新经济产业园改建工程，推动常州创意产业园区入围国家文化产业示范园区建设单位，创建1-2家省级文化产业示范园区（基地），保持文化产业增加值占比全省第一方阵地位。加快推进国家文化和旅游消费示范城市创建工作，争创1个国家级文化和旅游消费集聚区、1-2个省级文化和旅游消费试点单位、1个省级文化和旅游消费示范单位，不断提高文旅消费对经济发展贡献度。积极推荐优质项目入选国家、省级项目库，全力申报省级文化和旅游发展专项资金、旅游产业发展基金及现代服务业（广播电视）发展专项资金，推动新龙生态林、季子文商旅农综合体、曹山花居、溧阳上兴康养综合开发等入选文旅部开发性金融支持文化和旅游领域重点项目，培树一批引领性、示范性文旅项目。坚持“建成一批、引进一批、培育一批”理念，建立完善专班推进、协同配合、督查考核等机制，确保高标准、高质量完成“532”发展战略各项重点项目（工作），全年力争完成投资200亿元以上，为把常州建设成为长三角文旅高质量发展的重要增长极厚植基础。</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是聚焦高质量，满足美好生活新期待。促进公共文化服务设施由全覆盖向高效能转变，深入推进图书馆、文化馆总分馆制建设，提升“秋白书苑”及基层公共文化场馆服务效能，全力争创一批省级最美公共文化空间、优秀群众文化团队；完成常州博物馆、常州市文化馆、刘海粟美术馆等市级公共文化场馆提升方案设计，启动建设常州经开区文化活动中心等区级公共文化设施，加快构建城乡一体公共文化服务体系。强化艺术精品创作生产传播，打磨提升大型滑稽戏《陈奂生的吃饭问题》、大型锡剧《烛光在前》、中篇弹词《邓稼先》、大型民族管弦乐《守望乡愁》、原创音乐剧《白云溪上》等成熟剧目，重点抓好历史题材锡剧《苏东坡》、滑稽戏《黑皮书记》、儿童剧《草房子》等新创剧目；持续深化国有文艺院团改革，全面实施“员额制”测算管理，完善舞台艺术专家智库，充分用好市文化艺术基金，助力构筑艺术精品创作高地。抓好文旅民生实事项目，全年举办精品文博艺术展览、专业文艺院团惠民演出、社教活动和公益讲座250场次，基层公共文化机构开展公益培训110期次，送戏1000场、送电影8000场、送书50000册，“文旅惠民月”等惠民活动惠及市民超10万人次。</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6"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常州市文化广电和旅游局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单位</w:t>
      </w:r>
      <w:r>
        <w:rPr>
          <w:rFonts w:ascii="仿宋" w:hAnsi="仿宋" w:cs="仿宋" w:eastAsia="仿宋"/>
          <w:b w:val="true"/>
          <w:sz w:val="44"/>
        </w:rPr>
        <w:t>预算表</w:t>
      </w:r>
    </w:p>
    <w:tbl>
      <w:tblPr>
        <w:tblStyle w:val="12"/>
        <w:tblW w:w="11331" w:type="dxa"/>
        <w:jc w:val="center"/>
        <w:tblLayout w:type="fixed"/>
        <w:tblCellMar>
          <w:top w:w="0" w:type="dxa"/>
          <w:left w:w="108" w:type="dxa"/>
          <w:bottom w:w="0" w:type="dxa"/>
          <w:right w:w="108" w:type="dxa"/>
        </w:tblCellMar>
      </w:tblPr>
      <w:tblGrid>
        <w:gridCol w:w="3908"/>
        <w:gridCol w:w="1869"/>
        <w:gridCol w:w="3704"/>
        <w:gridCol w:w="67"/>
        <w:gridCol w:w="1781"/>
        <w:gridCol w:w="2"/>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color w:val="000000"/>
                <w:sz w:val="22"/>
                <w:szCs w:val="22"/>
                <w:lang w:eastAsia="ar-SA"/>
              </w:rPr>
              <w:t>常州市文化广电和旅游局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7,066.25</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6,090.21</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22.78</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34.13</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919.13</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7,066.25</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7,066.25</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val="zh-CN" w:eastAsia="ar-SA"/>
              </w:rPr>
            </w:pPr>
            <w:r>
              <w:rPr>
                <w:rFonts w:hint="eastAsia" w:ascii="仿宋" w:hAnsi="仿宋" w:eastAsia="仿宋" w:cs="仿宋"/>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7,066.25</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支出</w:t>
            </w:r>
            <w:r>
              <w:rPr>
                <w:rFonts w:hint="eastAsia" w:ascii="仿宋" w:hAnsi="仿宋" w:eastAsia="仿宋" w:cs="仿宋"/>
                <w:b/>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7,066.25</w:t>
            </w:r>
          </w:p>
        </w:tc>
        <w:tc>
          <w:tcPr>
            <w:tcW w:w="2" w:type="dxa"/>
          </w:tcPr>
          <w:p>
            <w:pPr>
              <w:widowControl w:val="0"/>
              <w:jc w:val="left"/>
              <w:rPr>
                <w:rFonts w:hint="eastAsia" w:ascii="仿宋" w:hAnsi="仿宋" w:eastAsia="仿宋" w:cs="仿宋"/>
                <w:sz w:val="20"/>
              </w:rPr>
            </w:pP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7"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67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675"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675"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常州市文化广电和旅游局</w:t>
            </w:r>
          </w:p>
        </w:tc>
        <w:tc>
          <w:tcPr>
            <w:tcW w:w="4687"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687"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7,066.25</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7,066.25</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7,066.25</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040001</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常州市文化广电和旅游局</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7,066.25</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7,066.25</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7,066.25</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8"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常州市文化广电和旅游局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7,066.25</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3,073.46</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3,992.79</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6,090.21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2,097.42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3,992.79</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文化和旅游</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5,907.61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2,097.42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3,810.19</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2070101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2,102.42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2,097.42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2070106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艺术表演场所</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2070107</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艺术表演团体</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3,578.69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3,578.69</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2070108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文化活动</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64.70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64.70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2070109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群众文化</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121.00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121.00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2070114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文化和旅游管理事务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广播电视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182.60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182.60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2070801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2070806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监测监管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15.80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15.80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2070808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广播电视事务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147.30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147.30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2070899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其他广播电视支出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行政单位离退休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919.13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919.13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919.13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919.13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223.25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223.25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562.67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562.67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133.21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133.21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9"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常州市文化广电和旅游局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7,066.25</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7,066.25</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7,066.25</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6,090.21</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22.78</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34.13</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919.13</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7,066.25</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7,066.25</w:t>
            </w:r>
          </w:p>
        </w:tc>
      </w:tr>
    </w:tbl>
    <w:p>
      <w:pPr>
        <w:rPr>
          <w:rFonts w:hint="eastAsia" w:ascii="仿宋" w:hAnsi="仿宋" w:eastAsia="仿宋" w:cs="仿宋"/>
          <w:b/>
          <w:bCs/>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常州市文化广电和旅游局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7,066.25</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3,073.46</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2,869.36</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204.10</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3,992.79</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6,090.21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2,097.42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1,893.32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204.10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3,992.79</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文化和旅游</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5,907.61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2,097.42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1,893.32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204.10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3,810.19</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2070101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2,102.42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2,097.42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1,893.32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204.10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6.80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6.80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2070106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艺术表演场所</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2070107</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艺术表演团体</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3,578.69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3,578.69</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2070108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文化活动</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64.70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64.70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2070109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群众文化</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121.00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121.00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2070114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文化和旅游管理事务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广播电视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182.60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182.60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2070801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2070806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监测监管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15.80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15.80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2070808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广播电视事务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147.30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147.30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2070899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其他广播电视支出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12.50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12.50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22.78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22.78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22.78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22.78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22.78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22.78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行政单位离退休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22.78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22.78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22.78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公务员医疗补助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919.13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919.13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919.13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919.13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919.13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919.13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223.25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223.25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223.25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562.67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562.67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562.67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133.21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133.21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133.21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常州市文化广电和旅游局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3,073.46</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2,869.36</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204.10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2,630.81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2,630.81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367.03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367.03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1,064.03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1,064.03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646.59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646.59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156.23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156.23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78.12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78.12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34.13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34.13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223.25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223.25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204.10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204.10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36.19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36.19</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73.15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73.15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5.39</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5.39</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13.86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13.86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68.17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68.17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238.55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238.55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22.45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22.45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212.59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212.59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2"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常州市文化广电和旅游局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7,066.25</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3,073.46</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2,869.36</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204.10</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3,992.79</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6,090.21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2,097.42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1,893.32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204.10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3,992.79</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文化和旅游</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5,907.61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2,097.42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1,893.32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204.10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3,810.19</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2070101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2,102.42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2,097.42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1,893.32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204.10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2070106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艺术表演场所</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2070107</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艺术表演团体</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3,578.69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3,578.69</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2070108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文化活动</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64.70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64.70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2070109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群众文化</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121.00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121.00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2070114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文化和旅游管理事务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广播电视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182.60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182.60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2070801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2070806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监测监管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15.80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15.80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2070808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广播电视事务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147.30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147.30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2070899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其他广播电视支出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行政单位离退休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919.13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919.13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919.13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919.13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919.13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919.13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223.25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223.25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223.25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562.67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562.67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562.67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133.21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133.21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133.21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3"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常州市文化广电和旅游局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3,073.46</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2,869.36</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204.10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2,630.81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2,630.81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367.03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367.03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1,064.03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1,064.03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646.59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646.59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156.23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156.23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78.12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78.12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34.13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34.13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223.25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223.25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204.10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204.10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36.19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36.19</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73.15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73.15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5.39</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5.39</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13.86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13.86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68.17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68.17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238.55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238.55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22.45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22.45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212.59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212.59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常州市文化广电和旅游局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5.39</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5.39</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5.39</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5"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常州市文化广电和旅游局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单位</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6"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常州市文化广电和旅游局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单位</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常州市文化广电和旅游局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204.10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204.10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36.19</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73.15</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5.39</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5.39</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13.86</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福利费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1.85</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68.17</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0.10</w:t>
            </w:r>
          </w:p>
        </w:tc>
      </w:tr>
    </w:tbl>
    <w:p>
      <w:pPr>
        <w:numPr>
          <w:ilvl w:val="0"/>
          <w:numId w:val="0"/>
        </w:numPr>
        <w:tabs>
          <w:tab w:val="left" w:pos="0"/>
        </w:tabs>
        <w:spacing w:before="25" w:after="0"/>
        <w:ind w:left="-1" w:left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7" w:type="default"/>
          <w:pgSz w:w="11906" w:h="16838"/>
          <w:pgMar w:top="1100" w:right="1320"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0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852"/>
        <w:gridCol w:w="1114"/>
        <w:gridCol w:w="965"/>
        <w:gridCol w:w="928"/>
        <w:gridCol w:w="114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86"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常州市文化广电和旅游局</w:t>
            </w:r>
          </w:p>
        </w:tc>
        <w:tc>
          <w:tcPr>
            <w:tcW w:w="414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355"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85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14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355"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355"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常州市文化广电和旅游局</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专用设备购置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投影仪</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专用设备购置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调湿调温机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0.60</w:t>
            </w:r>
          </w:p>
        </w:tc>
      </w:tr>
    </w:tbl>
    <w:p>
      <w:pPr>
        <w:bidi w:val="0"/>
        <w:rPr>
          <w:rFonts w:hint="eastAsia" w:ascii="仿宋" w:hAnsi="仿宋" w:eastAsia="仿宋" w:cs="仿宋"/>
          <w:b/>
          <w:bCs/>
          <w:sz w:val="22"/>
          <w:szCs w:val="22"/>
        </w:rPr>
        <w:sectPr>
          <w:footerReference r:id="rId18" w:type="default"/>
          <w:pgSz w:w="16838" w:h="11906" w:orient="landscape"/>
          <w:pgMar w:top="1320" w:right="1100"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r>
        <w:rPr>
          <w:rFonts w:ascii="仿宋" w:hAnsi="仿宋" w:cs="仿宋" w:eastAsia="仿宋"/>
          <w:b w:val="true"/>
          <w:sz w:val="44"/>
        </w:rPr>
        <w:t>单位</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常州市文化广电和旅游局2022年度收入、支出预算总计7,066.25万元，与上年相比收、支预算总计各增加516.89万元，增长7.89%。</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（一）收入预算总计7,066.25万元。包括：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1．本年收入合计7,066.25万元。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（1）一般公共预算拨款收入7,066.25万元，与上年相比增加516.89万元，增长7.89%。主要原因是深化文化体制改革，对文化项目资金投入逐年增加；单位人员增加，相应的人员预算拨款收入增加。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（二）支出预算总计7,066.25万元。包括：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1．本年支出合计7,066.25万元。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文化旅游体育与传媒支出（类）支出6,090.21万元，主要用于局机关开展文化旅游事务而发生的基本支出和项目支出。与上年相比增加460.94万元，增长8.19%。主要原因是支出功能分类科目调整，人员政策性支出增加；深化文化体制改革，项目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（2）社会保障和就业支出（类）支出22.78万元，主要用于行政单位离退休人员经费支出。与上年相比增加1.41万元，增长6.6%。主要原因是人员政策性支出增加。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（3）卫生健康支出（类）支出34.13万元，主要用于职工医疗保险支出。与上年相比减少57.73万元，减少62.85%。主要原因是支出功能分类科目调整，人员政策性支出减少。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（4）住房保障支出（类）支出919.13万元，主要用于职工住房公积金、新职工房帖、房租补贴等支出。与上年相比增加112.27万元，增长13.91%。主要原因是缴费基数调整，人员政策性支出增加。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常州市文化广电和旅游局2022年收入预算合计7,066.25万元，包括本年收入7,066.25万元，上年结转结余0万元。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本年一般公共预算收入7,066.25万元，占100%；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3"/>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常州市文化广电和旅游局2022年支出预算合计7,066.25万元，其中：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基本支出3,073.46万元，占43.49%；</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项目支出3,992.79万元，占56.51%；</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度财政拨款收、支总预算7,066.25万元。与上年相比，财政拨款收、支总计各增加516.89万元，增长7.89%。主要原因是深化文化体制改革，对文化项目资金投入逐年增加及单位人员政策性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财政拨款预算支出7,066.25万元，占本年支出合计的100%。与上年相比，财政拨款支出增加516.89万元，增长7.89%。主要原因是深化文化体制改革，对文化项目资金投入逐年增加及单位人员政策性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（一）文化旅游体育与传媒支出（类）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1.文化和旅游（款）行政运行（项）支出2,102.42万元，与上年相比减少571.18万元，减少21.36%。主要原因是支出项目政策性调整减少。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文化和旅游（款）一般行政管理事务（项）支出6.8万元，与上年相比增加6.8万元（去年预算数为0万元，无法计算增减比率）。主要原因是支出功能分类科目调整，新增本科目支出，取消文化和旅游（款）其他文化和旅游支出（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文化和旅游（款）艺术表演场所（项）支出20万元，与上年相比增加20万元（去年预算数为0万元，无法计算增减比率）。主要原因是支出功能分类科目调整，新增本科目支出，取消文化和旅游（款）其他文化和旅游支出（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4.文化和旅游（款）艺术表演团体（项）支出3,578.69万元，与上年相比增加1,035.99万元，增长40.74%。主要原因是深化文化体制改革，对文化项目资金投入逐年增加。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文化和旅游（款）文化活动（项）支出64.7万元，与上年相比增加64.7万元（去年预算数为0万元，无法计算增减比率）。主要原因是支出功能分类科目调整，新增本科目支出，取消文化和旅游（款）其他文化和旅游支出（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6.文化和旅游（款）群众文化（项）支出121万元，与上年相比减少13.7万元，减少10.17%。主要原因是支出功能分类科目调整，部分文化项目资金支出调入其他科目支出。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文化和旅游（款）文化和旅游管理事务（项）支出14万元，与上年相比增加14万元（去年预算数为0万元，无法计算增减比率）。主要原因是支出功能分类科目调整，新增本科目支出，取消文物（款）其他文物支出（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广播电视（款）行政运行（项）支出7万元，与上年相比增加7万元（去年预算数为0万元，无法计算增减比率）。主要原因是支出功能分类科目调整，新增本科目支出，取消文化和旅游（款）其他文化和旅游支出（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广播电视（款）监测监管（项）支出15.8万元，与上年相比增加15.8万元（去年预算数为0万元，无法计算增减比率）。主要原因是支出功能分类科目调整，新增本科目支出，取消文化和旅游（款）其他文化和旅游支出（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10.广播电视（款）广播电视事务（项）支出147.3万元，与上年相比增加147.3万元（去年预算数为0万元，无法计算增减比率）。主要原因是支出功能分类科目调整，新增本科目支出，取消文化和旅游（款）其他文化和旅游支出（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11.广播电视（款）其他广播电视支出（项）支出12.5万元，与上年相比增加12.5万元（去年预算数为0万元，无法计算增减比率）。主要原因是支出功能分类科目调整，新增本科目支出，取消文化和旅游（款）其他文化和旅游支出（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行政事业单位养老支出（款）行政单位离退休（项）支出22.78万元，与上年相比增加1.41万元，增长6.6%。主要原因是人员政策性支出增加。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（三）卫生健康支出（类）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行政事业单位医疗（款）公务员医疗补助（项）支出34.13万元，与上年相比减少57.73万元，减少62.85%。主要原因是支出功能分类科目调整，人员政策性支出减少。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（四）住房保障支出（类）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1.住房改革支出（款）住房公积金（项）支出223.25万元，与上年相比增加32.72万元，增长17.17%。主要原因是缴费基数调整，人员政策性支出增加。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2.住房改革支出（款）提租补贴（项）支出562.67万元，与上年相比增加41.93万元，增长8.05%。主要原因是缴费基数调整，人员政策性支出增加。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3.住房改革支出（款）购房补贴（项）支出133.21万元，与上年相比增加37.62万元，增长39.36%。主要原因是缴费基数调整，人员政策性支出增加。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常州市文化广电和旅游局2022年度财政拨款基本支出预算3,073.46万元，其中：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2,869.36万元。主要包括：基本工资、津贴补贴、奖金、机关事业单位基本养老保险缴费、职业年金缴费、职工基本医疗保险缴费、公务员医疗补助缴费、其他社会保障缴费、住房公积金、离休费、退休费、奖励金、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（二）公用经费204.1万元。主要包括：办公费、差旅费、培训费、公务接待费、工会经费、福利费、其他交通费用、其他商品和服务支出。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常州市文化广电和旅游局2022年一般公共预算财政拨款支出预算7,066.25万元，与上年相比增加516.89万元，增长7.89%。主要原因是深化文化体制改革，对文化项目资金投入逐年增加及单位人员政策性支出增加。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常州市文化广电和旅游局2022年度一般公共预算财政拨款基本支出预算3,073.46万元，其中：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2,869.36万元。主要包括：基本工资、津贴补贴、奖金、机关事业单位基本养老保险缴费、职业年金缴费、职工基本医疗保险缴费、公务员医疗补助缴费、其他社会保障缴费、住房公积金、离休费、退休费、奖励金、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（二）公用经费204.1万元。主要包括：办公费、差旅费、培训费、公务接待费、工会经费、福利费、其他交通费用、其他商品和服务支出。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度一般公共预算拨款安排的“三公”经费预算支出中，因公出国（境）费支出0万元，占“三公”经费的0%；公务用车购置及运行维护费支出0万元，占“三公”经费的0%；公务接待费支出5.39万元，占“三公”经费的100%。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2．公务用车购置及运行维护费预算支出0万元。其中：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3．公务接待费预算支出5.39万元，比上年预算增加0.21万元，主要原因是单位人员增加，相应的人员预算经费增加。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常州市文化广电和旅游局2022年度一般公共预算拨款安排的会议费预算支出0万元，与上年预算数相同。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常州市文化广电和旅游局2022年度一般公共预算拨款安排的培训费预算支出5.39万元，比上年预算增加0.21万元，主要原因是单位人员增加，相应的人员预算经费增加。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2022年本单位一般公共预算机关运行经费预算支出204.1万元。与上年相比增加117.86万元，增长136.67%。主要原因是政府收支科目调整及部分运行经费支出增加。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2022年度政府采购支出预算总额1.8万元，其中：拟采购货物支出1.8万元、拟采购工程支出0万元、拟购买服务支出0万元。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单位共有车辆0辆，其中，一般公务用车0辆、执法执勤用车0辆、特种专业技术用车0辆、业务用车0辆、其他用车0辆等。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2022年度，本单位整体支出纳入绩效目标管理，涉及四本预算资金7,066.25万元；本单位共6个项目纳入绩效目标管理，涉及四本预算资金合计7,640万元，占四本预算资金(基本支出除外)总额的比例为100%。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八、文化旅游体育与传媒支出(类)文化和旅游(款)行政运行(项)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九、文化旅游体育与传媒支出(类)文化和旅游(款)一般行政管理事务(项)</w:t>
      </w:r>
      <w:r>
        <w:rPr>
          <w:rFonts w:ascii="仿宋" w:hAnsi="仿宋" w:cs="仿宋" w:eastAsia="仿宋"/>
          <w:b w:val="true"/>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十、文化旅游体育与传媒支出(类)文化和旅游(款)艺术表演场所(项)</w:t>
      </w:r>
      <w:r>
        <w:rPr>
          <w:rFonts w:ascii="仿宋" w:hAnsi="仿宋" w:cs="仿宋" w:eastAsia="仿宋"/>
          <w:b w:val="true"/>
        </w:rPr>
        <w:t>：</w:t>
      </w:r>
      <w:r>
        <w:rPr>
          <w:rFonts w:hint="eastAsia" w:ascii="仿宋" w:hAnsi="仿宋" w:eastAsia="仿宋" w:cs="仿宋"/>
        </w:rPr>
        <w:t>反映文化及其他部门主管的剧场（院）的支出。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十一、文化旅游体育与传媒支出(类)文化和旅游(款)艺术表演团体(项)</w:t>
      </w:r>
      <w:r>
        <w:rPr>
          <w:rFonts w:ascii="仿宋" w:hAnsi="仿宋" w:cs="仿宋" w:eastAsia="仿宋"/>
          <w:b w:val="true"/>
        </w:rPr>
        <w:t>：</w:t>
      </w:r>
      <w:r>
        <w:rPr>
          <w:rFonts w:hint="eastAsia" w:ascii="仿宋" w:hAnsi="仿宋" w:eastAsia="仿宋" w:cs="仿宋"/>
        </w:rPr>
        <w:t>反映文化及其他部门主管的剧院（团）等艺术表演团体的支出。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十二、文化旅游体育与传媒支出(类)文化和旅游(款)文化活动(项)</w:t>
      </w:r>
      <w:r>
        <w:rPr>
          <w:rFonts w:ascii="仿宋" w:hAnsi="仿宋" w:cs="仿宋" w:eastAsia="仿宋"/>
          <w:b w:val="true"/>
        </w:rPr>
        <w:t>：</w:t>
      </w:r>
      <w:r>
        <w:rPr>
          <w:rFonts w:hint="eastAsia" w:ascii="仿宋" w:hAnsi="仿宋" w:eastAsia="仿宋" w:cs="仿宋"/>
        </w:rPr>
        <w:t>反映举办大型文化艺术活动的支出。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十三、文化旅游体育与传媒支出(类)文化和旅游(款)群众文化(项)</w:t>
      </w:r>
      <w:r>
        <w:rPr>
          <w:rFonts w:ascii="仿宋" w:hAnsi="仿宋" w:cs="仿宋" w:eastAsia="仿宋"/>
          <w:b w:val="true"/>
        </w:rPr>
        <w:t>：</w:t>
      </w:r>
      <w:r>
        <w:rPr>
          <w:rFonts w:hint="eastAsia" w:ascii="仿宋" w:hAnsi="仿宋" w:eastAsia="仿宋" w:cs="仿宋"/>
        </w:rPr>
        <w:t>反映群众文化方面的支出，包括基层文化馆（站）、群众艺术馆支出等。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十四、文化旅游体育与传媒支出(类)文化和旅游(款)文化和旅游管理事务(项)</w:t>
      </w:r>
      <w:r>
        <w:rPr>
          <w:rFonts w:ascii="仿宋" w:hAnsi="仿宋" w:cs="仿宋" w:eastAsia="仿宋"/>
          <w:b w:val="true"/>
        </w:rPr>
        <w:t>：</w:t>
      </w:r>
      <w:r>
        <w:rPr>
          <w:rFonts w:hint="eastAsia" w:ascii="仿宋" w:hAnsi="仿宋" w:eastAsia="仿宋" w:cs="仿宋"/>
        </w:rPr>
        <w:t>反映文化和旅游管理事务支出。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十五、文化旅游体育与传媒支出(类)广播电视(款)行政运行(项)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十六、文化旅游体育与传媒支出(类)广播电视(款)监测监管(项)</w:t>
      </w:r>
      <w:r>
        <w:rPr>
          <w:rFonts w:ascii="仿宋" w:hAnsi="仿宋" w:cs="仿宋" w:eastAsia="仿宋"/>
          <w:b w:val="true"/>
        </w:rPr>
        <w:t>：</w:t>
      </w:r>
      <w:r>
        <w:rPr>
          <w:rFonts w:hint="eastAsia" w:ascii="仿宋" w:hAnsi="仿宋" w:eastAsia="仿宋" w:cs="仿宋"/>
        </w:rPr>
        <w:t>反映广播电视监测监管台站等为完成广播电视、网络视听节目监测监管等任务的支出。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十七、文化旅游体育与传媒支出(类)广播电视(款)广播电视事务(项)</w:t>
      </w:r>
      <w:r>
        <w:rPr>
          <w:rFonts w:ascii="仿宋" w:hAnsi="仿宋" w:cs="仿宋" w:eastAsia="仿宋"/>
          <w:b w:val="true"/>
        </w:rPr>
        <w:t>：</w:t>
      </w:r>
      <w:r>
        <w:rPr>
          <w:rFonts w:hint="eastAsia" w:ascii="仿宋" w:hAnsi="仿宋" w:eastAsia="仿宋" w:cs="仿宋"/>
        </w:rPr>
        <w:t>反映广播电视台等的支出。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十八、文化旅游体育与传媒支出(类)广播电视(款)其他广播电视支出(项)</w:t>
      </w:r>
      <w:r>
        <w:rPr>
          <w:rFonts w:ascii="仿宋" w:hAnsi="仿宋" w:cs="仿宋" w:eastAsia="仿宋"/>
          <w:b w:val="true"/>
        </w:rPr>
        <w:t>：</w:t>
      </w:r>
      <w:r>
        <w:rPr>
          <w:rFonts w:hint="eastAsia" w:ascii="仿宋" w:hAnsi="仿宋" w:eastAsia="仿宋" w:cs="仿宋"/>
        </w:rPr>
        <w:t>反映除上述项目以外其他用于广播电视方面的支出。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十九、社会保障和就业支出(类)行政事业单位养老支出(款)行政单位离退休(项)</w:t>
      </w:r>
      <w:r>
        <w:rPr>
          <w:rFonts w:ascii="仿宋" w:hAnsi="仿宋" w:cs="仿宋" w:eastAsia="仿宋"/>
          <w:b w:val="true"/>
        </w:rPr>
        <w:t>：</w:t>
      </w:r>
      <w:r>
        <w:rPr>
          <w:rFonts w:hint="eastAsia" w:ascii="仿宋" w:hAnsi="仿宋" w:eastAsia="仿宋" w:cs="仿宋"/>
        </w:rPr>
        <w:t>反映行政单位（包括实行公务员管理的事业单位）开支的离退休经费。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二十二、住房保障支出(类)住房改革支出(款)提租补贴(项)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二十三、住房保障支出(类)住房改革支出(款)购房补贴(项)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9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常州市文化广电和旅游局</w:t>
    </w:r>
    <w:r>
      <w:t>2022</w:t>
    </w:r>
    <w:r>
      <w:t>年度</w:t>
    </w:r>
    <w:r>
      <w:t>单位</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compat>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36BC"/>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42034"/>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60ECD"/>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6.xml" Type="http://schemas.openxmlformats.org/officeDocument/2006/relationships/footer"/><Relationship Id="rId11" Target="footer7.xml" Type="http://schemas.openxmlformats.org/officeDocument/2006/relationships/footer"/><Relationship Id="rId12" Target="footer8.xml" Type="http://schemas.openxmlformats.org/officeDocument/2006/relationships/footer"/><Relationship Id="rId13" Target="footer9.xml" Type="http://schemas.openxmlformats.org/officeDocument/2006/relationships/footer"/><Relationship Id="rId14" Target="footer10.xml" Type="http://schemas.openxmlformats.org/officeDocument/2006/relationships/footer"/><Relationship Id="rId15" Target="footer11.xml" Type="http://schemas.openxmlformats.org/officeDocument/2006/relationships/footer"/><Relationship Id="rId16" Target="footer12.xml" Type="http://schemas.openxmlformats.org/officeDocument/2006/relationships/footer"/><Relationship Id="rId17" Target="footer13.xml" Type="http://schemas.openxmlformats.org/officeDocument/2006/relationships/footer"/><Relationship Id="rId18" Target="footer14.xml" Type="http://schemas.openxmlformats.org/officeDocument/2006/relationships/footer"/><Relationship Id="rId19" Target="footer15.xml" Type="http://schemas.openxmlformats.org/officeDocument/2006/relationships/footer"/><Relationship Id="rId2" Target="settings.xml" Type="http://schemas.openxmlformats.org/officeDocument/2006/relationships/settings"/><Relationship Id="rId20" Target="theme/theme1.xml" Type="http://schemas.openxmlformats.org/officeDocument/2006/relationships/theme"/><Relationship Id="rId21" Target="../customXml/item1.xml" Type="http://schemas.openxmlformats.org/officeDocument/2006/relationships/customXml"/><Relationship Id="rId22" Target="fontTable.xml" Type="http://schemas.openxmlformats.org/officeDocument/2006/relationships/fontTable"/><Relationship Id="rId23" Target="media/image1.jpeg" Type="http://schemas.openxmlformats.org/officeDocument/2006/relationships/image"/><Relationship Id="rId24" Target="media/image2.jpeg" Type="http://schemas.openxmlformats.org/officeDocument/2006/relationships/image"/><Relationship Id="rId3" Target="header1.xml" Type="http://schemas.openxmlformats.org/officeDocument/2006/relationships/header"/><Relationship Id="rId4" Target="header2.xml" Type="http://schemas.openxmlformats.org/officeDocument/2006/relationships/header"/><Relationship Id="rId5" Target="footer1.xml" Type="http://schemas.openxmlformats.org/officeDocument/2006/relationships/footer"/><Relationship Id="rId6" Target="footer2.xml" Type="http://schemas.openxmlformats.org/officeDocument/2006/relationships/footer"/><Relationship Id="rId7" Target="footer3.xml" Type="http://schemas.openxmlformats.org/officeDocument/2006/relationships/footer"/><Relationship Id="rId8" Target="footer4.xml" Type="http://schemas.openxmlformats.org/officeDocument/2006/relationships/footer"/><Relationship Id="rId9" Target="footer5.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3386</Words>
  <Characters>7333</Characters>
  <Paragraphs>501</Paragraphs>
  <TotalTime>0</TotalTime>
  <ScaleCrop>false</ScaleCrop>
  <LinksUpToDate>false</LinksUpToDate>
  <CharactersWithSpaces>7399</CharactersWithSpaces>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XC</cp:lastModifiedBy>
  <dcterms:modified xsi:type="dcterms:W3CDTF">2022-02-25T04:14:31Z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2052-11.1.0.10314</vt:lpwstr>
  </property>
  <property fmtid="{D5CDD505-2E9C-101B-9397-08002B2CF9AE}" pid="6" name="LastSaved">
    <vt:filetime>2021-04-15T00:00:00Z</vt:filetime>
  </property>
</Properties>
</file>