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0" w:firstLineChars="0"/>
        <w:jc w:val="center"/>
        <w:rPr>
          <w:rFonts w:ascii="方正小标宋简体" w:hAnsi="Arial" w:eastAsia="方正小标宋简体" w:cs="Arial"/>
          <w:color w:val="000000"/>
          <w:kern w:val="0"/>
          <w:sz w:val="44"/>
          <w:szCs w:val="44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4"/>
          <w:szCs w:val="44"/>
        </w:rPr>
        <w:t>2020年度市级预算部门整体支出绩效目标表</w:t>
      </w:r>
    </w:p>
    <w:tbl>
      <w:tblPr>
        <w:tblStyle w:val="4"/>
        <w:tblW w:w="890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1854"/>
        <w:gridCol w:w="2740"/>
        <w:gridCol w:w="25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常州市文化广电和旅游局　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本年度预算资金总额（万元）</w:t>
            </w:r>
          </w:p>
        </w:tc>
        <w:tc>
          <w:tcPr>
            <w:tcW w:w="2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  <w:t>10663.94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1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部门年度工作计划及绩效目标</w:t>
            </w:r>
          </w:p>
        </w:tc>
        <w:tc>
          <w:tcPr>
            <w:tcW w:w="71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楷体_GB2312" w:hAnsi="微软雅黑" w:eastAsia="楷体_GB2312"/>
                <w:color w:val="333333"/>
                <w:sz w:val="18"/>
                <w:szCs w:val="18"/>
              </w:rPr>
            </w:pPr>
            <w:r>
              <w:rPr>
                <w:rFonts w:hint="eastAsia" w:ascii="楷体_GB2312" w:hAnsi="微软雅黑" w:eastAsia="楷体_GB2312"/>
                <w:color w:val="333333"/>
                <w:sz w:val="18"/>
                <w:szCs w:val="18"/>
              </w:rPr>
              <w:t>（一）进一步实施艺术精品生产战略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楷体_GB2312" w:hAnsi="微软雅黑" w:eastAsia="楷体_GB2312"/>
                <w:color w:val="333333"/>
                <w:sz w:val="18"/>
                <w:szCs w:val="18"/>
              </w:rPr>
            </w:pPr>
            <w:r>
              <w:rPr>
                <w:rFonts w:hint="eastAsia" w:ascii="楷体_GB2312" w:hAnsi="微软雅黑" w:eastAsia="楷体_GB2312"/>
                <w:color w:val="333333"/>
                <w:sz w:val="18"/>
                <w:szCs w:val="18"/>
              </w:rPr>
              <w:t>（二）进一步推动高质量旅游明星城市建设工程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楷体_GB2312" w:hAnsi="微软雅黑" w:eastAsia="楷体_GB2312"/>
                <w:color w:val="333333"/>
                <w:sz w:val="18"/>
                <w:szCs w:val="18"/>
              </w:rPr>
            </w:pPr>
            <w:r>
              <w:rPr>
                <w:rFonts w:hint="eastAsia" w:ascii="楷体_GB2312" w:hAnsi="微软雅黑" w:eastAsia="楷体_GB2312"/>
                <w:color w:val="333333"/>
                <w:sz w:val="18"/>
                <w:szCs w:val="18"/>
              </w:rPr>
              <w:t>（三）进一步丰富完善文旅公共服务供给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楷体_GB2312" w:hAnsi="微软雅黑" w:eastAsia="楷体_GB2312"/>
                <w:color w:val="333333"/>
                <w:sz w:val="18"/>
                <w:szCs w:val="18"/>
              </w:rPr>
            </w:pPr>
            <w:r>
              <w:rPr>
                <w:rFonts w:hint="eastAsia" w:ascii="楷体_GB2312" w:hAnsi="微软雅黑" w:eastAsia="楷体_GB2312"/>
                <w:color w:val="333333"/>
                <w:sz w:val="18"/>
                <w:szCs w:val="18"/>
              </w:rPr>
              <w:t>（四）进一步巩固文旅产业发展根基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楷体_GB2312" w:hAnsi="微软雅黑" w:eastAsia="楷体_GB2312"/>
                <w:color w:val="333333"/>
                <w:sz w:val="18"/>
                <w:szCs w:val="18"/>
              </w:rPr>
            </w:pPr>
            <w:r>
              <w:rPr>
                <w:rFonts w:hint="eastAsia" w:ascii="楷体_GB2312" w:hAnsi="微软雅黑" w:eastAsia="楷体_GB2312"/>
                <w:color w:val="333333"/>
                <w:sz w:val="18"/>
                <w:szCs w:val="18"/>
              </w:rPr>
              <w:t>（五）进一步加强文化遗产保护传承利用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_GB2312" w:hAnsi="微软雅黑" w:eastAsia="楷体_GB2312"/>
                <w:color w:val="333333"/>
                <w:sz w:val="18"/>
                <w:szCs w:val="18"/>
              </w:rPr>
              <w:t>（六）进一步提升文旅市场管理水平</w:t>
            </w: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本年目标值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投入</w:t>
            </w:r>
          </w:p>
        </w:tc>
        <w:tc>
          <w:tcPr>
            <w:tcW w:w="18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目标设定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目标合理性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合理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目标明确性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明确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资源配置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人员控制率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≦100%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预算科学性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资产匹配度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匹配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过程</w:t>
            </w:r>
          </w:p>
        </w:tc>
        <w:tc>
          <w:tcPr>
            <w:tcW w:w="18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制度建设与执行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制度健全性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健全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制度执行力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预算管理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预算完成率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eastAsia="宋体"/>
                <w:color w:val="000000"/>
                <w:kern w:val="0"/>
                <w:sz w:val="21"/>
                <w:szCs w:val="21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预算调整率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eastAsia="宋体"/>
                <w:color w:val="000000"/>
                <w:kern w:val="0"/>
                <w:sz w:val="21"/>
                <w:szCs w:val="21"/>
              </w:rPr>
              <w:t>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支付进度率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eastAsia="宋体"/>
                <w:color w:val="000000"/>
                <w:kern w:val="0"/>
                <w:sz w:val="21"/>
                <w:szCs w:val="21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支出合规性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合规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预决算信息公开性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基础信息完善性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完善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产出</w:t>
            </w:r>
            <w:r>
              <w:rPr>
                <w:rFonts w:hAnsi="宋体" w:eastAsia="宋体"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8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职责履行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实际完成率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eastAsia="宋体"/>
                <w:color w:val="000000"/>
                <w:kern w:val="0"/>
                <w:sz w:val="21"/>
                <w:szCs w:val="21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重点工作办结率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eastAsia="宋体"/>
                <w:color w:val="000000"/>
                <w:kern w:val="0"/>
                <w:sz w:val="21"/>
                <w:szCs w:val="21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履职效率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成本控制效果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资产利用率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eastAsia="宋体"/>
                <w:color w:val="000000"/>
                <w:kern w:val="0"/>
                <w:sz w:val="21"/>
                <w:szCs w:val="21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资源开发程度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eastAsia="宋体"/>
                <w:color w:val="000000"/>
                <w:kern w:val="0"/>
                <w:sz w:val="21"/>
                <w:szCs w:val="21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信息化程度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eastAsia="宋体"/>
                <w:color w:val="000000"/>
                <w:kern w:val="0"/>
                <w:sz w:val="21"/>
                <w:szCs w:val="21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效果</w:t>
            </w:r>
          </w:p>
        </w:tc>
        <w:tc>
          <w:tcPr>
            <w:tcW w:w="1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eastAsia="宋体"/>
                <w:color w:val="000000"/>
                <w:kern w:val="0"/>
                <w:sz w:val="21"/>
                <w:szCs w:val="21"/>
              </w:rPr>
              <w:t>目标实现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eastAsia="宋体"/>
                <w:color w:val="000000"/>
                <w:kern w:val="0"/>
                <w:sz w:val="21"/>
                <w:szCs w:val="21"/>
              </w:rPr>
              <w:t>效益实现率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eastAsia="宋体"/>
                <w:color w:val="000000"/>
                <w:kern w:val="0"/>
                <w:sz w:val="21"/>
                <w:szCs w:val="21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社会评价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宋体" w:eastAsia="宋体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Fonts w:hAnsi="宋体" w:eastAsia="宋体"/>
                <w:color w:val="000000"/>
                <w:kern w:val="0"/>
                <w:sz w:val="21"/>
                <w:szCs w:val="21"/>
              </w:rPr>
              <w:t>90%</w:t>
            </w:r>
          </w:p>
        </w:tc>
      </w:tr>
    </w:tbl>
    <w:p>
      <w:pPr>
        <w:ind w:firstLine="640"/>
        <w:rPr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4468"/>
    <w:rsid w:val="00524468"/>
    <w:rsid w:val="00574025"/>
    <w:rsid w:val="087D7B3B"/>
    <w:rsid w:val="3BEA0BC3"/>
    <w:rsid w:val="55FB6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464</Characters>
  <Lines>3</Lines>
  <Paragraphs>1</Paragraphs>
  <TotalTime>4</TotalTime>
  <ScaleCrop>false</ScaleCrop>
  <LinksUpToDate>false</LinksUpToDate>
  <CharactersWithSpaces>544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2020-11-30T01:45:00Z</dcterms:created>
  <dc:creator>常州市晋陵投资集团有限公司(填报)</dc:creator>
  <cp:lastModifiedBy>CHAO_MIN</cp:lastModifiedBy>
  <dcterms:modified xsi:type="dcterms:W3CDTF">2020-11-30T08:59:32Z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