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0135C0">
      <w:pPr>
        <w:widowControl/>
        <w:spacing w:line="700" w:lineRule="exact"/>
        <w:jc w:val="center"/>
        <w:rPr>
          <w:sz w:val="44"/>
          <w:szCs w:val="44"/>
        </w:rPr>
      </w:pPr>
      <w:bookmarkStart w:id="1" w:name="_GoBack"/>
      <w:bookmarkEnd w:id="1"/>
      <w:r>
        <w:rPr>
          <w:rFonts w:hAnsi="宋体"/>
          <w:sz w:val="44"/>
          <w:szCs w:val="44"/>
        </w:rPr>
        <w:t>常州市水利局关于印发《常州市水利工程建设从业单位履约考核信用管理暂行办法》的通知</w:t>
      </w:r>
    </w:p>
    <w:p w14:paraId="707193B2">
      <w:pPr>
        <w:widowControl/>
        <w:spacing w:line="570" w:lineRule="exact"/>
        <w:jc w:val="center"/>
        <w:rPr>
          <w:rFonts w:eastAsia="楷体_GB2312"/>
          <w:sz w:val="32"/>
        </w:rPr>
      </w:pPr>
      <w:r>
        <w:rPr>
          <w:rFonts w:eastAsia="楷体_GB2312"/>
          <w:sz w:val="32"/>
        </w:rPr>
        <w:t>（常水规〔2020〕1号）</w:t>
      </w:r>
    </w:p>
    <w:p w14:paraId="73CD2763">
      <w:pPr>
        <w:widowControl/>
        <w:spacing w:line="570" w:lineRule="exact"/>
        <w:ind w:firstLine="3040" w:firstLineChars="950"/>
        <w:jc w:val="left"/>
        <w:rPr>
          <w:rFonts w:eastAsia="楷体"/>
          <w:sz w:val="32"/>
          <w:szCs w:val="32"/>
        </w:rPr>
      </w:pPr>
    </w:p>
    <w:p w14:paraId="051738E2">
      <w:pPr>
        <w:widowControl/>
        <w:spacing w:line="570" w:lineRule="exact"/>
        <w:jc w:val="left"/>
        <w:rPr>
          <w:rFonts w:eastAsia="仿宋_GB2312"/>
          <w:sz w:val="32"/>
          <w:szCs w:val="32"/>
        </w:rPr>
      </w:pPr>
      <w:r>
        <w:rPr>
          <w:rFonts w:eastAsia="仿宋_GB2312"/>
          <w:sz w:val="32"/>
          <w:szCs w:val="32"/>
        </w:rPr>
        <w:t>各辖市、区水利局，常州经开区农工局，各有关单位：</w:t>
      </w:r>
    </w:p>
    <w:p w14:paraId="7D2F5813">
      <w:pPr>
        <w:widowControl/>
        <w:spacing w:line="570" w:lineRule="exact"/>
        <w:ind w:firstLine="636"/>
        <w:jc w:val="left"/>
        <w:rPr>
          <w:rFonts w:eastAsia="仿宋_GB2312"/>
          <w:sz w:val="32"/>
          <w:szCs w:val="32"/>
        </w:rPr>
      </w:pPr>
      <w:r>
        <w:rPr>
          <w:rFonts w:eastAsia="仿宋_GB2312"/>
          <w:sz w:val="32"/>
          <w:szCs w:val="32"/>
        </w:rPr>
        <w:t>《常州市水利工程建设从业单位履约考核信用管理暂行办法》已经局局长办公会审议通过，现予印发，请贯彻执行。</w:t>
      </w:r>
    </w:p>
    <w:p w14:paraId="6036C547">
      <w:pPr>
        <w:spacing w:line="570" w:lineRule="exact"/>
        <w:rPr>
          <w:rFonts w:eastAsia="仿宋_GB2312"/>
          <w:sz w:val="32"/>
          <w:szCs w:val="32"/>
        </w:rPr>
      </w:pPr>
    </w:p>
    <w:p w14:paraId="5B78091C">
      <w:pPr>
        <w:spacing w:line="800" w:lineRule="exact"/>
        <w:rPr>
          <w:rFonts w:eastAsia="仿宋_GB2312"/>
          <w:sz w:val="32"/>
          <w:szCs w:val="32"/>
        </w:rPr>
      </w:pPr>
    </w:p>
    <w:p w14:paraId="1E6A2B8A">
      <w:pPr>
        <w:pStyle w:val="9"/>
        <w:spacing w:line="570" w:lineRule="exact"/>
        <w:jc w:val="right"/>
        <w:rPr>
          <w:rFonts w:ascii="Times New Roman"/>
          <w:szCs w:val="32"/>
        </w:rPr>
      </w:pPr>
      <w:r>
        <w:rPr>
          <w:rFonts w:ascii="Times New Roman"/>
          <w:szCs w:val="32"/>
        </w:rPr>
        <w:t xml:space="preserve">                                </w:t>
      </w:r>
      <w:r>
        <w:rPr>
          <w:rFonts w:hint="eastAsia" w:ascii="Times New Roman"/>
          <w:szCs w:val="32"/>
        </w:rPr>
        <w:t xml:space="preserve">        </w:t>
      </w:r>
      <w:r>
        <w:rPr>
          <w:rFonts w:ascii="Times New Roman"/>
          <w:szCs w:val="32"/>
        </w:rPr>
        <w:t>常州市水利局</w:t>
      </w:r>
    </w:p>
    <w:p w14:paraId="34DC5DF8">
      <w:pPr>
        <w:pStyle w:val="9"/>
        <w:spacing w:line="570" w:lineRule="exact"/>
        <w:jc w:val="right"/>
        <w:rPr>
          <w:rFonts w:ascii="Times New Roman"/>
          <w:szCs w:val="32"/>
        </w:rPr>
      </w:pPr>
      <w:r>
        <w:rPr>
          <w:rFonts w:ascii="Times New Roman"/>
          <w:szCs w:val="32"/>
        </w:rPr>
        <w:t xml:space="preserve">                             </w:t>
      </w:r>
      <w:r>
        <w:rPr>
          <w:rFonts w:hint="eastAsia" w:ascii="Times New Roman"/>
          <w:szCs w:val="32"/>
        </w:rPr>
        <w:t xml:space="preserve">   </w:t>
      </w:r>
      <w:r>
        <w:rPr>
          <w:rFonts w:ascii="Times New Roman"/>
          <w:szCs w:val="32"/>
        </w:rPr>
        <w:t>2020年12月1日</w:t>
      </w:r>
    </w:p>
    <w:p w14:paraId="1BBF4D7F">
      <w:pPr>
        <w:spacing w:line="700" w:lineRule="exact"/>
        <w:jc w:val="center"/>
        <w:rPr>
          <w:rFonts w:eastAsia="仿宋_GB2312"/>
          <w:sz w:val="28"/>
          <w:szCs w:val="28"/>
        </w:rPr>
      </w:pPr>
    </w:p>
    <w:p w14:paraId="462A04CC">
      <w:pPr>
        <w:spacing w:line="700" w:lineRule="exact"/>
        <w:jc w:val="center"/>
        <w:rPr>
          <w:sz w:val="36"/>
          <w:szCs w:val="36"/>
        </w:rPr>
      </w:pPr>
      <w:r>
        <w:rPr>
          <w:sz w:val="36"/>
          <w:szCs w:val="36"/>
        </w:rPr>
        <w:t>常州市水利工程建设从业单位履约考核</w:t>
      </w:r>
    </w:p>
    <w:p w14:paraId="71FEE6BE">
      <w:pPr>
        <w:spacing w:line="700" w:lineRule="exact"/>
        <w:jc w:val="center"/>
        <w:rPr>
          <w:sz w:val="36"/>
          <w:szCs w:val="36"/>
        </w:rPr>
      </w:pPr>
      <w:r>
        <w:rPr>
          <w:sz w:val="36"/>
          <w:szCs w:val="36"/>
        </w:rPr>
        <w:t>信用管理暂行办法</w:t>
      </w:r>
    </w:p>
    <w:p w14:paraId="04CD73BE">
      <w:pPr>
        <w:spacing w:line="550" w:lineRule="exact"/>
        <w:rPr>
          <w:rFonts w:eastAsia="方正仿宋_GBK"/>
          <w:sz w:val="32"/>
          <w:szCs w:val="32"/>
        </w:rPr>
      </w:pPr>
    </w:p>
    <w:p w14:paraId="68C4C1C4">
      <w:pPr>
        <w:spacing w:line="550" w:lineRule="exact"/>
        <w:jc w:val="center"/>
        <w:rPr>
          <w:rFonts w:eastAsia="黑体"/>
          <w:sz w:val="32"/>
          <w:szCs w:val="32"/>
        </w:rPr>
      </w:pPr>
      <w:r>
        <w:rPr>
          <w:rFonts w:eastAsia="黑体"/>
          <w:sz w:val="32"/>
          <w:szCs w:val="32"/>
        </w:rPr>
        <w:t>第一章  总则</w:t>
      </w:r>
    </w:p>
    <w:p w14:paraId="70DB177D">
      <w:pPr>
        <w:spacing w:line="550" w:lineRule="exact"/>
        <w:ind w:firstLine="640" w:firstLineChars="200"/>
        <w:rPr>
          <w:rFonts w:eastAsia="仿宋_GB2312"/>
          <w:sz w:val="32"/>
          <w:szCs w:val="32"/>
        </w:rPr>
      </w:pPr>
      <w:r>
        <w:rPr>
          <w:rFonts w:eastAsia="黑体"/>
          <w:sz w:val="32"/>
          <w:szCs w:val="32"/>
        </w:rPr>
        <w:t>第一条</w:t>
      </w:r>
      <w:r>
        <w:rPr>
          <w:rFonts w:eastAsia="方正仿宋_GBK"/>
          <w:b/>
          <w:sz w:val="32"/>
          <w:szCs w:val="32"/>
        </w:rPr>
        <w:t xml:space="preserve"> </w:t>
      </w:r>
      <w:r>
        <w:rPr>
          <w:rFonts w:eastAsia="仿宋_GB2312"/>
          <w:sz w:val="32"/>
          <w:szCs w:val="32"/>
        </w:rPr>
        <w:t>为进一步规范我市水利工程建设市场秩序，加强水利建设市场主体信用管理，根据《国务院关于建立完善守信联合激励和失信联合惩戒制度加快推进社会诚信建设的指导意见》（国发〔2016〕33号）、《江苏省水利工程建设从业单位履约考核信用管理办法》（苏水规〔2019〕6号）和《市政府办公室关于印发常州市社会法人失信惩戒实施办法（试行）的通知》（常政办发〔2015〕157号）等规定，结合我市实际，制定《常州市水利工程建设从业单位履约考核信用管理暂行办法》（以下简称《办法》）。</w:t>
      </w:r>
    </w:p>
    <w:p w14:paraId="29125D3F">
      <w:pPr>
        <w:widowControl/>
        <w:spacing w:line="550" w:lineRule="exact"/>
        <w:ind w:firstLine="640" w:firstLineChars="200"/>
        <w:rPr>
          <w:rFonts w:eastAsia="仿宋_GB2312"/>
          <w:kern w:val="0"/>
          <w:sz w:val="32"/>
          <w:szCs w:val="32"/>
        </w:rPr>
      </w:pPr>
      <w:r>
        <w:rPr>
          <w:rFonts w:hAnsi="黑体" w:eastAsia="黑体"/>
          <w:sz w:val="32"/>
          <w:szCs w:val="32"/>
        </w:rPr>
        <w:t>第二条</w:t>
      </w:r>
      <w:r>
        <w:rPr>
          <w:rFonts w:eastAsia="仿宋_GB2312"/>
          <w:b/>
          <w:sz w:val="32"/>
          <w:szCs w:val="32"/>
        </w:rPr>
        <w:t xml:space="preserve"> </w:t>
      </w:r>
      <w:r>
        <w:rPr>
          <w:rFonts w:eastAsia="仿宋_GB2312"/>
          <w:kern w:val="0"/>
          <w:sz w:val="32"/>
          <w:szCs w:val="32"/>
        </w:rPr>
        <w:t>本市行政区域内同时满足下列条件的水利工程建设项目的从业单位在建设过程中的履约考核信用管理适用本《办法》。</w:t>
      </w:r>
    </w:p>
    <w:p w14:paraId="4E246988">
      <w:pPr>
        <w:widowControl/>
        <w:spacing w:line="550" w:lineRule="exact"/>
        <w:ind w:firstLine="640" w:firstLineChars="200"/>
        <w:rPr>
          <w:rFonts w:eastAsia="仿宋_GB2312"/>
          <w:kern w:val="0"/>
          <w:sz w:val="32"/>
          <w:szCs w:val="32"/>
        </w:rPr>
      </w:pPr>
      <w:r>
        <w:rPr>
          <w:rFonts w:eastAsia="仿宋_GB2312"/>
          <w:kern w:val="0"/>
          <w:sz w:val="32"/>
          <w:szCs w:val="32"/>
        </w:rPr>
        <w:t>（一）本市水行政主管部门负责监管的水利工程建设项目。</w:t>
      </w:r>
    </w:p>
    <w:p w14:paraId="34CDF1A9">
      <w:pPr>
        <w:spacing w:line="550" w:lineRule="exact"/>
        <w:ind w:firstLine="640" w:firstLineChars="200"/>
        <w:rPr>
          <w:rFonts w:eastAsia="仿宋_GB2312"/>
          <w:kern w:val="0"/>
          <w:sz w:val="32"/>
          <w:szCs w:val="32"/>
        </w:rPr>
      </w:pPr>
      <w:r>
        <w:rPr>
          <w:rFonts w:eastAsia="仿宋_GB2312"/>
          <w:kern w:val="0"/>
          <w:sz w:val="32"/>
          <w:szCs w:val="32"/>
        </w:rPr>
        <w:t>（二）施工单项合同总价在</w:t>
      </w:r>
      <w:r>
        <w:rPr>
          <w:rFonts w:eastAsia="仿宋_GB2312"/>
          <w:sz w:val="32"/>
          <w:szCs w:val="32"/>
        </w:rPr>
        <w:t>400</w:t>
      </w:r>
      <w:r>
        <w:rPr>
          <w:rFonts w:eastAsia="仿宋_GB2312"/>
          <w:kern w:val="0"/>
          <w:sz w:val="32"/>
          <w:szCs w:val="32"/>
        </w:rPr>
        <w:t>万元人民币以上且施工总工期超过60天的项目</w:t>
      </w:r>
      <w:r>
        <w:rPr>
          <w:rFonts w:eastAsia="仿宋_GB2312"/>
          <w:sz w:val="32"/>
          <w:szCs w:val="32"/>
        </w:rPr>
        <w:t>；</w:t>
      </w:r>
      <w:r>
        <w:rPr>
          <w:rFonts w:eastAsia="仿宋_GB2312"/>
          <w:kern w:val="0"/>
          <w:sz w:val="32"/>
          <w:szCs w:val="32"/>
        </w:rPr>
        <w:t>重要设备、材料等货物采购单项合同总价在</w:t>
      </w:r>
      <w:r>
        <w:rPr>
          <w:rFonts w:eastAsia="仿宋_GB2312"/>
          <w:sz w:val="32"/>
          <w:szCs w:val="32"/>
        </w:rPr>
        <w:t>200</w:t>
      </w:r>
      <w:r>
        <w:rPr>
          <w:rFonts w:eastAsia="仿宋_GB2312"/>
          <w:kern w:val="0"/>
          <w:sz w:val="32"/>
          <w:szCs w:val="32"/>
        </w:rPr>
        <w:t>万元人民币以上的项目。</w:t>
      </w:r>
    </w:p>
    <w:p w14:paraId="183A38DA">
      <w:pPr>
        <w:spacing w:line="550" w:lineRule="exact"/>
        <w:ind w:firstLine="640" w:firstLineChars="200"/>
        <w:rPr>
          <w:rFonts w:eastAsia="仿宋_GB2312"/>
          <w:sz w:val="32"/>
          <w:szCs w:val="32"/>
        </w:rPr>
      </w:pPr>
      <w:r>
        <w:rPr>
          <w:rFonts w:hAnsi="黑体" w:eastAsia="黑体"/>
          <w:sz w:val="32"/>
          <w:szCs w:val="32"/>
        </w:rPr>
        <w:t>第三条</w:t>
      </w:r>
      <w:r>
        <w:rPr>
          <w:rFonts w:eastAsia="仿宋_GB2312"/>
          <w:b/>
          <w:sz w:val="32"/>
          <w:szCs w:val="32"/>
        </w:rPr>
        <w:t xml:space="preserve"> </w:t>
      </w:r>
      <w:r>
        <w:rPr>
          <w:rFonts w:eastAsia="仿宋_GB2312"/>
          <w:sz w:val="32"/>
          <w:szCs w:val="32"/>
        </w:rPr>
        <w:t>本《办法》所称水利工程建设从业单位履约考核信用管理，是指本市水行政主管部门对符合第二条的从业单位在建设全过程中的履行合同情况进行动态记录，实行信用档案、履约考核、信用等级评定、应用等管理。</w:t>
      </w:r>
    </w:p>
    <w:p w14:paraId="75997847">
      <w:pPr>
        <w:spacing w:line="550" w:lineRule="exact"/>
        <w:ind w:firstLine="640" w:firstLineChars="200"/>
        <w:rPr>
          <w:rFonts w:eastAsia="仿宋_GB2312"/>
          <w:sz w:val="32"/>
          <w:szCs w:val="32"/>
        </w:rPr>
      </w:pPr>
      <w:r>
        <w:rPr>
          <w:rFonts w:hAnsi="黑体" w:eastAsia="黑体"/>
          <w:sz w:val="32"/>
          <w:szCs w:val="32"/>
        </w:rPr>
        <w:t>第四条</w:t>
      </w:r>
      <w:r>
        <w:rPr>
          <w:rFonts w:eastAsia="仿宋_GB2312"/>
          <w:sz w:val="32"/>
          <w:szCs w:val="32"/>
        </w:rPr>
        <w:t xml:space="preserve"> 市水行政主管部门负责全市水利工程建设从业单位履约考核信用管理，各辖市（区）水行政主管部门协助开展信用管理，参与履约考核和信用等级评审工作。</w:t>
      </w:r>
    </w:p>
    <w:p w14:paraId="4E7DD049">
      <w:pPr>
        <w:spacing w:line="550" w:lineRule="exact"/>
        <w:ind w:firstLine="640" w:firstLineChars="200"/>
        <w:rPr>
          <w:rFonts w:eastAsia="仿宋_GB2312"/>
          <w:sz w:val="32"/>
          <w:szCs w:val="32"/>
        </w:rPr>
      </w:pPr>
      <w:r>
        <w:rPr>
          <w:rFonts w:eastAsia="仿宋_GB2312"/>
          <w:sz w:val="32"/>
          <w:szCs w:val="32"/>
        </w:rPr>
        <w:t>市水行政主管部门负责成立由市、县（区）两级水行政主管部门相关人员组成的常州市水利工程建设从业单位履约考核信用管理评审组（以下简称评审组），主要负责研究确定履约考核内容和评分标准，会商评定从业单位季度履约考核等次和信用等级等相关事宜。</w:t>
      </w:r>
    </w:p>
    <w:p w14:paraId="77FA265B">
      <w:pPr>
        <w:spacing w:line="550" w:lineRule="exact"/>
        <w:ind w:firstLine="640" w:firstLineChars="200"/>
        <w:rPr>
          <w:rFonts w:eastAsia="仿宋_GB2312"/>
          <w:sz w:val="32"/>
          <w:szCs w:val="32"/>
        </w:rPr>
      </w:pPr>
      <w:r>
        <w:rPr>
          <w:rFonts w:hAnsi="黑体" w:eastAsia="黑体"/>
          <w:sz w:val="32"/>
          <w:szCs w:val="32"/>
        </w:rPr>
        <w:t>第五条</w:t>
      </w:r>
      <w:r>
        <w:rPr>
          <w:rFonts w:eastAsia="黑体"/>
          <w:sz w:val="32"/>
          <w:szCs w:val="32"/>
        </w:rPr>
        <w:t xml:space="preserve"> </w:t>
      </w:r>
      <w:r>
        <w:rPr>
          <w:rFonts w:eastAsia="仿宋_GB2312"/>
          <w:sz w:val="32"/>
          <w:szCs w:val="32"/>
        </w:rPr>
        <w:t>常州市水利工程建设从业单位履约考核信用管理的电子平台为“常州市水利工程建设从业单位履约考核信用管理平台”（以下简称“信用管理平台”）。</w:t>
      </w:r>
    </w:p>
    <w:p w14:paraId="6EF80E6F">
      <w:pPr>
        <w:spacing w:line="550" w:lineRule="exact"/>
        <w:ind w:firstLine="640" w:firstLineChars="200"/>
        <w:rPr>
          <w:rFonts w:eastAsia="仿宋_GB2312"/>
          <w:sz w:val="32"/>
          <w:szCs w:val="32"/>
        </w:rPr>
      </w:pPr>
    </w:p>
    <w:p w14:paraId="3F6DED15">
      <w:pPr>
        <w:spacing w:line="550" w:lineRule="exact"/>
        <w:jc w:val="center"/>
        <w:rPr>
          <w:rFonts w:eastAsia="黑体"/>
          <w:sz w:val="32"/>
          <w:szCs w:val="32"/>
        </w:rPr>
      </w:pPr>
      <w:r>
        <w:rPr>
          <w:rFonts w:hAnsi="黑体" w:eastAsia="黑体"/>
          <w:sz w:val="32"/>
          <w:szCs w:val="32"/>
        </w:rPr>
        <w:t>第二章</w:t>
      </w:r>
      <w:r>
        <w:rPr>
          <w:rFonts w:eastAsia="黑体"/>
          <w:sz w:val="32"/>
          <w:szCs w:val="32"/>
        </w:rPr>
        <w:t xml:space="preserve">  </w:t>
      </w:r>
      <w:r>
        <w:rPr>
          <w:rFonts w:hAnsi="黑体" w:eastAsia="黑体"/>
          <w:sz w:val="32"/>
          <w:szCs w:val="32"/>
        </w:rPr>
        <w:t>信用档案的建立和管理</w:t>
      </w:r>
    </w:p>
    <w:p w14:paraId="7857A8DF">
      <w:pPr>
        <w:spacing w:line="550" w:lineRule="exact"/>
        <w:ind w:firstLine="640" w:firstLineChars="200"/>
        <w:rPr>
          <w:rFonts w:eastAsia="仿宋_GB2312"/>
          <w:sz w:val="32"/>
          <w:szCs w:val="32"/>
        </w:rPr>
      </w:pPr>
      <w:r>
        <w:rPr>
          <w:rFonts w:hAnsi="黑体" w:eastAsia="黑体"/>
          <w:sz w:val="32"/>
          <w:szCs w:val="32"/>
        </w:rPr>
        <w:t>第六条</w:t>
      </w:r>
      <w:r>
        <w:rPr>
          <w:rFonts w:eastAsia="仿宋_GB2312"/>
          <w:b/>
          <w:sz w:val="32"/>
          <w:szCs w:val="32"/>
        </w:rPr>
        <w:t xml:space="preserve"> </w:t>
      </w:r>
      <w:r>
        <w:rPr>
          <w:rFonts w:eastAsia="仿宋_GB2312"/>
          <w:sz w:val="32"/>
          <w:szCs w:val="32"/>
        </w:rPr>
        <w:t>信用档案包括但不限于以下信息：</w:t>
      </w:r>
    </w:p>
    <w:p w14:paraId="67FEAE52">
      <w:pPr>
        <w:spacing w:line="550" w:lineRule="exact"/>
        <w:ind w:firstLine="640" w:firstLineChars="200"/>
        <w:rPr>
          <w:rFonts w:eastAsia="仿宋_GB2312"/>
          <w:sz w:val="32"/>
          <w:szCs w:val="32"/>
        </w:rPr>
      </w:pPr>
      <w:r>
        <w:rPr>
          <w:rFonts w:eastAsia="仿宋_GB2312"/>
          <w:sz w:val="32"/>
          <w:szCs w:val="32"/>
        </w:rPr>
        <w:t>（一）从业单位基本情况；</w:t>
      </w:r>
    </w:p>
    <w:p w14:paraId="728B62E6">
      <w:pPr>
        <w:spacing w:line="550" w:lineRule="exact"/>
        <w:ind w:firstLine="640" w:firstLineChars="200"/>
        <w:rPr>
          <w:rFonts w:eastAsia="仿宋_GB2312"/>
          <w:sz w:val="32"/>
          <w:szCs w:val="32"/>
        </w:rPr>
      </w:pPr>
      <w:r>
        <w:rPr>
          <w:rFonts w:eastAsia="仿宋_GB2312"/>
          <w:sz w:val="32"/>
          <w:szCs w:val="32"/>
        </w:rPr>
        <w:t>（二）主要从业人员基本情况；</w:t>
      </w:r>
    </w:p>
    <w:p w14:paraId="472479E3">
      <w:pPr>
        <w:spacing w:line="550" w:lineRule="exact"/>
        <w:ind w:firstLine="640" w:firstLineChars="200"/>
        <w:rPr>
          <w:rFonts w:eastAsia="仿宋_GB2312"/>
          <w:sz w:val="32"/>
          <w:szCs w:val="32"/>
        </w:rPr>
      </w:pPr>
      <w:r>
        <w:rPr>
          <w:rFonts w:eastAsia="仿宋_GB2312"/>
          <w:sz w:val="32"/>
          <w:szCs w:val="32"/>
        </w:rPr>
        <w:t>（三）从业单位在建项目季度履约考核等次和信用等级情况；</w:t>
      </w:r>
    </w:p>
    <w:p w14:paraId="115A637C">
      <w:pPr>
        <w:spacing w:line="550" w:lineRule="exact"/>
        <w:ind w:firstLine="640" w:firstLineChars="200"/>
        <w:rPr>
          <w:rFonts w:eastAsia="仿宋_GB2312"/>
          <w:sz w:val="32"/>
          <w:szCs w:val="32"/>
        </w:rPr>
      </w:pPr>
      <w:r>
        <w:rPr>
          <w:rFonts w:eastAsia="仿宋_GB2312"/>
          <w:sz w:val="32"/>
          <w:szCs w:val="32"/>
        </w:rPr>
        <w:t>（四）从业单位受到有关政府或者行政主管部门的奖励、表彰、处罚等记录；</w:t>
      </w:r>
    </w:p>
    <w:p w14:paraId="4D49D7D9">
      <w:pPr>
        <w:spacing w:line="550" w:lineRule="exact"/>
        <w:ind w:firstLine="640" w:firstLineChars="200"/>
        <w:rPr>
          <w:rFonts w:eastAsia="仿宋_GB2312"/>
          <w:sz w:val="32"/>
          <w:szCs w:val="32"/>
        </w:rPr>
      </w:pPr>
      <w:r>
        <w:rPr>
          <w:rFonts w:eastAsia="仿宋_GB2312"/>
          <w:sz w:val="32"/>
          <w:szCs w:val="32"/>
        </w:rPr>
        <w:t>（五）信用承诺书；</w:t>
      </w:r>
    </w:p>
    <w:p w14:paraId="49925566">
      <w:pPr>
        <w:spacing w:line="550" w:lineRule="exact"/>
        <w:ind w:firstLine="640" w:firstLineChars="200"/>
        <w:rPr>
          <w:rFonts w:eastAsia="仿宋_GB2312"/>
          <w:sz w:val="32"/>
          <w:szCs w:val="32"/>
        </w:rPr>
      </w:pPr>
      <w:r>
        <w:rPr>
          <w:rFonts w:eastAsia="仿宋_GB2312"/>
          <w:sz w:val="32"/>
          <w:szCs w:val="32"/>
        </w:rPr>
        <w:t>（六）国家公共信用信息中心出具的信用信息报告。</w:t>
      </w:r>
    </w:p>
    <w:p w14:paraId="74FF0580">
      <w:pPr>
        <w:spacing w:line="550" w:lineRule="exact"/>
        <w:ind w:firstLine="640" w:firstLineChars="200"/>
        <w:rPr>
          <w:rFonts w:eastAsia="仿宋_GB2312"/>
          <w:sz w:val="32"/>
          <w:szCs w:val="32"/>
        </w:rPr>
      </w:pPr>
      <w:r>
        <w:rPr>
          <w:rFonts w:hAnsi="黑体" w:eastAsia="黑体"/>
          <w:sz w:val="32"/>
          <w:szCs w:val="32"/>
        </w:rPr>
        <w:t>第七条</w:t>
      </w:r>
      <w:r>
        <w:rPr>
          <w:rFonts w:eastAsia="黑体"/>
          <w:sz w:val="32"/>
          <w:szCs w:val="32"/>
        </w:rPr>
        <w:t xml:space="preserve"> </w:t>
      </w:r>
      <w:r>
        <w:rPr>
          <w:rFonts w:eastAsia="仿宋_GB2312"/>
          <w:sz w:val="32"/>
          <w:szCs w:val="32"/>
        </w:rPr>
        <w:t>信用档案中的从业单位和主要从业人员基本情况由从业单位在“水利建设市场监管平台” （以下统一简称“平台”）和“江苏省水利工程建设企业信用信息系统”（以下统一简称“系统”）中自主填报。从业单位对所填报内容的真实性、准确性、完整性和及时性负责。</w:t>
      </w:r>
    </w:p>
    <w:p w14:paraId="1A2C0B05">
      <w:pPr>
        <w:spacing w:line="550" w:lineRule="exact"/>
        <w:ind w:firstLine="640" w:firstLineChars="200"/>
        <w:rPr>
          <w:rFonts w:eastAsia="仿宋_GB2312"/>
          <w:sz w:val="32"/>
          <w:szCs w:val="32"/>
        </w:rPr>
      </w:pPr>
      <w:r>
        <w:rPr>
          <w:rFonts w:eastAsia="仿宋_GB2312"/>
          <w:sz w:val="32"/>
          <w:szCs w:val="32"/>
        </w:rPr>
        <w:t>市水行政主管部门在从业单位填报或者更新基本情况时，可要求从业单位提交所填报内容的主要证明材料原件进行校验。从业单位在“平台”和“系统”中录入的信息存在虚假或不符合实际情况的，按照《市政府办公室关于印发常州市社会法人失信惩戒实施办法（试行）的通知》（常政办发〔2015〕157号</w:t>
      </w:r>
      <w:r>
        <w:rPr>
          <w:rFonts w:eastAsia="仿宋_GB2312"/>
          <w:sz w:val="32"/>
          <w:szCs w:val="32"/>
          <w:lang w:eastAsia="zh-Hans"/>
        </w:rPr>
        <w:t>，以下简称《</w:t>
      </w:r>
      <w:r>
        <w:rPr>
          <w:rFonts w:eastAsia="仿宋_GB2312"/>
          <w:sz w:val="32"/>
          <w:szCs w:val="32"/>
        </w:rPr>
        <w:t>失信惩戒实施办法</w:t>
      </w:r>
      <w:r>
        <w:rPr>
          <w:rFonts w:eastAsia="仿宋_GB2312"/>
          <w:sz w:val="32"/>
          <w:szCs w:val="32"/>
          <w:lang w:eastAsia="zh-Hans"/>
        </w:rPr>
        <w:t>》</w:t>
      </w:r>
      <w:r>
        <w:rPr>
          <w:rFonts w:eastAsia="仿宋_GB2312"/>
          <w:sz w:val="32"/>
          <w:szCs w:val="32"/>
        </w:rPr>
        <w:t>）进行认定和处理。</w:t>
      </w:r>
    </w:p>
    <w:p w14:paraId="6AA8685C">
      <w:pPr>
        <w:spacing w:line="550" w:lineRule="exact"/>
        <w:ind w:firstLine="640" w:firstLineChars="200"/>
        <w:rPr>
          <w:rFonts w:eastAsia="仿宋_GB2312"/>
          <w:sz w:val="32"/>
          <w:szCs w:val="32"/>
        </w:rPr>
      </w:pPr>
      <w:r>
        <w:rPr>
          <w:rFonts w:hAnsi="黑体" w:eastAsia="黑体"/>
          <w:sz w:val="32"/>
          <w:szCs w:val="32"/>
        </w:rPr>
        <w:t>第八条</w:t>
      </w:r>
      <w:r>
        <w:rPr>
          <w:rFonts w:eastAsia="仿宋_GB2312"/>
          <w:sz w:val="32"/>
          <w:szCs w:val="32"/>
        </w:rPr>
        <w:t>  从业单位应当在购买招标文件前建立信用档案。采用直接发包的项目，从业单位应当在签订合同前建立信用档案。</w:t>
      </w:r>
    </w:p>
    <w:p w14:paraId="712B9C11">
      <w:pPr>
        <w:spacing w:line="550" w:lineRule="exact"/>
        <w:ind w:firstLine="640" w:firstLineChars="200"/>
        <w:rPr>
          <w:rFonts w:eastAsia="仿宋_GB2312"/>
          <w:sz w:val="32"/>
          <w:szCs w:val="32"/>
        </w:rPr>
      </w:pPr>
      <w:r>
        <w:rPr>
          <w:rFonts w:hAnsi="黑体" w:eastAsia="黑体"/>
          <w:sz w:val="32"/>
          <w:szCs w:val="32"/>
        </w:rPr>
        <w:t>第九条</w:t>
      </w:r>
      <w:r>
        <w:rPr>
          <w:rFonts w:eastAsia="仿宋_GB2312"/>
          <w:sz w:val="32"/>
          <w:szCs w:val="32"/>
        </w:rPr>
        <w:t>  各级水行政主管部门应当将从业单位参与本区域内水利工程建设的奖励、处罚等信息，或从其他有关部门采集的奖励、处罚等信息及时录入“信用管理平台”，记入信用档案。</w:t>
      </w:r>
    </w:p>
    <w:p w14:paraId="03A9E4F8">
      <w:pPr>
        <w:spacing w:line="550" w:lineRule="exact"/>
        <w:ind w:firstLine="640" w:firstLineChars="200"/>
        <w:rPr>
          <w:rFonts w:eastAsia="仿宋_GB2312"/>
          <w:sz w:val="32"/>
          <w:szCs w:val="32"/>
        </w:rPr>
      </w:pPr>
    </w:p>
    <w:p w14:paraId="33B0BCEF">
      <w:pPr>
        <w:spacing w:line="550" w:lineRule="exact"/>
        <w:jc w:val="center"/>
        <w:rPr>
          <w:rFonts w:eastAsia="黑体"/>
          <w:sz w:val="32"/>
          <w:szCs w:val="32"/>
        </w:rPr>
      </w:pPr>
      <w:r>
        <w:rPr>
          <w:rFonts w:hAnsi="黑体" w:eastAsia="黑体"/>
          <w:sz w:val="32"/>
          <w:szCs w:val="32"/>
        </w:rPr>
        <w:t>第三章</w:t>
      </w:r>
      <w:r>
        <w:rPr>
          <w:rFonts w:eastAsia="黑体"/>
          <w:sz w:val="32"/>
          <w:szCs w:val="32"/>
        </w:rPr>
        <w:t>  </w:t>
      </w:r>
      <w:r>
        <w:rPr>
          <w:rFonts w:hAnsi="黑体" w:eastAsia="黑体"/>
          <w:sz w:val="32"/>
          <w:szCs w:val="32"/>
        </w:rPr>
        <w:t>履约考核程序和要求</w:t>
      </w:r>
    </w:p>
    <w:p w14:paraId="56318C5E">
      <w:pPr>
        <w:spacing w:line="550" w:lineRule="exact"/>
        <w:ind w:firstLine="640" w:firstLineChars="200"/>
        <w:rPr>
          <w:rFonts w:eastAsia="仿宋_GB2312"/>
          <w:sz w:val="32"/>
          <w:szCs w:val="32"/>
        </w:rPr>
      </w:pPr>
      <w:r>
        <w:rPr>
          <w:rFonts w:hAnsi="黑体" w:eastAsia="黑体"/>
          <w:sz w:val="32"/>
          <w:szCs w:val="32"/>
        </w:rPr>
        <w:t>第十条</w:t>
      </w:r>
      <w:r>
        <w:rPr>
          <w:rFonts w:eastAsia="仿宋_GB2312"/>
          <w:b/>
          <w:sz w:val="32"/>
          <w:szCs w:val="32"/>
        </w:rPr>
        <w:t xml:space="preserve"> </w:t>
      </w:r>
      <w:r>
        <w:rPr>
          <w:rFonts w:eastAsia="仿宋_GB2312"/>
          <w:sz w:val="32"/>
          <w:szCs w:val="32"/>
        </w:rPr>
        <w:t>常州市水利工程建设从业单位履约考核主要内容包括进度控制、质量控制、安全文明、项目管理等，并结合日常监督检查、稽察、审计等情况进行综合考核。</w:t>
      </w:r>
    </w:p>
    <w:p w14:paraId="25E0CA25">
      <w:pPr>
        <w:spacing w:line="550" w:lineRule="exact"/>
        <w:ind w:firstLine="640" w:firstLineChars="200"/>
        <w:rPr>
          <w:rFonts w:eastAsia="仿宋_GB2312"/>
          <w:sz w:val="32"/>
          <w:szCs w:val="32"/>
        </w:rPr>
      </w:pPr>
      <w:r>
        <w:rPr>
          <w:rFonts w:hAnsi="黑体" w:eastAsia="黑体"/>
          <w:sz w:val="32"/>
          <w:szCs w:val="32"/>
        </w:rPr>
        <w:t>第十一条</w:t>
      </w:r>
      <w:r>
        <w:rPr>
          <w:rFonts w:eastAsia="仿宋_GB2312"/>
          <w:b/>
          <w:sz w:val="32"/>
          <w:szCs w:val="32"/>
        </w:rPr>
        <w:t xml:space="preserve"> </w:t>
      </w:r>
      <w:r>
        <w:rPr>
          <w:rFonts w:eastAsia="仿宋_GB2312"/>
          <w:sz w:val="32"/>
          <w:szCs w:val="32"/>
        </w:rPr>
        <w:t>履约考核原则上每季度进行一次，季度履约考核按照分级负责、全面覆盖的原则开展。考核期内新开工未满一个月的合同不列入本季度考核范围。</w:t>
      </w:r>
    </w:p>
    <w:p w14:paraId="6F4F3BF8">
      <w:pPr>
        <w:spacing w:line="550" w:lineRule="exact"/>
        <w:ind w:firstLine="640" w:firstLineChars="200"/>
        <w:rPr>
          <w:rFonts w:eastAsia="仿宋_GB2312"/>
          <w:sz w:val="32"/>
          <w:szCs w:val="32"/>
        </w:rPr>
      </w:pPr>
      <w:r>
        <w:rPr>
          <w:rFonts w:hAnsi="黑体" w:eastAsia="黑体"/>
          <w:sz w:val="32"/>
          <w:szCs w:val="32"/>
        </w:rPr>
        <w:t>第十二条</w:t>
      </w:r>
      <w:r>
        <w:rPr>
          <w:rFonts w:eastAsia="黑体"/>
          <w:sz w:val="32"/>
          <w:szCs w:val="32"/>
        </w:rPr>
        <w:t xml:space="preserve"> </w:t>
      </w:r>
      <w:r>
        <w:rPr>
          <w:rFonts w:eastAsia="仿宋_GB2312"/>
          <w:sz w:val="32"/>
          <w:szCs w:val="32"/>
          <w:lang w:eastAsia="zh-Hans"/>
        </w:rPr>
        <w:t>季度</w:t>
      </w:r>
      <w:r>
        <w:rPr>
          <w:rFonts w:eastAsia="仿宋_GB2312"/>
          <w:sz w:val="32"/>
          <w:szCs w:val="32"/>
        </w:rPr>
        <w:t>履约考核以</w:t>
      </w:r>
      <w:r>
        <w:rPr>
          <w:rFonts w:eastAsia="仿宋_GB2312"/>
          <w:sz w:val="32"/>
          <w:szCs w:val="32"/>
          <w:lang w:eastAsia="zh-Hans"/>
        </w:rPr>
        <w:t>合同</w:t>
      </w:r>
      <w:r>
        <w:rPr>
          <w:rFonts w:eastAsia="仿宋_GB2312"/>
          <w:sz w:val="32"/>
          <w:szCs w:val="32"/>
        </w:rPr>
        <w:t>为考核单元，分值为100分，由项目法人评分和水行政主管部门评分组成，分值权重分别为50%、50%。其中：由市水行政主管部门、辖市（区）水行政主管部门和项目法人三级考核的</w:t>
      </w:r>
      <w:r>
        <w:rPr>
          <w:rFonts w:eastAsia="仿宋_GB2312"/>
          <w:sz w:val="32"/>
          <w:szCs w:val="32"/>
          <w:lang w:eastAsia="zh-Hans"/>
        </w:rPr>
        <w:t>合同</w:t>
      </w:r>
      <w:r>
        <w:rPr>
          <w:rFonts w:eastAsia="仿宋_GB2312"/>
          <w:sz w:val="32"/>
          <w:szCs w:val="32"/>
        </w:rPr>
        <w:t>，市水行政主管部门、辖市（区）水行政主管部门评分权重分别为20%、30%；由市水行政主管部门和项目法人两级考核的</w:t>
      </w:r>
      <w:r>
        <w:rPr>
          <w:rFonts w:eastAsia="仿宋_GB2312"/>
          <w:sz w:val="32"/>
          <w:szCs w:val="32"/>
          <w:lang w:eastAsia="zh-Hans"/>
        </w:rPr>
        <w:t>合同</w:t>
      </w:r>
      <w:r>
        <w:rPr>
          <w:rFonts w:eastAsia="仿宋_GB2312"/>
          <w:sz w:val="32"/>
          <w:szCs w:val="32"/>
        </w:rPr>
        <w:t>，评分权重各为50%。</w:t>
      </w:r>
    </w:p>
    <w:p w14:paraId="1D4CA364">
      <w:pPr>
        <w:spacing w:line="550" w:lineRule="exact"/>
        <w:ind w:firstLine="640" w:firstLineChars="200"/>
        <w:rPr>
          <w:rFonts w:eastAsia="仿宋_GB2312"/>
          <w:sz w:val="32"/>
          <w:szCs w:val="32"/>
        </w:rPr>
      </w:pPr>
      <w:r>
        <w:rPr>
          <w:rFonts w:eastAsia="仿宋_GB2312"/>
          <w:sz w:val="32"/>
          <w:szCs w:val="32"/>
        </w:rPr>
        <w:t>当各级考核基础分偏差率（按最大值与最小值的差占最小值的百分比计算）在15%以内（含15%），按上述规定的分值权重计算最终得分；当各级考核基础分偏差率在15%以上时，以最低分为最终得分。</w:t>
      </w:r>
    </w:p>
    <w:p w14:paraId="243EFA3E">
      <w:pPr>
        <w:spacing w:line="550" w:lineRule="exact"/>
        <w:ind w:firstLine="640" w:firstLineChars="200"/>
        <w:rPr>
          <w:rFonts w:eastAsia="仿宋_GB2312"/>
          <w:sz w:val="32"/>
          <w:szCs w:val="32"/>
        </w:rPr>
      </w:pPr>
      <w:r>
        <w:rPr>
          <w:rFonts w:hAnsi="黑体" w:eastAsia="黑体"/>
          <w:sz w:val="32"/>
          <w:szCs w:val="32"/>
        </w:rPr>
        <w:t>第十三条</w:t>
      </w:r>
      <w:r>
        <w:rPr>
          <w:rFonts w:eastAsia="黑体"/>
          <w:sz w:val="32"/>
          <w:szCs w:val="32"/>
        </w:rPr>
        <w:t> </w:t>
      </w:r>
      <w:r>
        <w:rPr>
          <w:rFonts w:eastAsia="仿宋_GB2312"/>
          <w:sz w:val="32"/>
          <w:szCs w:val="32"/>
        </w:rPr>
        <w:t> 季度履约考核分为“优”“良”“中”“差”四个考核等次，根据第十</w:t>
      </w:r>
      <w:r>
        <w:rPr>
          <w:rFonts w:eastAsia="仿宋_GB2312"/>
          <w:sz w:val="32"/>
          <w:szCs w:val="32"/>
          <w:lang w:eastAsia="zh-Hans"/>
        </w:rPr>
        <w:t>二</w:t>
      </w:r>
      <w:r>
        <w:rPr>
          <w:rFonts w:eastAsia="仿宋_GB2312"/>
          <w:sz w:val="32"/>
          <w:szCs w:val="32"/>
        </w:rPr>
        <w:t>规定，确定季度履约考核分数。季度履约考核等次依据如下标准确定：</w:t>
      </w:r>
    </w:p>
    <w:p w14:paraId="6EBD6358">
      <w:pPr>
        <w:spacing w:line="550" w:lineRule="exact"/>
        <w:ind w:firstLine="640" w:firstLineChars="200"/>
        <w:rPr>
          <w:rFonts w:eastAsia="仿宋_GB2312"/>
          <w:sz w:val="32"/>
          <w:szCs w:val="32"/>
        </w:rPr>
      </w:pPr>
      <w:r>
        <w:rPr>
          <w:rFonts w:eastAsia="仿宋_GB2312"/>
          <w:sz w:val="32"/>
          <w:szCs w:val="32"/>
        </w:rPr>
        <w:t>（一）评分在90分及以上的，等次评为“优”；</w:t>
      </w:r>
    </w:p>
    <w:p w14:paraId="3673B867">
      <w:pPr>
        <w:spacing w:line="550" w:lineRule="exact"/>
        <w:ind w:firstLine="640" w:firstLineChars="200"/>
        <w:rPr>
          <w:rFonts w:eastAsia="仿宋_GB2312"/>
          <w:sz w:val="32"/>
          <w:szCs w:val="32"/>
        </w:rPr>
      </w:pPr>
      <w:r>
        <w:rPr>
          <w:rFonts w:eastAsia="仿宋_GB2312"/>
          <w:sz w:val="32"/>
          <w:szCs w:val="32"/>
        </w:rPr>
        <w:t>（二）评分在80分及以上，小于90分的，等次评为“良”；</w:t>
      </w:r>
    </w:p>
    <w:p w14:paraId="04CCDB9F">
      <w:pPr>
        <w:spacing w:line="550" w:lineRule="exact"/>
        <w:ind w:firstLine="640" w:firstLineChars="200"/>
        <w:rPr>
          <w:rFonts w:eastAsia="仿宋_GB2312"/>
          <w:sz w:val="32"/>
          <w:szCs w:val="32"/>
        </w:rPr>
      </w:pPr>
      <w:r>
        <w:rPr>
          <w:rFonts w:eastAsia="仿宋_GB2312"/>
          <w:sz w:val="32"/>
          <w:szCs w:val="32"/>
        </w:rPr>
        <w:t>（三）评分在60分及以上，小于80分的，等次评为“中”；</w:t>
      </w:r>
    </w:p>
    <w:p w14:paraId="56C98C60">
      <w:pPr>
        <w:spacing w:line="550" w:lineRule="exact"/>
        <w:ind w:firstLine="640" w:firstLineChars="200"/>
        <w:rPr>
          <w:rFonts w:eastAsia="仿宋_GB2312"/>
          <w:sz w:val="32"/>
          <w:szCs w:val="32"/>
        </w:rPr>
      </w:pPr>
      <w:r>
        <w:rPr>
          <w:rFonts w:eastAsia="仿宋_GB2312"/>
          <w:sz w:val="32"/>
          <w:szCs w:val="32"/>
        </w:rPr>
        <w:t>（四）评分在60分以下的，等次评为“差”。</w:t>
      </w:r>
    </w:p>
    <w:p w14:paraId="472DB47B">
      <w:pPr>
        <w:spacing w:line="550" w:lineRule="exact"/>
        <w:ind w:firstLine="640" w:firstLineChars="200"/>
        <w:rPr>
          <w:rFonts w:eastAsia="仿宋_GB2312"/>
          <w:sz w:val="32"/>
          <w:szCs w:val="32"/>
        </w:rPr>
      </w:pPr>
      <w:r>
        <w:rPr>
          <w:rFonts w:hAnsi="黑体" w:eastAsia="黑体"/>
          <w:sz w:val="32"/>
          <w:szCs w:val="32"/>
        </w:rPr>
        <w:t>第十四条</w:t>
      </w:r>
      <w:r>
        <w:rPr>
          <w:rFonts w:eastAsia="仿宋_GB2312"/>
          <w:sz w:val="32"/>
          <w:szCs w:val="32"/>
        </w:rPr>
        <w:t xml:space="preserve"> 项目法人应当在申报项目开工备案的同时，在“信用管理平台”提交</w:t>
      </w:r>
      <w:r>
        <w:rPr>
          <w:rFonts w:eastAsia="仿宋_GB2312"/>
          <w:sz w:val="32"/>
          <w:szCs w:val="32"/>
          <w:lang w:eastAsia="zh-Hans"/>
        </w:rPr>
        <w:t>合同</w:t>
      </w:r>
      <w:r>
        <w:rPr>
          <w:rFonts w:eastAsia="仿宋_GB2312"/>
          <w:sz w:val="32"/>
          <w:szCs w:val="32"/>
        </w:rPr>
        <w:t>履约考核申请，经相关水行政主管部门审核后形成履约考核</w:t>
      </w:r>
      <w:r>
        <w:rPr>
          <w:rFonts w:eastAsia="仿宋_GB2312"/>
          <w:sz w:val="32"/>
          <w:szCs w:val="32"/>
          <w:lang w:eastAsia="zh-Hans"/>
        </w:rPr>
        <w:t>合同</w:t>
      </w:r>
      <w:r>
        <w:rPr>
          <w:rFonts w:eastAsia="仿宋_GB2312"/>
          <w:sz w:val="32"/>
          <w:szCs w:val="32"/>
        </w:rPr>
        <w:t>清单。</w:t>
      </w:r>
    </w:p>
    <w:p w14:paraId="665E2DC9">
      <w:pPr>
        <w:spacing w:line="550" w:lineRule="exact"/>
        <w:ind w:firstLine="640" w:firstLineChars="200"/>
        <w:rPr>
          <w:rFonts w:eastAsia="仿宋_GB2312"/>
          <w:sz w:val="32"/>
          <w:szCs w:val="32"/>
        </w:rPr>
      </w:pPr>
      <w:r>
        <w:rPr>
          <w:rFonts w:hAnsi="黑体" w:eastAsia="黑体"/>
          <w:sz w:val="32"/>
          <w:szCs w:val="32"/>
        </w:rPr>
        <w:t>第十五条</w:t>
      </w:r>
      <w:r>
        <w:rPr>
          <w:rFonts w:eastAsia="黑体"/>
          <w:sz w:val="32"/>
          <w:szCs w:val="32"/>
        </w:rPr>
        <w:t xml:space="preserve"> </w:t>
      </w:r>
      <w:r>
        <w:rPr>
          <w:rFonts w:eastAsia="仿宋_GB2312"/>
          <w:sz w:val="32"/>
          <w:szCs w:val="32"/>
        </w:rPr>
        <w:t>各履约</w:t>
      </w:r>
      <w:r>
        <w:rPr>
          <w:rFonts w:eastAsia="仿宋_GB2312"/>
          <w:sz w:val="32"/>
          <w:szCs w:val="32"/>
          <w:lang w:eastAsia="zh-Hans"/>
        </w:rPr>
        <w:t>合同</w:t>
      </w:r>
      <w:r>
        <w:rPr>
          <w:rFonts w:eastAsia="仿宋_GB2312"/>
          <w:sz w:val="32"/>
          <w:szCs w:val="32"/>
        </w:rPr>
        <w:t>因地方矛盾、重大设计变更等原因或不可抗力因素导致工程无法正常施工时，项目法人应及时在 “信用管理平台”申请暂停履约考核，当工程恢复正常施工时应及时申请恢复履约考核，相关水行政主管部门按权限负责审核。</w:t>
      </w:r>
    </w:p>
    <w:p w14:paraId="47F44155">
      <w:pPr>
        <w:spacing w:line="550" w:lineRule="exact"/>
        <w:ind w:firstLine="640" w:firstLineChars="200"/>
        <w:rPr>
          <w:rFonts w:eastAsia="仿宋_GB2312"/>
          <w:sz w:val="32"/>
          <w:szCs w:val="32"/>
        </w:rPr>
      </w:pPr>
      <w:r>
        <w:rPr>
          <w:rFonts w:hAnsi="黑体" w:eastAsia="黑体"/>
          <w:sz w:val="32"/>
          <w:szCs w:val="32"/>
        </w:rPr>
        <w:t>第十六条</w:t>
      </w:r>
      <w:r>
        <w:rPr>
          <w:rFonts w:eastAsia="仿宋_GB2312"/>
          <w:sz w:val="32"/>
          <w:szCs w:val="32"/>
        </w:rPr>
        <w:t xml:space="preserve"> 各履约考核合同有下列情形之一的，由项目法人提交相关证明材料后，在“信用管理平台”申请终止履约考核，相关水行政主管部门按权限负责审核。</w:t>
      </w:r>
    </w:p>
    <w:p w14:paraId="3E7823D2">
      <w:pPr>
        <w:spacing w:line="550" w:lineRule="exact"/>
        <w:ind w:firstLine="640" w:firstLineChars="200"/>
        <w:rPr>
          <w:rFonts w:eastAsia="仿宋_GB2312"/>
          <w:sz w:val="32"/>
          <w:szCs w:val="32"/>
        </w:rPr>
      </w:pPr>
      <w:r>
        <w:rPr>
          <w:rFonts w:eastAsia="仿宋_GB2312"/>
          <w:sz w:val="32"/>
          <w:szCs w:val="32"/>
        </w:rPr>
        <w:t>（一）合同工程已完工；</w:t>
      </w:r>
    </w:p>
    <w:p w14:paraId="6EE85580">
      <w:pPr>
        <w:spacing w:line="550" w:lineRule="exact"/>
        <w:ind w:firstLine="640" w:firstLineChars="200"/>
        <w:rPr>
          <w:rFonts w:eastAsia="仿宋_GB2312"/>
          <w:sz w:val="32"/>
          <w:szCs w:val="32"/>
        </w:rPr>
      </w:pPr>
      <w:r>
        <w:rPr>
          <w:rFonts w:eastAsia="仿宋_GB2312"/>
          <w:sz w:val="32"/>
          <w:szCs w:val="32"/>
        </w:rPr>
        <w:t>（二）合同工程量已完成80%以上，且主体工程已完成；</w:t>
      </w:r>
    </w:p>
    <w:p w14:paraId="4F80C379">
      <w:pPr>
        <w:spacing w:line="550" w:lineRule="exact"/>
        <w:ind w:firstLine="640" w:firstLineChars="200"/>
        <w:rPr>
          <w:rFonts w:eastAsia="仿宋_GB2312"/>
          <w:sz w:val="32"/>
          <w:szCs w:val="32"/>
        </w:rPr>
      </w:pPr>
      <w:r>
        <w:rPr>
          <w:rFonts w:eastAsia="仿宋_GB2312"/>
          <w:sz w:val="32"/>
          <w:szCs w:val="32"/>
        </w:rPr>
        <w:t>（三）工程因不可抗力等原因导致工程无法继续实施；</w:t>
      </w:r>
    </w:p>
    <w:p w14:paraId="3C8B01BE">
      <w:pPr>
        <w:spacing w:line="550" w:lineRule="exact"/>
        <w:ind w:firstLine="640" w:firstLineChars="200"/>
        <w:rPr>
          <w:rFonts w:eastAsia="仿宋_GB2312"/>
          <w:sz w:val="32"/>
          <w:szCs w:val="32"/>
        </w:rPr>
      </w:pPr>
      <w:r>
        <w:rPr>
          <w:rFonts w:eastAsia="仿宋_GB2312"/>
          <w:sz w:val="32"/>
          <w:szCs w:val="32"/>
        </w:rPr>
        <w:t>（四）其他认定无需再进行履约考核的情形。</w:t>
      </w:r>
    </w:p>
    <w:p w14:paraId="3C1D0DFC">
      <w:pPr>
        <w:spacing w:line="550" w:lineRule="exact"/>
        <w:ind w:firstLine="640" w:firstLineChars="200"/>
        <w:rPr>
          <w:rFonts w:eastAsia="仿宋_GB2312"/>
          <w:sz w:val="32"/>
          <w:szCs w:val="32"/>
        </w:rPr>
      </w:pPr>
      <w:r>
        <w:rPr>
          <w:rFonts w:hAnsi="黑体" w:eastAsia="黑体"/>
          <w:sz w:val="32"/>
          <w:szCs w:val="32"/>
        </w:rPr>
        <w:t>第十七条</w:t>
      </w:r>
      <w:r>
        <w:rPr>
          <w:rFonts w:eastAsia="黑体"/>
          <w:sz w:val="32"/>
          <w:szCs w:val="32"/>
        </w:rPr>
        <w:t xml:space="preserve"> </w:t>
      </w:r>
      <w:r>
        <w:rPr>
          <w:rFonts w:eastAsia="仿宋_GB2312"/>
          <w:sz w:val="32"/>
          <w:szCs w:val="32"/>
        </w:rPr>
        <w:t>各级水行政主管部门和项目法人应根据季度履约考核</w:t>
      </w:r>
      <w:r>
        <w:rPr>
          <w:rFonts w:eastAsia="仿宋_GB2312"/>
          <w:sz w:val="32"/>
          <w:szCs w:val="32"/>
          <w:lang w:eastAsia="zh-Hans"/>
        </w:rPr>
        <w:t>合同</w:t>
      </w:r>
      <w:r>
        <w:rPr>
          <w:rFonts w:eastAsia="仿宋_GB2312"/>
          <w:sz w:val="32"/>
          <w:szCs w:val="32"/>
        </w:rPr>
        <w:t>的实际情况，统筹安排考核时间，并在每季度开始后7日内完成上季度履约考核工作，并在</w:t>
      </w:r>
      <w:r>
        <w:rPr>
          <w:rFonts w:eastAsia="仿宋_GB2312"/>
          <w:sz w:val="32"/>
          <w:szCs w:val="32"/>
          <w:lang w:eastAsia="zh-Hans"/>
        </w:rPr>
        <w:t>“</w:t>
      </w:r>
      <w:r>
        <w:rPr>
          <w:rFonts w:eastAsia="仿宋_GB2312"/>
          <w:sz w:val="32"/>
          <w:szCs w:val="32"/>
        </w:rPr>
        <w:t>信用管理平台</w:t>
      </w:r>
      <w:r>
        <w:rPr>
          <w:rFonts w:eastAsia="仿宋_GB2312"/>
          <w:sz w:val="32"/>
          <w:szCs w:val="32"/>
          <w:lang w:eastAsia="zh-Hans"/>
        </w:rPr>
        <w:t>”</w:t>
      </w:r>
      <w:r>
        <w:rPr>
          <w:rFonts w:eastAsia="仿宋_GB2312"/>
          <w:sz w:val="32"/>
          <w:szCs w:val="32"/>
        </w:rPr>
        <w:t>完成赋分。</w:t>
      </w:r>
    </w:p>
    <w:p w14:paraId="138749C3">
      <w:pPr>
        <w:spacing w:line="550" w:lineRule="exact"/>
        <w:ind w:firstLine="640" w:firstLineChars="200"/>
        <w:rPr>
          <w:rFonts w:eastAsia="仿宋_GB2312"/>
          <w:sz w:val="32"/>
          <w:szCs w:val="32"/>
        </w:rPr>
      </w:pPr>
      <w:r>
        <w:rPr>
          <w:rFonts w:hAnsi="黑体" w:eastAsia="黑体"/>
          <w:sz w:val="32"/>
          <w:szCs w:val="32"/>
        </w:rPr>
        <w:t>第十八条</w:t>
      </w:r>
      <w:r>
        <w:rPr>
          <w:rFonts w:eastAsia="仿宋_GB2312"/>
          <w:b/>
          <w:sz w:val="32"/>
          <w:szCs w:val="32"/>
        </w:rPr>
        <w:t xml:space="preserve"> </w:t>
      </w:r>
      <w:r>
        <w:rPr>
          <w:rFonts w:eastAsia="仿宋_GB2312"/>
          <w:sz w:val="32"/>
          <w:szCs w:val="32"/>
        </w:rPr>
        <w:t>季度履约考核等次评定工作按照履约考核资料归集、评审组评审、评审结果网上公示（公示期为5日）、季度履约考核结果公布等程序开展。</w:t>
      </w:r>
    </w:p>
    <w:p w14:paraId="30C7CD97">
      <w:pPr>
        <w:spacing w:line="550" w:lineRule="exact"/>
        <w:ind w:firstLine="640" w:firstLineChars="200"/>
        <w:rPr>
          <w:rFonts w:eastAsia="仿宋_GB2312"/>
          <w:sz w:val="32"/>
          <w:szCs w:val="32"/>
        </w:rPr>
      </w:pPr>
    </w:p>
    <w:p w14:paraId="34D1F321">
      <w:pPr>
        <w:spacing w:line="550" w:lineRule="exact"/>
        <w:jc w:val="center"/>
        <w:rPr>
          <w:rFonts w:eastAsia="黑体"/>
          <w:sz w:val="32"/>
          <w:szCs w:val="32"/>
        </w:rPr>
      </w:pPr>
      <w:r>
        <w:rPr>
          <w:rFonts w:hAnsi="黑体" w:eastAsia="黑体"/>
          <w:sz w:val="32"/>
          <w:szCs w:val="32"/>
        </w:rPr>
        <w:t>第四章</w:t>
      </w:r>
      <w:r>
        <w:rPr>
          <w:rFonts w:eastAsia="黑体"/>
          <w:sz w:val="32"/>
          <w:szCs w:val="32"/>
        </w:rPr>
        <w:t>  </w:t>
      </w:r>
      <w:r>
        <w:rPr>
          <w:rFonts w:hAnsi="黑体" w:eastAsia="黑体"/>
          <w:sz w:val="32"/>
          <w:szCs w:val="32"/>
        </w:rPr>
        <w:t>信用等级划分和评定</w:t>
      </w:r>
    </w:p>
    <w:p w14:paraId="1A034FEC">
      <w:pPr>
        <w:spacing w:line="550" w:lineRule="exact"/>
        <w:ind w:firstLine="640" w:firstLineChars="200"/>
        <w:rPr>
          <w:rFonts w:eastAsia="仿宋_GB2312"/>
          <w:sz w:val="32"/>
          <w:szCs w:val="32"/>
        </w:rPr>
      </w:pPr>
      <w:r>
        <w:rPr>
          <w:rFonts w:hAnsi="黑体" w:eastAsia="黑体"/>
          <w:sz w:val="32"/>
          <w:szCs w:val="32"/>
        </w:rPr>
        <w:t>第十九条</w:t>
      </w:r>
      <w:r>
        <w:rPr>
          <w:rFonts w:eastAsia="仿宋_GB2312"/>
          <w:sz w:val="32"/>
          <w:szCs w:val="32"/>
        </w:rPr>
        <w:t> 常州市水利工程建设从业单位信用等级评审工作在信用等级评级期（前四个季度）内履约考核基础上，每</w:t>
      </w:r>
      <w:r>
        <w:rPr>
          <w:rFonts w:eastAsia="仿宋_GB2312"/>
          <w:sz w:val="32"/>
          <w:szCs w:val="32"/>
          <w:lang w:eastAsia="zh-Hans"/>
        </w:rPr>
        <w:t>年度</w:t>
      </w:r>
      <w:r>
        <w:rPr>
          <w:rFonts w:eastAsia="仿宋_GB2312"/>
          <w:sz w:val="32"/>
          <w:szCs w:val="32"/>
        </w:rPr>
        <w:t>开展一次。信用等级分AAA级、AA级、A级、B级、C级、D级、E级等七个等级。</w:t>
      </w:r>
    </w:p>
    <w:p w14:paraId="16D286F8">
      <w:pPr>
        <w:spacing w:line="550" w:lineRule="exact"/>
        <w:ind w:firstLine="640" w:firstLineChars="200"/>
        <w:rPr>
          <w:rFonts w:eastAsia="仿宋_GB2312"/>
          <w:sz w:val="32"/>
          <w:szCs w:val="32"/>
        </w:rPr>
      </w:pPr>
      <w:r>
        <w:rPr>
          <w:rFonts w:hAnsi="黑体" w:eastAsia="黑体"/>
          <w:sz w:val="32"/>
          <w:szCs w:val="32"/>
        </w:rPr>
        <w:t>第二十条</w:t>
      </w:r>
      <w:r>
        <w:rPr>
          <w:rFonts w:eastAsia="仿宋_GB2312"/>
          <w:sz w:val="32"/>
          <w:szCs w:val="32"/>
        </w:rPr>
        <w:t> 从业单位信用等级</w:t>
      </w:r>
      <w:r>
        <w:rPr>
          <w:rFonts w:eastAsia="仿宋_GB2312"/>
          <w:sz w:val="32"/>
          <w:szCs w:val="32"/>
          <w:lang w:eastAsia="zh-Hans"/>
        </w:rPr>
        <w:t>评定</w:t>
      </w:r>
      <w:r>
        <w:rPr>
          <w:rFonts w:eastAsia="仿宋_GB2312"/>
          <w:sz w:val="32"/>
          <w:szCs w:val="32"/>
        </w:rPr>
        <w:t>依据：</w:t>
      </w:r>
    </w:p>
    <w:p w14:paraId="49A5B06D">
      <w:pPr>
        <w:spacing w:line="550" w:lineRule="exact"/>
        <w:ind w:firstLine="640" w:firstLineChars="200"/>
        <w:rPr>
          <w:rFonts w:eastAsia="仿宋_GB2312"/>
          <w:sz w:val="32"/>
          <w:szCs w:val="32"/>
        </w:rPr>
      </w:pPr>
      <w:r>
        <w:rPr>
          <w:rFonts w:eastAsia="仿宋_GB2312"/>
          <w:sz w:val="32"/>
          <w:szCs w:val="32"/>
        </w:rPr>
        <w:t>（一）从业单位信用等级评级期的履约考核结果；</w:t>
      </w:r>
    </w:p>
    <w:p w14:paraId="00BAE6B5">
      <w:pPr>
        <w:spacing w:line="550" w:lineRule="exact"/>
        <w:ind w:firstLine="640" w:firstLineChars="200"/>
        <w:rPr>
          <w:rFonts w:eastAsia="仿宋_GB2312"/>
          <w:sz w:val="32"/>
          <w:szCs w:val="32"/>
        </w:rPr>
      </w:pPr>
      <w:r>
        <w:rPr>
          <w:rFonts w:eastAsia="仿宋_GB2312"/>
          <w:sz w:val="32"/>
          <w:szCs w:val="32"/>
        </w:rPr>
        <w:t>（二）国家和省、市、县有关部门组织的监督检查、稽察、监察、审计等情况；</w:t>
      </w:r>
    </w:p>
    <w:p w14:paraId="1BAA06D9">
      <w:pPr>
        <w:spacing w:line="550" w:lineRule="exact"/>
        <w:ind w:firstLine="640" w:firstLineChars="200"/>
        <w:rPr>
          <w:rFonts w:eastAsia="仿宋_GB2312"/>
          <w:sz w:val="32"/>
          <w:szCs w:val="32"/>
        </w:rPr>
      </w:pPr>
      <w:r>
        <w:rPr>
          <w:rFonts w:eastAsia="仿宋_GB2312"/>
          <w:sz w:val="32"/>
          <w:szCs w:val="32"/>
        </w:rPr>
        <w:t>（三）经调查核实的社会舆论和群众来信来访情况；</w:t>
      </w:r>
    </w:p>
    <w:p w14:paraId="335EE73C">
      <w:pPr>
        <w:spacing w:line="550" w:lineRule="exact"/>
        <w:ind w:firstLine="640" w:firstLineChars="200"/>
        <w:rPr>
          <w:rFonts w:eastAsia="仿宋_GB2312"/>
          <w:sz w:val="32"/>
          <w:szCs w:val="32"/>
        </w:rPr>
      </w:pPr>
      <w:r>
        <w:rPr>
          <w:rFonts w:eastAsia="仿宋_GB2312"/>
          <w:sz w:val="32"/>
          <w:szCs w:val="32"/>
        </w:rPr>
        <w:t>（四）市公共信用信息中心出具的《江苏省法人公共信用信息一体化审查报告》；</w:t>
      </w:r>
    </w:p>
    <w:p w14:paraId="7FC84B85">
      <w:pPr>
        <w:spacing w:line="550" w:lineRule="exact"/>
        <w:ind w:firstLine="640" w:firstLineChars="200"/>
        <w:rPr>
          <w:rFonts w:eastAsia="仿宋_GB2312"/>
          <w:color w:val="FF0000"/>
          <w:sz w:val="32"/>
          <w:szCs w:val="32"/>
        </w:rPr>
      </w:pPr>
      <w:r>
        <w:rPr>
          <w:rFonts w:eastAsia="仿宋_GB2312"/>
          <w:sz w:val="32"/>
          <w:szCs w:val="32"/>
        </w:rPr>
        <w:t>（五）法律、法规、规章规定的其它情形。</w:t>
      </w:r>
    </w:p>
    <w:p w14:paraId="5F06BDA0">
      <w:pPr>
        <w:spacing w:line="550" w:lineRule="exact"/>
        <w:ind w:firstLine="640" w:firstLineChars="200"/>
        <w:rPr>
          <w:rFonts w:eastAsia="仿宋_GB2312"/>
          <w:sz w:val="32"/>
          <w:szCs w:val="32"/>
        </w:rPr>
      </w:pPr>
      <w:r>
        <w:rPr>
          <w:rFonts w:hAnsi="黑体" w:eastAsia="黑体"/>
          <w:sz w:val="32"/>
          <w:szCs w:val="32"/>
        </w:rPr>
        <w:t>第二十一条</w:t>
      </w:r>
      <w:r>
        <w:rPr>
          <w:rFonts w:eastAsia="仿宋_GB2312"/>
          <w:sz w:val="32"/>
          <w:szCs w:val="32"/>
        </w:rPr>
        <w:t>  从业单位信用等级按以下规定进行评定：</w:t>
      </w:r>
    </w:p>
    <w:p w14:paraId="20A26EB1">
      <w:pPr>
        <w:spacing w:line="550" w:lineRule="exact"/>
        <w:ind w:firstLine="640" w:firstLineChars="200"/>
        <w:rPr>
          <w:rFonts w:eastAsia="仿宋_GB2312"/>
          <w:sz w:val="32"/>
          <w:szCs w:val="32"/>
        </w:rPr>
      </w:pPr>
      <w:r>
        <w:rPr>
          <w:rFonts w:eastAsia="仿宋_GB2312"/>
          <w:sz w:val="32"/>
          <w:szCs w:val="32"/>
        </w:rPr>
        <w:t>（一）从业单位信用等级按下表所列原则进行基本评定。</w:t>
      </w:r>
      <w:r>
        <w:rPr>
          <w:rFonts w:eastAsia="仿宋_GB2312"/>
          <w:sz w:val="32"/>
          <w:szCs w:val="32"/>
          <w:lang w:eastAsia="zh-Hans"/>
        </w:rPr>
        <w:t>下表中“S”为从业单位在</w:t>
      </w:r>
      <w:r>
        <w:rPr>
          <w:rFonts w:eastAsia="仿宋_GB2312"/>
          <w:sz w:val="32"/>
          <w:szCs w:val="32"/>
        </w:rPr>
        <w:t>信用等级评级期</w:t>
      </w:r>
      <w:r>
        <w:rPr>
          <w:rFonts w:eastAsia="仿宋_GB2312"/>
          <w:sz w:val="32"/>
          <w:szCs w:val="32"/>
          <w:lang w:eastAsia="zh-Hans"/>
        </w:rPr>
        <w:t>被履约考核次数，</w:t>
      </w:r>
      <w:r>
        <w:rPr>
          <w:rFonts w:eastAsia="仿宋_GB2312"/>
          <w:sz w:val="32"/>
          <w:szCs w:val="32"/>
        </w:rPr>
        <w:t>“T”</w:t>
      </w:r>
      <w:r>
        <w:rPr>
          <w:rFonts w:eastAsia="仿宋_GB2312"/>
          <w:sz w:val="32"/>
          <w:szCs w:val="32"/>
          <w:lang w:eastAsia="zh-Hans"/>
        </w:rPr>
        <w:t>为</w:t>
      </w:r>
      <w:r>
        <w:rPr>
          <w:rFonts w:eastAsia="仿宋_GB2312"/>
          <w:sz w:val="32"/>
          <w:szCs w:val="32"/>
        </w:rPr>
        <w:t>从业单位信用等级评级期内各履约考核“优”、“良”等次分数的平均值。</w:t>
      </w:r>
    </w:p>
    <w:tbl>
      <w:tblPr>
        <w:tblStyle w:val="18"/>
        <w:tblW w:w="8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6"/>
        <w:gridCol w:w="1640"/>
        <w:gridCol w:w="1910"/>
        <w:gridCol w:w="2026"/>
        <w:gridCol w:w="1608"/>
      </w:tblGrid>
      <w:tr w14:paraId="7C7E8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40" w:hRule="atLeast"/>
          <w:jc w:val="center"/>
        </w:trPr>
        <w:tc>
          <w:tcPr>
            <w:tcW w:w="1566" w:type="dxa"/>
            <w:vMerge w:val="restart"/>
            <w:noWrap w:val="0"/>
            <w:vAlign w:val="center"/>
          </w:tcPr>
          <w:p w14:paraId="3CF0534B">
            <w:pPr>
              <w:spacing w:line="550" w:lineRule="exact"/>
              <w:jc w:val="center"/>
              <w:rPr>
                <w:rFonts w:eastAsia="仿宋_GB2312"/>
                <w:sz w:val="32"/>
                <w:szCs w:val="32"/>
                <w:lang w:eastAsia="zh-Hans"/>
              </w:rPr>
            </w:pPr>
            <w:r>
              <w:rPr>
                <w:rFonts w:eastAsia="仿宋_GB2312"/>
                <w:b/>
                <w:bCs/>
                <w:sz w:val="32"/>
                <w:szCs w:val="32"/>
                <w:lang w:eastAsia="zh-Hans"/>
              </w:rPr>
              <w:t>S</w:t>
            </w:r>
          </w:p>
        </w:tc>
        <w:tc>
          <w:tcPr>
            <w:tcW w:w="7184" w:type="dxa"/>
            <w:gridSpan w:val="4"/>
            <w:noWrap w:val="0"/>
            <w:vAlign w:val="center"/>
          </w:tcPr>
          <w:p w14:paraId="717EA314">
            <w:pPr>
              <w:spacing w:line="550" w:lineRule="exact"/>
              <w:jc w:val="center"/>
              <w:rPr>
                <w:rFonts w:eastAsia="仿宋_GB2312"/>
                <w:sz w:val="32"/>
                <w:szCs w:val="32"/>
              </w:rPr>
            </w:pPr>
            <w:r>
              <w:rPr>
                <w:rFonts w:eastAsia="仿宋_GB2312"/>
                <w:b/>
                <w:bCs/>
                <w:sz w:val="32"/>
                <w:szCs w:val="32"/>
              </w:rPr>
              <w:t>信用等级基本评定</w:t>
            </w:r>
          </w:p>
        </w:tc>
      </w:tr>
      <w:tr w14:paraId="588D9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40" w:hRule="atLeast"/>
          <w:jc w:val="center"/>
        </w:trPr>
        <w:tc>
          <w:tcPr>
            <w:tcW w:w="1566" w:type="dxa"/>
            <w:vMerge w:val="continue"/>
            <w:noWrap w:val="0"/>
            <w:vAlign w:val="center"/>
          </w:tcPr>
          <w:p w14:paraId="782B7E7E">
            <w:pPr>
              <w:spacing w:line="550" w:lineRule="exact"/>
              <w:ind w:firstLine="630"/>
              <w:jc w:val="center"/>
              <w:rPr>
                <w:rFonts w:eastAsia="仿宋_GB2312"/>
                <w:b/>
                <w:bCs/>
                <w:sz w:val="32"/>
                <w:szCs w:val="32"/>
              </w:rPr>
            </w:pPr>
          </w:p>
        </w:tc>
        <w:tc>
          <w:tcPr>
            <w:tcW w:w="1640" w:type="dxa"/>
            <w:noWrap w:val="0"/>
            <w:vAlign w:val="center"/>
          </w:tcPr>
          <w:p w14:paraId="02453157">
            <w:pPr>
              <w:spacing w:line="550" w:lineRule="exact"/>
              <w:jc w:val="center"/>
              <w:rPr>
                <w:rFonts w:eastAsia="仿宋_GB2312"/>
                <w:b/>
                <w:bCs/>
                <w:sz w:val="32"/>
                <w:szCs w:val="32"/>
              </w:rPr>
            </w:pPr>
            <w:r>
              <w:rPr>
                <w:rFonts w:eastAsia="仿宋_GB2312"/>
                <w:b/>
                <w:bCs/>
                <w:sz w:val="32"/>
                <w:szCs w:val="32"/>
              </w:rPr>
              <w:t>AAA</w:t>
            </w:r>
          </w:p>
        </w:tc>
        <w:tc>
          <w:tcPr>
            <w:tcW w:w="1910" w:type="dxa"/>
            <w:noWrap w:val="0"/>
            <w:vAlign w:val="center"/>
          </w:tcPr>
          <w:p w14:paraId="38EFD3D1">
            <w:pPr>
              <w:spacing w:line="550" w:lineRule="exact"/>
              <w:jc w:val="center"/>
              <w:rPr>
                <w:rFonts w:eastAsia="仿宋_GB2312"/>
                <w:b/>
                <w:bCs/>
                <w:sz w:val="32"/>
                <w:szCs w:val="32"/>
              </w:rPr>
            </w:pPr>
            <w:r>
              <w:rPr>
                <w:rFonts w:eastAsia="仿宋_GB2312"/>
                <w:b/>
                <w:bCs/>
                <w:sz w:val="32"/>
                <w:szCs w:val="32"/>
              </w:rPr>
              <w:t>AA</w:t>
            </w:r>
          </w:p>
        </w:tc>
        <w:tc>
          <w:tcPr>
            <w:tcW w:w="2026" w:type="dxa"/>
            <w:noWrap w:val="0"/>
            <w:vAlign w:val="center"/>
          </w:tcPr>
          <w:p w14:paraId="0278C10C">
            <w:pPr>
              <w:spacing w:line="550" w:lineRule="exact"/>
              <w:jc w:val="center"/>
              <w:rPr>
                <w:rFonts w:eastAsia="仿宋_GB2312"/>
                <w:b/>
                <w:bCs/>
                <w:sz w:val="32"/>
                <w:szCs w:val="32"/>
              </w:rPr>
            </w:pPr>
            <w:r>
              <w:rPr>
                <w:rFonts w:eastAsia="仿宋_GB2312"/>
                <w:b/>
                <w:bCs/>
                <w:sz w:val="32"/>
                <w:szCs w:val="32"/>
              </w:rPr>
              <w:t>A</w:t>
            </w:r>
          </w:p>
        </w:tc>
        <w:tc>
          <w:tcPr>
            <w:tcW w:w="1608" w:type="dxa"/>
            <w:noWrap w:val="0"/>
            <w:vAlign w:val="center"/>
          </w:tcPr>
          <w:p w14:paraId="5CDD5CE7">
            <w:pPr>
              <w:spacing w:line="550" w:lineRule="exact"/>
              <w:jc w:val="center"/>
              <w:rPr>
                <w:rFonts w:eastAsia="仿宋_GB2312"/>
                <w:b/>
                <w:bCs/>
                <w:sz w:val="32"/>
                <w:szCs w:val="32"/>
              </w:rPr>
            </w:pPr>
            <w:r>
              <w:rPr>
                <w:rFonts w:eastAsia="仿宋_GB2312"/>
                <w:b/>
                <w:bCs/>
                <w:sz w:val="32"/>
                <w:szCs w:val="32"/>
              </w:rPr>
              <w:t>B</w:t>
            </w:r>
          </w:p>
        </w:tc>
      </w:tr>
      <w:tr w14:paraId="35ABE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40" w:hRule="atLeast"/>
          <w:jc w:val="center"/>
        </w:trPr>
        <w:tc>
          <w:tcPr>
            <w:tcW w:w="1566" w:type="dxa"/>
            <w:noWrap w:val="0"/>
            <w:vAlign w:val="center"/>
          </w:tcPr>
          <w:p w14:paraId="725A6D98">
            <w:pPr>
              <w:spacing w:line="550" w:lineRule="exact"/>
              <w:jc w:val="center"/>
              <w:rPr>
                <w:rFonts w:eastAsia="仿宋_GB2312"/>
                <w:sz w:val="32"/>
                <w:szCs w:val="32"/>
              </w:rPr>
            </w:pPr>
            <w:r>
              <w:rPr>
                <w:rFonts w:eastAsia="仿宋_GB2312"/>
                <w:sz w:val="32"/>
                <w:szCs w:val="32"/>
              </w:rPr>
              <w:t>S≤2</w:t>
            </w:r>
          </w:p>
        </w:tc>
        <w:tc>
          <w:tcPr>
            <w:tcW w:w="1640" w:type="dxa"/>
            <w:noWrap w:val="0"/>
            <w:vAlign w:val="center"/>
          </w:tcPr>
          <w:p w14:paraId="055F291D">
            <w:pPr>
              <w:spacing w:line="550" w:lineRule="exact"/>
              <w:ind w:firstLine="630"/>
              <w:jc w:val="center"/>
              <w:rPr>
                <w:rFonts w:eastAsia="仿宋_GB2312"/>
                <w:b/>
                <w:bCs/>
                <w:sz w:val="32"/>
                <w:szCs w:val="32"/>
              </w:rPr>
            </w:pPr>
          </w:p>
        </w:tc>
        <w:tc>
          <w:tcPr>
            <w:tcW w:w="1910" w:type="dxa"/>
            <w:noWrap w:val="0"/>
            <w:vAlign w:val="center"/>
          </w:tcPr>
          <w:p w14:paraId="7BF622DF">
            <w:pPr>
              <w:spacing w:line="550" w:lineRule="exact"/>
              <w:ind w:firstLine="630"/>
              <w:jc w:val="center"/>
              <w:rPr>
                <w:rFonts w:eastAsia="仿宋_GB2312"/>
                <w:b/>
                <w:bCs/>
                <w:sz w:val="32"/>
                <w:szCs w:val="32"/>
              </w:rPr>
            </w:pPr>
          </w:p>
        </w:tc>
        <w:tc>
          <w:tcPr>
            <w:tcW w:w="2026" w:type="dxa"/>
            <w:noWrap w:val="0"/>
            <w:vAlign w:val="center"/>
          </w:tcPr>
          <w:p w14:paraId="2A034732">
            <w:pPr>
              <w:spacing w:line="550" w:lineRule="exact"/>
              <w:jc w:val="center"/>
              <w:rPr>
                <w:rFonts w:eastAsia="仿宋_GB2312"/>
                <w:b/>
                <w:bCs/>
                <w:sz w:val="32"/>
                <w:szCs w:val="32"/>
              </w:rPr>
            </w:pPr>
            <w:r>
              <w:rPr>
                <w:rFonts w:eastAsia="仿宋_GB2312"/>
                <w:sz w:val="32"/>
                <w:szCs w:val="32"/>
              </w:rPr>
              <w:t>T≥90</w:t>
            </w:r>
          </w:p>
        </w:tc>
        <w:tc>
          <w:tcPr>
            <w:tcW w:w="1608" w:type="dxa"/>
            <w:noWrap w:val="0"/>
            <w:vAlign w:val="center"/>
          </w:tcPr>
          <w:p w14:paraId="2DF59866">
            <w:pPr>
              <w:spacing w:line="550" w:lineRule="exact"/>
              <w:jc w:val="center"/>
              <w:rPr>
                <w:rFonts w:eastAsia="仿宋_GB2312"/>
                <w:b/>
                <w:bCs/>
                <w:sz w:val="32"/>
                <w:szCs w:val="32"/>
              </w:rPr>
            </w:pPr>
            <w:r>
              <w:rPr>
                <w:rFonts w:eastAsia="仿宋_GB2312"/>
                <w:sz w:val="32"/>
                <w:szCs w:val="32"/>
              </w:rPr>
              <w:t>T&lt;90</w:t>
            </w:r>
          </w:p>
        </w:tc>
      </w:tr>
      <w:tr w14:paraId="39857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40" w:hRule="atLeast"/>
          <w:jc w:val="center"/>
        </w:trPr>
        <w:tc>
          <w:tcPr>
            <w:tcW w:w="1566" w:type="dxa"/>
            <w:noWrap w:val="0"/>
            <w:vAlign w:val="center"/>
          </w:tcPr>
          <w:p w14:paraId="50DF92E1">
            <w:pPr>
              <w:spacing w:line="550" w:lineRule="exact"/>
              <w:jc w:val="center"/>
              <w:rPr>
                <w:rFonts w:eastAsia="仿宋_GB2312"/>
                <w:sz w:val="32"/>
                <w:szCs w:val="32"/>
              </w:rPr>
            </w:pPr>
            <w:r>
              <w:rPr>
                <w:rFonts w:eastAsia="仿宋_GB2312"/>
                <w:sz w:val="32"/>
                <w:szCs w:val="32"/>
              </w:rPr>
              <w:t>2&lt;S≤5</w:t>
            </w:r>
          </w:p>
        </w:tc>
        <w:tc>
          <w:tcPr>
            <w:tcW w:w="1640" w:type="dxa"/>
            <w:noWrap w:val="0"/>
            <w:vAlign w:val="center"/>
          </w:tcPr>
          <w:p w14:paraId="4B776CD1">
            <w:pPr>
              <w:spacing w:line="550" w:lineRule="exact"/>
              <w:ind w:firstLine="640" w:firstLineChars="200"/>
              <w:jc w:val="center"/>
              <w:rPr>
                <w:rFonts w:eastAsia="仿宋_GB2312"/>
                <w:sz w:val="32"/>
                <w:szCs w:val="32"/>
              </w:rPr>
            </w:pPr>
          </w:p>
        </w:tc>
        <w:tc>
          <w:tcPr>
            <w:tcW w:w="1910" w:type="dxa"/>
            <w:noWrap w:val="0"/>
            <w:vAlign w:val="center"/>
          </w:tcPr>
          <w:p w14:paraId="39DA178E">
            <w:pPr>
              <w:spacing w:line="550" w:lineRule="exact"/>
              <w:jc w:val="center"/>
              <w:rPr>
                <w:rFonts w:eastAsia="仿宋_GB2312"/>
                <w:sz w:val="32"/>
                <w:szCs w:val="32"/>
              </w:rPr>
            </w:pPr>
            <w:r>
              <w:rPr>
                <w:rFonts w:eastAsia="仿宋_GB2312"/>
                <w:sz w:val="32"/>
                <w:szCs w:val="32"/>
              </w:rPr>
              <w:t>T≥90</w:t>
            </w:r>
          </w:p>
        </w:tc>
        <w:tc>
          <w:tcPr>
            <w:tcW w:w="2026" w:type="dxa"/>
            <w:noWrap w:val="0"/>
            <w:vAlign w:val="center"/>
          </w:tcPr>
          <w:p w14:paraId="1FA6D7F5">
            <w:pPr>
              <w:spacing w:line="550" w:lineRule="exact"/>
              <w:jc w:val="center"/>
              <w:rPr>
                <w:rFonts w:eastAsia="仿宋_GB2312"/>
                <w:sz w:val="32"/>
                <w:szCs w:val="32"/>
              </w:rPr>
            </w:pPr>
            <w:r>
              <w:rPr>
                <w:rFonts w:eastAsia="仿宋_GB2312"/>
                <w:sz w:val="32"/>
                <w:szCs w:val="32"/>
              </w:rPr>
              <w:t>90&gt;T≥88</w:t>
            </w:r>
          </w:p>
        </w:tc>
        <w:tc>
          <w:tcPr>
            <w:tcW w:w="1608" w:type="dxa"/>
            <w:noWrap w:val="0"/>
            <w:vAlign w:val="center"/>
          </w:tcPr>
          <w:p w14:paraId="51E02535">
            <w:pPr>
              <w:spacing w:line="550" w:lineRule="exact"/>
              <w:jc w:val="center"/>
              <w:rPr>
                <w:rFonts w:eastAsia="仿宋_GB2312"/>
                <w:sz w:val="32"/>
                <w:szCs w:val="32"/>
              </w:rPr>
            </w:pPr>
            <w:r>
              <w:rPr>
                <w:rFonts w:eastAsia="仿宋_GB2312"/>
                <w:sz w:val="32"/>
                <w:szCs w:val="32"/>
              </w:rPr>
              <w:t>T&lt;88</w:t>
            </w:r>
          </w:p>
        </w:tc>
      </w:tr>
      <w:tr w14:paraId="64EF2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40" w:hRule="atLeast"/>
          <w:jc w:val="center"/>
        </w:trPr>
        <w:tc>
          <w:tcPr>
            <w:tcW w:w="1566" w:type="dxa"/>
            <w:noWrap w:val="0"/>
            <w:vAlign w:val="center"/>
          </w:tcPr>
          <w:p w14:paraId="61FA1780">
            <w:pPr>
              <w:spacing w:line="550" w:lineRule="exact"/>
              <w:jc w:val="center"/>
              <w:rPr>
                <w:rFonts w:eastAsia="仿宋_GB2312"/>
                <w:sz w:val="32"/>
                <w:szCs w:val="32"/>
              </w:rPr>
            </w:pPr>
            <w:r>
              <w:rPr>
                <w:rFonts w:eastAsia="仿宋_GB2312"/>
                <w:sz w:val="32"/>
                <w:szCs w:val="32"/>
              </w:rPr>
              <w:t>5&lt;S≤10</w:t>
            </w:r>
          </w:p>
        </w:tc>
        <w:tc>
          <w:tcPr>
            <w:tcW w:w="1640" w:type="dxa"/>
            <w:noWrap w:val="0"/>
            <w:vAlign w:val="center"/>
          </w:tcPr>
          <w:p w14:paraId="3BDAA6E6">
            <w:pPr>
              <w:spacing w:line="550" w:lineRule="exact"/>
              <w:jc w:val="center"/>
              <w:rPr>
                <w:rFonts w:eastAsia="仿宋_GB2312"/>
                <w:sz w:val="32"/>
                <w:szCs w:val="32"/>
              </w:rPr>
            </w:pPr>
            <w:r>
              <w:rPr>
                <w:rFonts w:eastAsia="仿宋_GB2312"/>
                <w:sz w:val="32"/>
                <w:szCs w:val="32"/>
              </w:rPr>
              <w:t>T≥92</w:t>
            </w:r>
          </w:p>
        </w:tc>
        <w:tc>
          <w:tcPr>
            <w:tcW w:w="1910" w:type="dxa"/>
            <w:noWrap w:val="0"/>
            <w:vAlign w:val="center"/>
          </w:tcPr>
          <w:p w14:paraId="7AE240E0">
            <w:pPr>
              <w:spacing w:line="550" w:lineRule="exact"/>
              <w:jc w:val="center"/>
              <w:rPr>
                <w:rFonts w:eastAsia="仿宋_GB2312"/>
                <w:sz w:val="32"/>
                <w:szCs w:val="32"/>
              </w:rPr>
            </w:pPr>
            <w:r>
              <w:rPr>
                <w:rFonts w:eastAsia="仿宋_GB2312"/>
                <w:sz w:val="32"/>
                <w:szCs w:val="32"/>
              </w:rPr>
              <w:t>92&gt;T≥90</w:t>
            </w:r>
          </w:p>
        </w:tc>
        <w:tc>
          <w:tcPr>
            <w:tcW w:w="2026" w:type="dxa"/>
            <w:noWrap w:val="0"/>
            <w:vAlign w:val="center"/>
          </w:tcPr>
          <w:p w14:paraId="1682D447">
            <w:pPr>
              <w:spacing w:line="550" w:lineRule="exact"/>
              <w:jc w:val="center"/>
              <w:rPr>
                <w:rFonts w:eastAsia="仿宋_GB2312"/>
                <w:sz w:val="32"/>
                <w:szCs w:val="32"/>
              </w:rPr>
            </w:pPr>
            <w:r>
              <w:rPr>
                <w:rFonts w:eastAsia="仿宋_GB2312"/>
                <w:sz w:val="32"/>
                <w:szCs w:val="32"/>
              </w:rPr>
              <w:t>90&gt;T≥86</w:t>
            </w:r>
          </w:p>
        </w:tc>
        <w:tc>
          <w:tcPr>
            <w:tcW w:w="1608" w:type="dxa"/>
            <w:noWrap w:val="0"/>
            <w:vAlign w:val="center"/>
          </w:tcPr>
          <w:p w14:paraId="299AF1E8">
            <w:pPr>
              <w:spacing w:line="550" w:lineRule="exact"/>
              <w:jc w:val="center"/>
              <w:rPr>
                <w:rFonts w:eastAsia="仿宋_GB2312"/>
                <w:sz w:val="32"/>
                <w:szCs w:val="32"/>
              </w:rPr>
            </w:pPr>
            <w:r>
              <w:rPr>
                <w:rFonts w:eastAsia="仿宋_GB2312"/>
                <w:sz w:val="32"/>
                <w:szCs w:val="32"/>
              </w:rPr>
              <w:t>T&lt;86</w:t>
            </w:r>
          </w:p>
        </w:tc>
      </w:tr>
      <w:tr w14:paraId="01373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40" w:hRule="atLeast"/>
          <w:jc w:val="center"/>
        </w:trPr>
        <w:tc>
          <w:tcPr>
            <w:tcW w:w="1566" w:type="dxa"/>
            <w:noWrap w:val="0"/>
            <w:vAlign w:val="center"/>
          </w:tcPr>
          <w:p w14:paraId="73F588F2">
            <w:pPr>
              <w:spacing w:line="550" w:lineRule="exact"/>
              <w:jc w:val="center"/>
              <w:rPr>
                <w:rFonts w:eastAsia="仿宋_GB2312"/>
                <w:sz w:val="32"/>
                <w:szCs w:val="32"/>
              </w:rPr>
            </w:pPr>
            <w:r>
              <w:rPr>
                <w:rFonts w:eastAsia="仿宋_GB2312"/>
                <w:sz w:val="32"/>
                <w:szCs w:val="32"/>
              </w:rPr>
              <w:t>S&gt;10</w:t>
            </w:r>
          </w:p>
        </w:tc>
        <w:tc>
          <w:tcPr>
            <w:tcW w:w="1640" w:type="dxa"/>
            <w:noWrap w:val="0"/>
            <w:vAlign w:val="center"/>
          </w:tcPr>
          <w:p w14:paraId="7F95A7C0">
            <w:pPr>
              <w:spacing w:line="550" w:lineRule="exact"/>
              <w:jc w:val="center"/>
              <w:rPr>
                <w:rFonts w:eastAsia="仿宋_GB2312"/>
                <w:sz w:val="32"/>
                <w:szCs w:val="32"/>
              </w:rPr>
            </w:pPr>
            <w:r>
              <w:rPr>
                <w:rFonts w:eastAsia="仿宋_GB2312"/>
                <w:sz w:val="32"/>
                <w:szCs w:val="32"/>
              </w:rPr>
              <w:t>T≥90</w:t>
            </w:r>
          </w:p>
        </w:tc>
        <w:tc>
          <w:tcPr>
            <w:tcW w:w="1910" w:type="dxa"/>
            <w:noWrap w:val="0"/>
            <w:vAlign w:val="center"/>
          </w:tcPr>
          <w:p w14:paraId="7A680618">
            <w:pPr>
              <w:spacing w:line="550" w:lineRule="exact"/>
              <w:jc w:val="center"/>
              <w:rPr>
                <w:rFonts w:eastAsia="仿宋_GB2312"/>
                <w:sz w:val="32"/>
                <w:szCs w:val="32"/>
              </w:rPr>
            </w:pPr>
            <w:r>
              <w:rPr>
                <w:rFonts w:eastAsia="仿宋_GB2312"/>
                <w:sz w:val="32"/>
                <w:szCs w:val="32"/>
              </w:rPr>
              <w:t>90&gt;T≥88</w:t>
            </w:r>
          </w:p>
        </w:tc>
        <w:tc>
          <w:tcPr>
            <w:tcW w:w="2026" w:type="dxa"/>
            <w:noWrap w:val="0"/>
            <w:vAlign w:val="center"/>
          </w:tcPr>
          <w:p w14:paraId="6258F8E7">
            <w:pPr>
              <w:spacing w:line="550" w:lineRule="exact"/>
              <w:jc w:val="center"/>
              <w:rPr>
                <w:rFonts w:eastAsia="仿宋_GB2312"/>
                <w:sz w:val="32"/>
                <w:szCs w:val="32"/>
              </w:rPr>
            </w:pPr>
            <w:r>
              <w:rPr>
                <w:rFonts w:eastAsia="仿宋_GB2312"/>
                <w:sz w:val="32"/>
                <w:szCs w:val="32"/>
              </w:rPr>
              <w:t>88&gt;T≥84</w:t>
            </w:r>
          </w:p>
        </w:tc>
        <w:tc>
          <w:tcPr>
            <w:tcW w:w="1608" w:type="dxa"/>
            <w:noWrap w:val="0"/>
            <w:vAlign w:val="center"/>
          </w:tcPr>
          <w:p w14:paraId="2477D534">
            <w:pPr>
              <w:spacing w:line="550" w:lineRule="exact"/>
              <w:jc w:val="center"/>
              <w:rPr>
                <w:rFonts w:eastAsia="仿宋_GB2312"/>
                <w:sz w:val="32"/>
                <w:szCs w:val="32"/>
              </w:rPr>
            </w:pPr>
            <w:r>
              <w:rPr>
                <w:rFonts w:eastAsia="仿宋_GB2312"/>
                <w:sz w:val="32"/>
                <w:szCs w:val="32"/>
              </w:rPr>
              <w:t>T&lt;84</w:t>
            </w:r>
          </w:p>
        </w:tc>
      </w:tr>
    </w:tbl>
    <w:p w14:paraId="41487DBE">
      <w:pPr>
        <w:spacing w:line="550" w:lineRule="exact"/>
        <w:ind w:firstLine="640" w:firstLineChars="200"/>
        <w:rPr>
          <w:rFonts w:eastAsia="仿宋_GB2312"/>
          <w:sz w:val="32"/>
          <w:szCs w:val="32"/>
        </w:rPr>
      </w:pPr>
      <w:r>
        <w:rPr>
          <w:rFonts w:eastAsia="仿宋_GB2312"/>
          <w:sz w:val="32"/>
          <w:szCs w:val="32"/>
        </w:rPr>
        <w:t>（二）在上述基本评定基础上，信用等级评级期内履约考核记录每出现1个“中”下降1个等级，无“差”的最低降到D级；每出现1个“差”下降2个等级，直至降到E级；在同一个标段出现两次考核等次为“差”的，直接评为E级。</w:t>
      </w:r>
    </w:p>
    <w:p w14:paraId="33B6547E">
      <w:pPr>
        <w:spacing w:line="550" w:lineRule="exact"/>
        <w:ind w:firstLine="640" w:firstLineChars="200"/>
        <w:rPr>
          <w:rFonts w:eastAsia="仿宋_GB2312"/>
          <w:sz w:val="32"/>
          <w:szCs w:val="32"/>
        </w:rPr>
      </w:pPr>
      <w:r>
        <w:rPr>
          <w:rFonts w:eastAsia="仿宋_GB2312"/>
          <w:sz w:val="32"/>
          <w:szCs w:val="32"/>
        </w:rPr>
        <w:t>（三）从业单位在信用等级评级期内有下列情形之一的，其信用等级调整为E级：</w:t>
      </w:r>
    </w:p>
    <w:p w14:paraId="3819F719">
      <w:pPr>
        <w:spacing w:line="550" w:lineRule="exact"/>
        <w:ind w:firstLine="640" w:firstLineChars="200"/>
        <w:rPr>
          <w:rFonts w:eastAsia="仿宋_GB2312"/>
          <w:sz w:val="32"/>
          <w:szCs w:val="32"/>
        </w:rPr>
      </w:pPr>
      <w:r>
        <w:rPr>
          <w:rFonts w:eastAsia="仿宋_GB2312"/>
          <w:sz w:val="32"/>
          <w:szCs w:val="32"/>
        </w:rPr>
        <w:t>1.履约考核期发生重大、特大质量事故的，或者发生较大、重大、特大安全事故的；</w:t>
      </w:r>
    </w:p>
    <w:p w14:paraId="6E92AF33">
      <w:pPr>
        <w:autoSpaceDE w:val="0"/>
        <w:spacing w:line="550" w:lineRule="exact"/>
        <w:ind w:firstLine="640" w:firstLineChars="200"/>
        <w:rPr>
          <w:rFonts w:eastAsia="仿宋_GB2312"/>
          <w:sz w:val="32"/>
          <w:szCs w:val="32"/>
        </w:rPr>
      </w:pPr>
      <w:r>
        <w:rPr>
          <w:rFonts w:eastAsia="仿宋_GB2312"/>
          <w:sz w:val="32"/>
          <w:szCs w:val="32"/>
        </w:rPr>
        <w:t>2.在两个不同项目均出现一次履约考核等次为 “差”的；</w:t>
      </w:r>
    </w:p>
    <w:p w14:paraId="6CCB0CCC">
      <w:pPr>
        <w:autoSpaceDE w:val="0"/>
        <w:spacing w:line="550" w:lineRule="exact"/>
        <w:ind w:firstLine="640" w:firstLineChars="200"/>
        <w:rPr>
          <w:rFonts w:eastAsia="仿宋_GB2312"/>
          <w:sz w:val="32"/>
          <w:szCs w:val="32"/>
        </w:rPr>
      </w:pPr>
      <w:r>
        <w:rPr>
          <w:rFonts w:eastAsia="仿宋_GB2312"/>
          <w:sz w:val="32"/>
          <w:szCs w:val="32"/>
        </w:rPr>
        <w:t>3.在一个项目出现两次履约考核等次为“差”的；</w:t>
      </w:r>
    </w:p>
    <w:p w14:paraId="194F1567">
      <w:pPr>
        <w:autoSpaceDE w:val="0"/>
        <w:spacing w:line="550" w:lineRule="exact"/>
        <w:ind w:firstLine="640" w:firstLineChars="200"/>
        <w:rPr>
          <w:rFonts w:eastAsia="仿宋_GB2312"/>
          <w:sz w:val="32"/>
          <w:szCs w:val="32"/>
        </w:rPr>
      </w:pPr>
      <w:r>
        <w:rPr>
          <w:rFonts w:eastAsia="仿宋_GB2312"/>
          <w:sz w:val="32"/>
          <w:szCs w:val="32"/>
        </w:rPr>
        <w:t>4.属于失信惩戒范围的严重失信行为的；</w:t>
      </w:r>
    </w:p>
    <w:p w14:paraId="10B38BC0">
      <w:pPr>
        <w:spacing w:line="550" w:lineRule="exact"/>
        <w:ind w:firstLine="640" w:firstLineChars="200"/>
        <w:rPr>
          <w:rFonts w:eastAsia="仿宋_GB2312"/>
          <w:sz w:val="32"/>
          <w:szCs w:val="32"/>
        </w:rPr>
      </w:pPr>
      <w:r>
        <w:rPr>
          <w:rFonts w:eastAsia="仿宋_GB2312"/>
          <w:sz w:val="32"/>
          <w:szCs w:val="32"/>
        </w:rPr>
        <w:t>5.法律、法规、规章规定的其他情形。</w:t>
      </w:r>
    </w:p>
    <w:p w14:paraId="4087CAF1">
      <w:pPr>
        <w:spacing w:line="550" w:lineRule="exact"/>
        <w:ind w:firstLine="640" w:firstLineChars="200"/>
        <w:rPr>
          <w:rFonts w:eastAsia="仿宋_GB2312"/>
          <w:sz w:val="32"/>
          <w:szCs w:val="32"/>
        </w:rPr>
      </w:pPr>
      <w:r>
        <w:rPr>
          <w:rFonts w:hAnsi="黑体" w:eastAsia="黑体"/>
          <w:sz w:val="32"/>
          <w:szCs w:val="32"/>
        </w:rPr>
        <w:t>第二十二条</w:t>
      </w:r>
      <w:r>
        <w:rPr>
          <w:rFonts w:eastAsia="仿宋_GB2312"/>
          <w:sz w:val="32"/>
          <w:szCs w:val="32"/>
        </w:rPr>
        <w:t> 信用等级评定工作按照信用档案</w:t>
      </w:r>
      <w:r>
        <w:rPr>
          <w:rFonts w:eastAsia="仿宋_GB2312"/>
          <w:sz w:val="32"/>
          <w:szCs w:val="32"/>
          <w:lang w:eastAsia="zh-Hans"/>
        </w:rPr>
        <w:t>收集</w:t>
      </w:r>
      <w:r>
        <w:rPr>
          <w:rFonts w:eastAsia="仿宋_GB2312"/>
          <w:sz w:val="32"/>
          <w:szCs w:val="32"/>
        </w:rPr>
        <w:t>、评审组评审、评审结果网上公示（公示期为5日）、信用等级公布等程序开展。</w:t>
      </w:r>
    </w:p>
    <w:p w14:paraId="05FA3E55">
      <w:pPr>
        <w:spacing w:line="550" w:lineRule="exact"/>
        <w:ind w:firstLine="643" w:firstLineChars="200"/>
        <w:rPr>
          <w:rFonts w:eastAsia="仿宋_GB2312"/>
          <w:b/>
          <w:sz w:val="32"/>
          <w:szCs w:val="32"/>
        </w:rPr>
      </w:pPr>
    </w:p>
    <w:p w14:paraId="2FE3424C">
      <w:pPr>
        <w:spacing w:line="550" w:lineRule="exact"/>
        <w:jc w:val="center"/>
        <w:rPr>
          <w:rFonts w:eastAsia="黑体"/>
          <w:sz w:val="32"/>
          <w:szCs w:val="32"/>
        </w:rPr>
      </w:pPr>
      <w:r>
        <w:rPr>
          <w:rFonts w:hAnsi="黑体" w:eastAsia="黑体"/>
          <w:sz w:val="32"/>
          <w:szCs w:val="32"/>
        </w:rPr>
        <w:t>第五章</w:t>
      </w:r>
      <w:r>
        <w:rPr>
          <w:rFonts w:eastAsia="黑体"/>
          <w:sz w:val="32"/>
          <w:szCs w:val="32"/>
        </w:rPr>
        <w:t>  </w:t>
      </w:r>
      <w:r>
        <w:rPr>
          <w:rFonts w:hAnsi="黑体" w:eastAsia="黑体"/>
          <w:sz w:val="32"/>
          <w:szCs w:val="32"/>
        </w:rPr>
        <w:t>应用和管理</w:t>
      </w:r>
    </w:p>
    <w:p w14:paraId="3D8174F8">
      <w:pPr>
        <w:spacing w:line="550" w:lineRule="exact"/>
        <w:ind w:firstLine="640" w:firstLineChars="200"/>
        <w:rPr>
          <w:rFonts w:eastAsia="仿宋_GB2312"/>
          <w:sz w:val="32"/>
          <w:szCs w:val="32"/>
        </w:rPr>
      </w:pPr>
      <w:r>
        <w:rPr>
          <w:rFonts w:hAnsi="黑体" w:eastAsia="黑体"/>
          <w:sz w:val="32"/>
          <w:szCs w:val="32"/>
        </w:rPr>
        <w:t>第二十三条</w:t>
      </w:r>
      <w:r>
        <w:rPr>
          <w:rFonts w:eastAsia="仿宋_GB2312"/>
          <w:sz w:val="32"/>
          <w:szCs w:val="32"/>
        </w:rPr>
        <w:t>  各级水行政主管部门应将履约考核等次、信用等级作为市场准入、资质管理、招标投标、评优评奖的重要依据，对市场主体及从业人员实行动态管理。</w:t>
      </w:r>
    </w:p>
    <w:p w14:paraId="0C986CCD">
      <w:pPr>
        <w:spacing w:line="550" w:lineRule="exact"/>
        <w:ind w:firstLine="640" w:firstLineChars="200"/>
        <w:rPr>
          <w:rFonts w:eastAsia="仿宋_GB2312"/>
          <w:sz w:val="32"/>
          <w:szCs w:val="32"/>
        </w:rPr>
      </w:pPr>
      <w:r>
        <w:rPr>
          <w:rFonts w:eastAsia="仿宋_GB2312"/>
          <w:sz w:val="32"/>
          <w:szCs w:val="32"/>
        </w:rPr>
        <w:t>常州市水利工程建设从业单位信用等级的应用期为每次信用等级评定结果公布次日起，至下次信用等级评定结果公布之日止。</w:t>
      </w:r>
    </w:p>
    <w:p w14:paraId="02709FE3">
      <w:pPr>
        <w:spacing w:line="550" w:lineRule="exact"/>
        <w:ind w:firstLine="640" w:firstLineChars="200"/>
        <w:rPr>
          <w:rFonts w:eastAsia="仿宋_GB2312"/>
          <w:sz w:val="32"/>
          <w:szCs w:val="32"/>
        </w:rPr>
      </w:pPr>
      <w:r>
        <w:rPr>
          <w:rFonts w:hAnsi="黑体" w:eastAsia="黑体"/>
          <w:sz w:val="32"/>
          <w:szCs w:val="32"/>
        </w:rPr>
        <w:t>第二十四条</w:t>
      </w:r>
      <w:r>
        <w:rPr>
          <w:rFonts w:eastAsia="仿宋_GB2312"/>
          <w:sz w:val="32"/>
          <w:szCs w:val="32"/>
        </w:rPr>
        <w:t>  本《办法》第二条规定范围的水利工程建设项目在开展招标投标活动时，招标人应当在招标文件中明确规定信用等级分值，在评标阶段信用等级赋分值为4.5分（百分制，下同），信用等级赋分由基本赋分（4分）和追加赋分（0.5分）组成。</w:t>
      </w:r>
    </w:p>
    <w:p w14:paraId="69571213">
      <w:pPr>
        <w:spacing w:line="550" w:lineRule="exact"/>
        <w:ind w:firstLine="640" w:firstLineChars="200"/>
        <w:rPr>
          <w:rFonts w:eastAsia="仿宋_GB2312"/>
          <w:sz w:val="32"/>
          <w:szCs w:val="32"/>
        </w:rPr>
      </w:pPr>
      <w:r>
        <w:rPr>
          <w:rFonts w:hAnsi="黑体" w:eastAsia="黑体"/>
          <w:sz w:val="32"/>
          <w:szCs w:val="32"/>
        </w:rPr>
        <w:t>第二十五条</w:t>
      </w:r>
      <w:r>
        <w:rPr>
          <w:rFonts w:eastAsia="仿宋_GB2312"/>
          <w:sz w:val="32"/>
          <w:szCs w:val="32"/>
        </w:rPr>
        <w:t>  基本赋分按下列情形进行赋分：</w:t>
      </w:r>
    </w:p>
    <w:p w14:paraId="465C8A87">
      <w:pPr>
        <w:spacing w:line="550" w:lineRule="exact"/>
        <w:ind w:firstLine="640" w:firstLineChars="200"/>
        <w:rPr>
          <w:rFonts w:eastAsia="仿宋_GB2312"/>
          <w:sz w:val="32"/>
          <w:szCs w:val="32"/>
        </w:rPr>
      </w:pPr>
      <w:r>
        <w:rPr>
          <w:rFonts w:eastAsia="仿宋_GB2312"/>
          <w:sz w:val="32"/>
          <w:szCs w:val="32"/>
        </w:rPr>
        <w:t>（一）信用等级为AAA级的，信用等级基本赋分为4分；</w:t>
      </w:r>
    </w:p>
    <w:p w14:paraId="0EB7F4E1">
      <w:pPr>
        <w:spacing w:line="550" w:lineRule="exact"/>
        <w:ind w:firstLine="640" w:firstLineChars="200"/>
        <w:rPr>
          <w:rFonts w:eastAsia="仿宋_GB2312"/>
          <w:sz w:val="32"/>
          <w:szCs w:val="32"/>
        </w:rPr>
      </w:pPr>
      <w:r>
        <w:rPr>
          <w:rFonts w:eastAsia="仿宋_GB2312"/>
          <w:sz w:val="32"/>
          <w:szCs w:val="32"/>
        </w:rPr>
        <w:t>（二）信用等级为AA级的，信用等级基本赋分为3.5分；</w:t>
      </w:r>
    </w:p>
    <w:p w14:paraId="3AD00DDB">
      <w:pPr>
        <w:spacing w:line="550" w:lineRule="exact"/>
        <w:ind w:firstLine="640" w:firstLineChars="200"/>
        <w:rPr>
          <w:rFonts w:eastAsia="仿宋_GB2312"/>
          <w:sz w:val="32"/>
          <w:szCs w:val="32"/>
        </w:rPr>
      </w:pPr>
      <w:r>
        <w:rPr>
          <w:rFonts w:eastAsia="仿宋_GB2312"/>
          <w:sz w:val="32"/>
          <w:szCs w:val="32"/>
        </w:rPr>
        <w:t>（三）信用等级为A级的，信用等级基本赋分为3分；</w:t>
      </w:r>
    </w:p>
    <w:p w14:paraId="3781398C">
      <w:pPr>
        <w:spacing w:line="550" w:lineRule="exact"/>
        <w:ind w:firstLine="640" w:firstLineChars="200"/>
        <w:rPr>
          <w:rFonts w:eastAsia="仿宋_GB2312"/>
          <w:sz w:val="32"/>
          <w:szCs w:val="32"/>
        </w:rPr>
      </w:pPr>
      <w:r>
        <w:rPr>
          <w:rFonts w:eastAsia="仿宋_GB2312"/>
          <w:sz w:val="32"/>
          <w:szCs w:val="32"/>
        </w:rPr>
        <w:t>（四）信用等级为B级的，信用等级基本赋分为2.5分；</w:t>
      </w:r>
    </w:p>
    <w:p w14:paraId="7640558E">
      <w:pPr>
        <w:spacing w:line="550" w:lineRule="exact"/>
        <w:ind w:firstLine="640" w:firstLineChars="200"/>
        <w:rPr>
          <w:rFonts w:eastAsia="仿宋_GB2312"/>
          <w:sz w:val="32"/>
          <w:szCs w:val="32"/>
        </w:rPr>
      </w:pPr>
      <w:r>
        <w:rPr>
          <w:rFonts w:eastAsia="仿宋_GB2312"/>
          <w:sz w:val="32"/>
          <w:szCs w:val="32"/>
        </w:rPr>
        <w:t>（五）信用等级为C级的，信用等级基本赋分为2分；</w:t>
      </w:r>
    </w:p>
    <w:p w14:paraId="1123D888">
      <w:pPr>
        <w:spacing w:line="550" w:lineRule="exact"/>
        <w:ind w:firstLine="640" w:firstLineChars="200"/>
        <w:rPr>
          <w:rFonts w:eastAsia="仿宋_GB2312"/>
          <w:sz w:val="32"/>
          <w:szCs w:val="32"/>
        </w:rPr>
      </w:pPr>
      <w:r>
        <w:rPr>
          <w:rFonts w:eastAsia="仿宋_GB2312"/>
          <w:sz w:val="32"/>
          <w:szCs w:val="32"/>
        </w:rPr>
        <w:t>（六）信用等级为D级的，信用等级基本赋分为1.5分。</w:t>
      </w:r>
    </w:p>
    <w:p w14:paraId="7CCA2170">
      <w:pPr>
        <w:spacing w:line="550" w:lineRule="exact"/>
        <w:ind w:firstLine="640" w:firstLineChars="200"/>
        <w:rPr>
          <w:rFonts w:eastAsia="仿宋_GB2312"/>
          <w:sz w:val="32"/>
          <w:szCs w:val="32"/>
        </w:rPr>
      </w:pPr>
      <w:r>
        <w:rPr>
          <w:rFonts w:hAnsi="黑体" w:eastAsia="黑体"/>
          <w:sz w:val="32"/>
          <w:szCs w:val="32"/>
        </w:rPr>
        <w:t>第二十六条</w:t>
      </w:r>
      <w:r>
        <w:rPr>
          <w:rFonts w:eastAsia="仿宋_GB2312"/>
          <w:b/>
          <w:sz w:val="32"/>
          <w:szCs w:val="32"/>
        </w:rPr>
        <w:t xml:space="preserve"> </w:t>
      </w:r>
      <w:r>
        <w:rPr>
          <w:rFonts w:eastAsia="仿宋_GB2312"/>
          <w:sz w:val="32"/>
          <w:szCs w:val="32"/>
        </w:rPr>
        <w:t>从业单位在信用等级评级期内有下列情形的，其追加赋分按下列原则进行赋分：</w:t>
      </w:r>
    </w:p>
    <w:p w14:paraId="54407BB9">
      <w:pPr>
        <w:widowControl/>
        <w:spacing w:line="550" w:lineRule="exact"/>
        <w:ind w:firstLine="640" w:firstLineChars="200"/>
        <w:rPr>
          <w:rFonts w:eastAsia="仿宋_GB2312"/>
          <w:sz w:val="32"/>
          <w:szCs w:val="32"/>
        </w:rPr>
      </w:pPr>
      <w:r>
        <w:rPr>
          <w:rFonts w:eastAsia="仿宋_GB2312"/>
          <w:sz w:val="32"/>
          <w:szCs w:val="32"/>
        </w:rPr>
        <w:t>（一）从业单位参与的</w:t>
      </w:r>
      <w:r>
        <w:rPr>
          <w:rFonts w:eastAsia="仿宋_GB2312"/>
          <w:kern w:val="0"/>
          <w:sz w:val="32"/>
          <w:szCs w:val="32"/>
        </w:rPr>
        <w:t>水利工程建设项目</w:t>
      </w:r>
      <w:r>
        <w:rPr>
          <w:rFonts w:eastAsia="仿宋_GB2312"/>
          <w:sz w:val="32"/>
          <w:szCs w:val="32"/>
        </w:rPr>
        <w:t>获得中国建设工程鲁班奖（水利类）、中国水利工程优质</w:t>
      </w:r>
      <w:r>
        <w:rPr>
          <w:rFonts w:eastAsia="仿宋_GB2312"/>
          <w:sz w:val="32"/>
          <w:szCs w:val="32"/>
          <w:lang w:eastAsia="zh-Hans"/>
        </w:rPr>
        <w:t>（</w:t>
      </w:r>
      <w:r>
        <w:rPr>
          <w:rFonts w:eastAsia="仿宋_GB2312"/>
          <w:sz w:val="32"/>
          <w:szCs w:val="32"/>
        </w:rPr>
        <w:t>大禹</w:t>
      </w:r>
      <w:r>
        <w:rPr>
          <w:rFonts w:eastAsia="仿宋_GB2312"/>
          <w:sz w:val="32"/>
          <w:szCs w:val="32"/>
          <w:lang w:eastAsia="zh-Hans"/>
        </w:rPr>
        <w:t>）</w:t>
      </w:r>
      <w:r>
        <w:rPr>
          <w:rFonts w:eastAsia="仿宋_GB2312"/>
          <w:sz w:val="32"/>
          <w:szCs w:val="32"/>
        </w:rPr>
        <w:t>奖、江苏省“扬子杯”优质工程奖（水利类），每一个获奖项目获追加赋分0.3分，应用期一年。</w:t>
      </w:r>
    </w:p>
    <w:p w14:paraId="1AE8B769">
      <w:pPr>
        <w:widowControl/>
        <w:spacing w:line="550" w:lineRule="exact"/>
        <w:ind w:firstLine="640" w:firstLineChars="200"/>
        <w:rPr>
          <w:rFonts w:eastAsia="仿宋_GB2312"/>
          <w:sz w:val="32"/>
          <w:szCs w:val="32"/>
        </w:rPr>
      </w:pPr>
      <w:r>
        <w:rPr>
          <w:rFonts w:eastAsia="仿宋_GB2312"/>
          <w:sz w:val="32"/>
          <w:szCs w:val="32"/>
        </w:rPr>
        <w:t>（二）从业单位参与本《办法》第二条规定范围的</w:t>
      </w:r>
      <w:r>
        <w:rPr>
          <w:rFonts w:eastAsia="仿宋_GB2312"/>
          <w:kern w:val="0"/>
          <w:sz w:val="32"/>
          <w:szCs w:val="32"/>
        </w:rPr>
        <w:t>水利工程建设项目</w:t>
      </w:r>
      <w:r>
        <w:rPr>
          <w:rFonts w:eastAsia="仿宋_GB2312"/>
          <w:sz w:val="32"/>
          <w:szCs w:val="32"/>
        </w:rPr>
        <w:t>获得江苏省水利工程建设优质工程、江苏省水利工程建设文明工地，每一个获奖项目获追加赋分0.2分，应用期一年。</w:t>
      </w:r>
    </w:p>
    <w:p w14:paraId="2FDDE548">
      <w:pPr>
        <w:spacing w:line="550" w:lineRule="exact"/>
        <w:ind w:firstLine="640" w:firstLineChars="200"/>
        <w:rPr>
          <w:rFonts w:eastAsia="仿宋_GB2312"/>
          <w:kern w:val="0"/>
          <w:sz w:val="32"/>
          <w:szCs w:val="32"/>
        </w:rPr>
      </w:pPr>
      <w:r>
        <w:rPr>
          <w:rFonts w:eastAsia="仿宋_GB2312"/>
          <w:sz w:val="32"/>
          <w:szCs w:val="32"/>
        </w:rPr>
        <w:t>（三）从业单位参与本《办法》第二条规定范围的</w:t>
      </w:r>
      <w:r>
        <w:rPr>
          <w:rFonts w:eastAsia="仿宋_GB2312"/>
          <w:kern w:val="0"/>
          <w:sz w:val="32"/>
          <w:szCs w:val="32"/>
        </w:rPr>
        <w:t>水利工程建设项目，其质量等级核定为优良工程的主体工程施工和监理从业单位，</w:t>
      </w:r>
      <w:r>
        <w:rPr>
          <w:rFonts w:eastAsia="仿宋_GB2312"/>
          <w:sz w:val="32"/>
          <w:szCs w:val="32"/>
        </w:rPr>
        <w:t>每一个项目获追加赋分0.1分，应用期一年。</w:t>
      </w:r>
    </w:p>
    <w:p w14:paraId="0F1485C6">
      <w:pPr>
        <w:spacing w:line="550" w:lineRule="exact"/>
        <w:ind w:firstLine="640" w:firstLineChars="200"/>
        <w:rPr>
          <w:rFonts w:eastAsia="仿宋_GB2312"/>
          <w:sz w:val="32"/>
          <w:szCs w:val="32"/>
        </w:rPr>
      </w:pPr>
      <w:r>
        <w:rPr>
          <w:rFonts w:eastAsia="仿宋_GB2312"/>
          <w:kern w:val="0"/>
          <w:sz w:val="32"/>
          <w:szCs w:val="32"/>
        </w:rPr>
        <w:t>（四）</w:t>
      </w:r>
      <w:r>
        <w:rPr>
          <w:rFonts w:eastAsia="仿宋_GB2312"/>
          <w:sz w:val="32"/>
          <w:szCs w:val="32"/>
        </w:rPr>
        <w:t>从业单位参与本《办法》第二条规定范围的</w:t>
      </w:r>
      <w:r>
        <w:rPr>
          <w:rFonts w:eastAsia="仿宋_GB2312"/>
          <w:kern w:val="0"/>
          <w:sz w:val="32"/>
          <w:szCs w:val="32"/>
        </w:rPr>
        <w:t>水利工程建设项目获得常州市级及以上表彰、表扬的主体单位（含建设管理、党风廉政建设等），</w:t>
      </w:r>
      <w:r>
        <w:rPr>
          <w:rFonts w:eastAsia="仿宋_GB2312"/>
          <w:sz w:val="32"/>
          <w:szCs w:val="32"/>
        </w:rPr>
        <w:t>每一个获奖项目获追加赋分0.1分，应用期一年。</w:t>
      </w:r>
    </w:p>
    <w:p w14:paraId="018588BC">
      <w:pPr>
        <w:spacing w:line="550" w:lineRule="exact"/>
        <w:ind w:firstLine="640" w:firstLineChars="200"/>
        <w:rPr>
          <w:rFonts w:eastAsia="仿宋_GB2312"/>
          <w:sz w:val="32"/>
          <w:szCs w:val="32"/>
        </w:rPr>
      </w:pPr>
      <w:r>
        <w:rPr>
          <w:rFonts w:eastAsia="仿宋_GB2312"/>
          <w:sz w:val="32"/>
          <w:szCs w:val="32"/>
        </w:rPr>
        <w:t>（五）在本市承担应急防汛抢险任务，获得县（区）级人民政府或水行政主管部门及以上表彰、表扬的从业单位，每一个获奖项目获追加赋分0.1分，应用期一年。</w:t>
      </w:r>
    </w:p>
    <w:p w14:paraId="3E11F28B">
      <w:pPr>
        <w:spacing w:line="550" w:lineRule="exact"/>
        <w:ind w:firstLine="640" w:firstLineChars="200"/>
        <w:rPr>
          <w:rFonts w:eastAsia="仿宋_GB2312"/>
          <w:sz w:val="32"/>
          <w:szCs w:val="32"/>
        </w:rPr>
      </w:pPr>
      <w:r>
        <w:rPr>
          <w:rFonts w:eastAsia="仿宋_GB2312"/>
          <w:sz w:val="32"/>
          <w:szCs w:val="32"/>
        </w:rPr>
        <w:t>同一从业单位因同一工程、同一事项同时获得上述两项及以上荣誉的，仅取其最高追加赋分值。每个从业单位追加赋分值上限为0.5分。</w:t>
      </w:r>
    </w:p>
    <w:p w14:paraId="219293AA">
      <w:pPr>
        <w:spacing w:line="550" w:lineRule="exact"/>
        <w:ind w:firstLine="640" w:firstLineChars="200"/>
        <w:rPr>
          <w:rFonts w:eastAsia="仿宋_GB2312"/>
          <w:sz w:val="32"/>
          <w:szCs w:val="32"/>
        </w:rPr>
      </w:pPr>
      <w:r>
        <w:rPr>
          <w:rFonts w:hAnsi="黑体" w:eastAsia="黑体"/>
          <w:sz w:val="32"/>
          <w:szCs w:val="32"/>
        </w:rPr>
        <w:t>第二十七条</w:t>
      </w:r>
      <w:r>
        <w:rPr>
          <w:rFonts w:eastAsia="仿宋_GB2312"/>
          <w:b/>
          <w:sz w:val="32"/>
          <w:szCs w:val="32"/>
        </w:rPr>
        <w:t xml:space="preserve"> </w:t>
      </w:r>
      <w:r>
        <w:rPr>
          <w:rFonts w:eastAsia="仿宋_GB2312"/>
          <w:sz w:val="32"/>
          <w:szCs w:val="32"/>
        </w:rPr>
        <w:t>从业单位在信用等级评级期内，具备第二十</w:t>
      </w:r>
      <w:r>
        <w:rPr>
          <w:rFonts w:eastAsia="仿宋_GB2312"/>
          <w:sz w:val="32"/>
          <w:szCs w:val="32"/>
          <w:lang w:eastAsia="zh-Hans"/>
        </w:rPr>
        <w:t>六</w:t>
      </w:r>
      <w:r>
        <w:rPr>
          <w:rFonts w:eastAsia="仿宋_GB2312"/>
          <w:sz w:val="32"/>
          <w:szCs w:val="32"/>
        </w:rPr>
        <w:t>条所列情形的，可向市水行政主管部门申请追加赋分。追加赋分经评审组评审、评审结果网上公示（公示期为5日）和公布后确定。</w:t>
      </w:r>
    </w:p>
    <w:p w14:paraId="27D97C73">
      <w:pPr>
        <w:spacing w:line="550" w:lineRule="exact"/>
        <w:ind w:firstLine="640" w:firstLineChars="200"/>
        <w:rPr>
          <w:rFonts w:eastAsia="仿宋_GB2312"/>
          <w:sz w:val="32"/>
          <w:szCs w:val="32"/>
        </w:rPr>
      </w:pPr>
      <w:r>
        <w:rPr>
          <w:rFonts w:hAnsi="黑体" w:eastAsia="黑体"/>
          <w:sz w:val="32"/>
          <w:szCs w:val="32"/>
        </w:rPr>
        <w:t>第二十八条</w:t>
      </w:r>
      <w:r>
        <w:rPr>
          <w:rFonts w:eastAsia="仿宋_GB2312"/>
          <w:b/>
          <w:sz w:val="32"/>
          <w:szCs w:val="32"/>
        </w:rPr>
        <w:t xml:space="preserve"> </w:t>
      </w:r>
      <w:r>
        <w:rPr>
          <w:rFonts w:eastAsia="仿宋_GB2312"/>
          <w:sz w:val="32"/>
          <w:szCs w:val="32"/>
        </w:rPr>
        <w:t>本《办法》第二条规定范围的水利工程建设项目施工招标投标活动中，招标人应当将水利安全生产标准化等级作为评标阶段对施工企业进行评价的重要依据，并在招标文件中明确水利安全生产标准化等级赋分值。其中：水利水电施工安全生产标准化一级的赋分值为0.5分，二级为0.4分，三级为0.3分。</w:t>
      </w:r>
    </w:p>
    <w:p w14:paraId="68DF732E">
      <w:pPr>
        <w:spacing w:line="550" w:lineRule="exact"/>
        <w:ind w:firstLine="640" w:firstLineChars="200"/>
        <w:rPr>
          <w:rFonts w:eastAsia="仿宋_GB2312"/>
          <w:sz w:val="32"/>
          <w:szCs w:val="32"/>
        </w:rPr>
      </w:pPr>
      <w:r>
        <w:rPr>
          <w:rFonts w:hAnsi="黑体" w:eastAsia="黑体"/>
          <w:sz w:val="32"/>
          <w:szCs w:val="32"/>
        </w:rPr>
        <w:t>第二十九条</w:t>
      </w:r>
      <w:r>
        <w:rPr>
          <w:rFonts w:eastAsia="仿宋_GB2312"/>
          <w:b/>
          <w:sz w:val="32"/>
          <w:szCs w:val="32"/>
        </w:rPr>
        <w:t xml:space="preserve"> </w:t>
      </w:r>
      <w:r>
        <w:rPr>
          <w:rFonts w:eastAsia="仿宋_GB2312"/>
          <w:sz w:val="32"/>
          <w:szCs w:val="32"/>
        </w:rPr>
        <w:t>进入本市水利建设市场参与招标投标活动的从业单位，在</w:t>
      </w:r>
      <w:r>
        <w:rPr>
          <w:rFonts w:eastAsia="仿宋_GB2312"/>
          <w:sz w:val="32"/>
          <w:szCs w:val="32"/>
          <w:lang w:eastAsia="zh-Hans"/>
        </w:rPr>
        <w:t>上一年度</w:t>
      </w:r>
      <w:r>
        <w:rPr>
          <w:rFonts w:eastAsia="仿宋_GB2312"/>
          <w:sz w:val="32"/>
          <w:szCs w:val="32"/>
        </w:rPr>
        <w:t>无常州市水利工程建设从业单位信用等级的，投标时其信用等级赋分值取同时期本市同类型从业单位信用等级赋分的平均值，各类型从业单位信用等级赋分平均值由市水行政主管部门在信用等级结果公布时明确。</w:t>
      </w:r>
    </w:p>
    <w:p w14:paraId="3BA6263E">
      <w:pPr>
        <w:spacing w:line="550" w:lineRule="exact"/>
        <w:ind w:firstLine="640" w:firstLineChars="200"/>
        <w:rPr>
          <w:rFonts w:eastAsia="仿宋_GB2312"/>
          <w:sz w:val="32"/>
          <w:szCs w:val="32"/>
        </w:rPr>
      </w:pPr>
      <w:r>
        <w:rPr>
          <w:rFonts w:hAnsi="黑体" w:eastAsia="黑体"/>
          <w:sz w:val="32"/>
          <w:szCs w:val="32"/>
        </w:rPr>
        <w:t>第三十条</w:t>
      </w:r>
      <w:r>
        <w:rPr>
          <w:rFonts w:eastAsia="仿宋_GB2312"/>
          <w:sz w:val="32"/>
          <w:szCs w:val="32"/>
        </w:rPr>
        <w:t> 两个或者两个以上从业单位组成联合体投标时，按联合体中信用等级赋分较低的从业单位作为联合体的信用等级赋分。</w:t>
      </w:r>
    </w:p>
    <w:p w14:paraId="69297321">
      <w:pPr>
        <w:spacing w:line="550" w:lineRule="exact"/>
        <w:ind w:firstLine="640" w:firstLineChars="200"/>
        <w:rPr>
          <w:rFonts w:eastAsia="仿宋_GB2312"/>
          <w:sz w:val="32"/>
          <w:szCs w:val="32"/>
        </w:rPr>
      </w:pPr>
      <w:r>
        <w:rPr>
          <w:rFonts w:hAnsi="黑体" w:eastAsia="黑体"/>
          <w:sz w:val="32"/>
          <w:szCs w:val="32"/>
        </w:rPr>
        <w:t>第三十一条</w:t>
      </w:r>
      <w:r>
        <w:rPr>
          <w:rFonts w:eastAsia="仿宋_GB2312"/>
          <w:sz w:val="32"/>
          <w:szCs w:val="32"/>
        </w:rPr>
        <w:t>  从业单位在申报评优评奖时，建设全过程履约考核等次均在“良”及以上的，方可参加评优评奖。</w:t>
      </w:r>
    </w:p>
    <w:p w14:paraId="72813AF8">
      <w:pPr>
        <w:autoSpaceDE w:val="0"/>
        <w:spacing w:line="550" w:lineRule="exact"/>
        <w:ind w:firstLine="640" w:firstLineChars="200"/>
        <w:rPr>
          <w:rFonts w:eastAsia="仿宋_GB2312"/>
          <w:sz w:val="32"/>
          <w:szCs w:val="32"/>
        </w:rPr>
      </w:pPr>
      <w:r>
        <w:rPr>
          <w:rFonts w:hAnsi="黑体" w:eastAsia="黑体"/>
          <w:sz w:val="32"/>
          <w:szCs w:val="32"/>
        </w:rPr>
        <w:t>第三十二条</w:t>
      </w:r>
      <w:r>
        <w:rPr>
          <w:rFonts w:eastAsia="仿宋_GB2312"/>
          <w:sz w:val="32"/>
          <w:szCs w:val="32"/>
        </w:rPr>
        <w:t>  信用等级实行动态管理。从业单位受到水行政主管部门依据《失信惩戒办法》规定进行失信行为处罚的，对于一般失信行为，信用等级降一级，直至E级；对于较重失信行为，原信用等级高于D级的降为D级，原信用等级为D级的降为E级；对于严重失信行为信用等级一律降为E级。</w:t>
      </w:r>
    </w:p>
    <w:p w14:paraId="16835BDC">
      <w:pPr>
        <w:autoSpaceDE w:val="0"/>
        <w:spacing w:line="550" w:lineRule="exact"/>
        <w:ind w:firstLine="640" w:firstLineChars="200"/>
        <w:rPr>
          <w:rFonts w:eastAsia="仿宋_GB2312"/>
          <w:sz w:val="32"/>
          <w:szCs w:val="32"/>
        </w:rPr>
      </w:pPr>
      <w:r>
        <w:rPr>
          <w:rFonts w:eastAsia="仿宋_GB2312"/>
          <w:sz w:val="32"/>
          <w:szCs w:val="32"/>
        </w:rPr>
        <w:t>信用修复按照《失信惩戒办法》执行。</w:t>
      </w:r>
    </w:p>
    <w:p w14:paraId="7A7FAB23">
      <w:pPr>
        <w:spacing w:line="550" w:lineRule="exact"/>
        <w:ind w:firstLine="640" w:firstLineChars="200"/>
        <w:rPr>
          <w:rFonts w:eastAsia="仿宋_GB2312"/>
          <w:sz w:val="32"/>
          <w:szCs w:val="32"/>
        </w:rPr>
      </w:pPr>
      <w:r>
        <w:rPr>
          <w:rFonts w:eastAsia="仿宋_GB2312"/>
          <w:sz w:val="32"/>
          <w:szCs w:val="32"/>
        </w:rPr>
        <w:t>信用等级动态调整工作</w:t>
      </w:r>
      <w:r>
        <w:rPr>
          <w:rFonts w:eastAsia="仿宋_GB2312"/>
          <w:sz w:val="32"/>
          <w:szCs w:val="32"/>
          <w:lang w:eastAsia="zh-Hans"/>
        </w:rPr>
        <w:t>按照</w:t>
      </w:r>
      <w:r>
        <w:rPr>
          <w:rFonts w:eastAsia="仿宋_GB2312"/>
          <w:sz w:val="32"/>
          <w:szCs w:val="32"/>
        </w:rPr>
        <w:t>信用动态调整资料收集、评审组评审、评审结果网上公示（公示期为5日）、信用等级动态公布等</w:t>
      </w:r>
      <w:r>
        <w:rPr>
          <w:rFonts w:eastAsia="仿宋_GB2312"/>
          <w:sz w:val="32"/>
          <w:szCs w:val="32"/>
          <w:lang w:eastAsia="zh-Hans"/>
        </w:rPr>
        <w:t>程序开展</w:t>
      </w:r>
      <w:r>
        <w:rPr>
          <w:rFonts w:eastAsia="仿宋_GB2312"/>
          <w:sz w:val="32"/>
          <w:szCs w:val="32"/>
        </w:rPr>
        <w:t>。</w:t>
      </w:r>
    </w:p>
    <w:p w14:paraId="3D9A169A">
      <w:pPr>
        <w:spacing w:line="550" w:lineRule="exact"/>
        <w:ind w:firstLine="640" w:firstLineChars="200"/>
        <w:rPr>
          <w:rFonts w:eastAsia="仿宋_GB2312"/>
          <w:sz w:val="32"/>
          <w:szCs w:val="32"/>
        </w:rPr>
      </w:pPr>
      <w:r>
        <w:rPr>
          <w:rFonts w:hAnsi="黑体" w:eastAsia="黑体"/>
          <w:sz w:val="32"/>
          <w:szCs w:val="32"/>
        </w:rPr>
        <w:t>第三十三条</w:t>
      </w:r>
      <w:r>
        <w:rPr>
          <w:rFonts w:eastAsia="仿宋_GB2312"/>
          <w:sz w:val="32"/>
          <w:szCs w:val="32"/>
        </w:rPr>
        <w:t>  信用等级评为E级的从业单位，按照《失信惩戒办法》相关规定进行失信惩戒。</w:t>
      </w:r>
    </w:p>
    <w:p w14:paraId="41703B93">
      <w:pPr>
        <w:spacing w:line="550" w:lineRule="exact"/>
        <w:ind w:firstLine="640" w:firstLineChars="200"/>
        <w:rPr>
          <w:rFonts w:eastAsia="仿宋_GB2312"/>
          <w:sz w:val="32"/>
          <w:szCs w:val="32"/>
        </w:rPr>
      </w:pPr>
    </w:p>
    <w:p w14:paraId="204EEBD0">
      <w:pPr>
        <w:spacing w:line="550" w:lineRule="exact"/>
        <w:jc w:val="center"/>
        <w:rPr>
          <w:rFonts w:eastAsia="黑体"/>
          <w:sz w:val="32"/>
          <w:szCs w:val="32"/>
        </w:rPr>
      </w:pPr>
      <w:r>
        <w:rPr>
          <w:rFonts w:hAnsi="黑体" w:eastAsia="黑体"/>
          <w:sz w:val="32"/>
          <w:szCs w:val="32"/>
        </w:rPr>
        <w:t>第六章</w:t>
      </w:r>
      <w:r>
        <w:rPr>
          <w:rFonts w:eastAsia="黑体"/>
          <w:sz w:val="32"/>
          <w:szCs w:val="32"/>
        </w:rPr>
        <w:t>  </w:t>
      </w:r>
      <w:r>
        <w:rPr>
          <w:rFonts w:hAnsi="黑体" w:eastAsia="黑体"/>
          <w:sz w:val="32"/>
          <w:szCs w:val="32"/>
        </w:rPr>
        <w:t>评审纪律和异议处理</w:t>
      </w:r>
    </w:p>
    <w:p w14:paraId="7F1B350B">
      <w:pPr>
        <w:spacing w:line="550" w:lineRule="exact"/>
        <w:ind w:firstLine="640" w:firstLineChars="200"/>
        <w:rPr>
          <w:rFonts w:eastAsia="仿宋_GB2312"/>
          <w:sz w:val="32"/>
          <w:szCs w:val="32"/>
        </w:rPr>
      </w:pPr>
      <w:r>
        <w:rPr>
          <w:rFonts w:hAnsi="黑体" w:eastAsia="黑体"/>
          <w:sz w:val="32"/>
          <w:szCs w:val="32"/>
        </w:rPr>
        <w:t>第三十四条</w:t>
      </w:r>
      <w:r>
        <w:rPr>
          <w:rFonts w:eastAsia="仿宋_GB2312"/>
          <w:sz w:val="32"/>
          <w:szCs w:val="32"/>
        </w:rPr>
        <w:t>  履约考核信用等级评审过程中，发现从业单位弄虚作假或者从事违纪违规活动的，一经查实，将其记录在信用档案内，并视其情节轻重进行信用等级降级处理和失信行为公示。</w:t>
      </w:r>
    </w:p>
    <w:p w14:paraId="35EEEC09">
      <w:pPr>
        <w:spacing w:line="550" w:lineRule="exact"/>
        <w:ind w:firstLine="640" w:firstLineChars="200"/>
        <w:rPr>
          <w:rFonts w:eastAsia="仿宋_GB2312"/>
          <w:sz w:val="32"/>
          <w:szCs w:val="32"/>
        </w:rPr>
      </w:pPr>
      <w:r>
        <w:rPr>
          <w:rFonts w:hAnsi="黑体" w:eastAsia="黑体"/>
          <w:sz w:val="32"/>
          <w:szCs w:val="32"/>
        </w:rPr>
        <w:t>第三十五条</w:t>
      </w:r>
      <w:r>
        <w:rPr>
          <w:rFonts w:eastAsia="仿宋_GB2312"/>
          <w:sz w:val="32"/>
          <w:szCs w:val="32"/>
        </w:rPr>
        <w:t>  履约考核人员、信用等级评审人员以及有关工作人员应当秉公办事、严格纪律、自觉抵制不正之风。如有违反，一经查实，视情节轻重，给予批评、警告，直至取消参加履约考核、评审的资格。</w:t>
      </w:r>
    </w:p>
    <w:p w14:paraId="618E81AF">
      <w:pPr>
        <w:spacing w:line="550" w:lineRule="exact"/>
        <w:ind w:firstLine="640" w:firstLineChars="200"/>
        <w:rPr>
          <w:rFonts w:eastAsia="仿宋_GB2312"/>
          <w:sz w:val="32"/>
          <w:szCs w:val="32"/>
        </w:rPr>
      </w:pPr>
      <w:r>
        <w:rPr>
          <w:rFonts w:hAnsi="黑体" w:eastAsia="黑体"/>
          <w:sz w:val="32"/>
          <w:szCs w:val="32"/>
        </w:rPr>
        <w:t>第三十六条</w:t>
      </w:r>
      <w:r>
        <w:rPr>
          <w:rFonts w:eastAsia="仿宋_GB2312"/>
          <w:sz w:val="32"/>
          <w:szCs w:val="32"/>
        </w:rPr>
        <w:t>  从业单位对信用信息、履约考核结果、信用等级评定、动态调整和追加赋分有异议的，可以在公示期内向市水行政主管部门提出书面复核申请。市水行政主管部门收到书面复核申请后进行调查核实，在收到复核申请之日起20日内作出决定，并通知从业单位。如有调整将根据本《办法》相关条款规定的程序调整其履约考核等次、信用等级和追加赋分。</w:t>
      </w:r>
    </w:p>
    <w:p w14:paraId="401385C7">
      <w:pPr>
        <w:spacing w:line="550" w:lineRule="exact"/>
        <w:ind w:firstLine="640" w:firstLineChars="200"/>
        <w:rPr>
          <w:rFonts w:eastAsia="仿宋_GB2312"/>
          <w:sz w:val="32"/>
          <w:szCs w:val="32"/>
        </w:rPr>
      </w:pPr>
    </w:p>
    <w:p w14:paraId="5163DD23">
      <w:pPr>
        <w:spacing w:line="550" w:lineRule="exact"/>
        <w:jc w:val="center"/>
        <w:rPr>
          <w:rFonts w:eastAsia="黑体"/>
          <w:sz w:val="32"/>
          <w:szCs w:val="32"/>
        </w:rPr>
      </w:pPr>
      <w:r>
        <w:rPr>
          <w:rFonts w:hAnsi="黑体" w:eastAsia="黑体"/>
          <w:sz w:val="32"/>
          <w:szCs w:val="32"/>
        </w:rPr>
        <w:t>第七章</w:t>
      </w:r>
      <w:r>
        <w:rPr>
          <w:rFonts w:eastAsia="黑体"/>
          <w:sz w:val="32"/>
          <w:szCs w:val="32"/>
        </w:rPr>
        <w:t>  </w:t>
      </w:r>
      <w:r>
        <w:rPr>
          <w:rFonts w:hAnsi="黑体" w:eastAsia="黑体"/>
          <w:sz w:val="32"/>
          <w:szCs w:val="32"/>
        </w:rPr>
        <w:t>附则</w:t>
      </w:r>
    </w:p>
    <w:p w14:paraId="42F5A1E1">
      <w:pPr>
        <w:spacing w:line="550" w:lineRule="exact"/>
        <w:ind w:firstLine="640" w:firstLineChars="200"/>
        <w:rPr>
          <w:rFonts w:eastAsia="仿宋_GB2312"/>
          <w:sz w:val="32"/>
          <w:szCs w:val="32"/>
        </w:rPr>
      </w:pPr>
      <w:r>
        <w:rPr>
          <w:rFonts w:hAnsi="黑体" w:eastAsia="黑体"/>
          <w:sz w:val="32"/>
          <w:szCs w:val="32"/>
        </w:rPr>
        <w:t>第三十七条</w:t>
      </w:r>
      <w:r>
        <w:rPr>
          <w:rFonts w:eastAsia="仿宋_GB2312"/>
          <w:sz w:val="32"/>
          <w:szCs w:val="32"/>
        </w:rPr>
        <w:t>  江苏常州经济开发区参照辖市（区）执行。</w:t>
      </w:r>
    </w:p>
    <w:p w14:paraId="549679D5">
      <w:pPr>
        <w:spacing w:line="550" w:lineRule="exact"/>
        <w:ind w:firstLine="640" w:firstLineChars="200"/>
        <w:rPr>
          <w:rFonts w:eastAsia="仿宋_GB2312"/>
          <w:sz w:val="32"/>
          <w:szCs w:val="32"/>
        </w:rPr>
      </w:pPr>
      <w:r>
        <w:rPr>
          <w:rFonts w:hAnsi="黑体" w:eastAsia="黑体"/>
          <w:sz w:val="32"/>
          <w:szCs w:val="32"/>
        </w:rPr>
        <w:t>第三十八条</w:t>
      </w:r>
      <w:r>
        <w:rPr>
          <w:rFonts w:eastAsia="仿宋_GB2312"/>
          <w:sz w:val="32"/>
          <w:szCs w:val="32"/>
        </w:rPr>
        <w:t>  本办法自2021年1</w:t>
      </w:r>
      <w:bookmarkStart w:id="0" w:name="_GoBack"/>
      <w:bookmarkEnd w:id="0"/>
      <w:r>
        <w:rPr>
          <w:rFonts w:eastAsia="仿宋_GB2312"/>
          <w:sz w:val="32"/>
          <w:szCs w:val="32"/>
        </w:rPr>
        <w:t>月1日起施行。</w:t>
      </w:r>
    </w:p>
    <w:p w14:paraId="5282BF00">
      <w:pPr>
        <w:autoSpaceDE w:val="0"/>
        <w:autoSpaceDN w:val="0"/>
        <w:adjustRightInd w:val="0"/>
        <w:spacing w:line="570" w:lineRule="exact"/>
        <w:jc w:val="left"/>
        <w:rPr>
          <w:rFonts w:eastAsia="仿宋_GB2312"/>
          <w:sz w:val="32"/>
          <w:szCs w:val="32"/>
        </w:rPr>
      </w:pPr>
    </w:p>
    <w:sectPr>
      <w:footerReference r:id="rId3" w:type="default"/>
      <w:footerReference r:id="rId4" w:type="even"/>
      <w:pgSz w:w="11907" w:h="16840"/>
      <w:pgMar w:top="2098" w:right="1531" w:bottom="1985" w:left="1531" w:header="709" w:footer="1361" w:gutter="0"/>
      <w:pgNumType w:start="1"/>
      <w:cols w:space="720" w:num="1"/>
      <w:docGrid w:linePitch="315" w:charSpace="-3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9EA50">
    <w:pPr>
      <w:pStyle w:val="12"/>
      <w:wordWrap w:val="0"/>
      <w:jc w:val="right"/>
      <w:rPr>
        <w:sz w:val="28"/>
        <w:szCs w:val="28"/>
        <w:u w:val="single"/>
      </w:rPr>
    </w:pPr>
    <w:r>
      <w:rPr>
        <w:rFonts w:hint="eastAsia"/>
        <w:sz w:val="28"/>
        <w:szCs w:val="28"/>
        <w:u w:val="single"/>
        <w:lang w:eastAsia="zh-CN"/>
      </w:rPr>
      <w:t xml:space="preserve">     </w:t>
    </w:r>
    <w:r>
      <w:rPr>
        <w:rFonts w:hint="eastAsia"/>
        <w:sz w:val="28"/>
        <w:szCs w:val="28"/>
        <w:u w:val="single"/>
      </w:rPr>
      <w:t xml:space="preserve">                                                       </w:t>
    </w:r>
    <w:r>
      <w:rPr>
        <w:sz w:val="28"/>
        <w:szCs w:val="28"/>
        <w:u w:val="single"/>
      </w:rPr>
      <w:t>-</w:t>
    </w:r>
    <w:r>
      <w:rPr>
        <w:sz w:val="28"/>
        <w:szCs w:val="28"/>
        <w:u w:val="single"/>
      </w:rPr>
      <w:fldChar w:fldCharType="begin"/>
    </w:r>
    <w:r>
      <w:rPr>
        <w:sz w:val="28"/>
        <w:szCs w:val="28"/>
        <w:u w:val="single"/>
      </w:rPr>
      <w:instrText xml:space="preserve"> PAGE   \* MERGEFORMAT </w:instrText>
    </w:r>
    <w:r>
      <w:rPr>
        <w:sz w:val="28"/>
        <w:szCs w:val="28"/>
        <w:u w:val="single"/>
      </w:rPr>
      <w:fldChar w:fldCharType="separate"/>
    </w:r>
    <w:r>
      <w:rPr>
        <w:sz w:val="28"/>
        <w:szCs w:val="28"/>
        <w:u w:val="single"/>
        <w:lang w:val="zh-CN"/>
      </w:rPr>
      <w:t>1</w:t>
    </w:r>
    <w:r>
      <w:rPr>
        <w:sz w:val="28"/>
        <w:szCs w:val="28"/>
        <w:u w:val="single"/>
      </w:rPr>
      <w:fldChar w:fldCharType="end"/>
    </w:r>
    <w:r>
      <w:rPr>
        <w:sz w:val="28"/>
        <w:szCs w:val="28"/>
        <w:u w:val="single"/>
      </w:rPr>
      <w:t>-</w:t>
    </w:r>
  </w:p>
  <w:p w14:paraId="55C36756">
    <w:pPr>
      <w:pStyle w:val="12"/>
      <w:wordWrap w:val="0"/>
    </w:pPr>
    <w:r>
      <w:rPr>
        <w:rFonts w:hint="eastAsia"/>
      </w:rPr>
      <w:t xml:space="preserve">                                                                      </w:t>
    </w:r>
    <w:r>
      <w:rPr>
        <w:rFonts w:hint="eastAsia"/>
        <w:lang w:eastAsia="zh-CN"/>
      </w:rPr>
      <w:t xml:space="preserve">   </w:t>
    </w:r>
    <w:r>
      <w:rPr>
        <w:rFonts w:hint="eastAsia"/>
      </w:rPr>
      <w:t>常州市水利局发布</w:t>
    </w:r>
  </w:p>
  <w:p w14:paraId="2B7D13B1">
    <w:pPr>
      <w:pStyle w:val="12"/>
      <w:ind w:firstLine="7560" w:firstLineChars="2700"/>
      <w:rPr>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A26C2">
    <w:pPr>
      <w:pStyle w:val="12"/>
      <w:rPr>
        <w:sz w:val="28"/>
        <w:szCs w:val="28"/>
        <w:u w:val="single"/>
        <w:lang w:eastAsia="zh-CN"/>
      </w:rPr>
    </w:pPr>
    <w:r>
      <w:rPr>
        <w:sz w:val="28"/>
        <w:szCs w:val="28"/>
        <w:u w:val="single"/>
      </w:rPr>
      <w:t>-</w:t>
    </w:r>
    <w:r>
      <w:rPr>
        <w:sz w:val="28"/>
        <w:szCs w:val="28"/>
        <w:u w:val="single"/>
      </w:rPr>
      <w:fldChar w:fldCharType="begin"/>
    </w:r>
    <w:r>
      <w:rPr>
        <w:sz w:val="28"/>
        <w:szCs w:val="28"/>
        <w:u w:val="single"/>
      </w:rPr>
      <w:instrText xml:space="preserve"> PAGE   \* MERGEFORMAT </w:instrText>
    </w:r>
    <w:r>
      <w:rPr>
        <w:sz w:val="28"/>
        <w:szCs w:val="28"/>
        <w:u w:val="single"/>
      </w:rPr>
      <w:fldChar w:fldCharType="separate"/>
    </w:r>
    <w:r>
      <w:rPr>
        <w:sz w:val="28"/>
        <w:szCs w:val="28"/>
        <w:u w:val="single"/>
        <w:lang w:val="zh-CN"/>
      </w:rPr>
      <w:t>12</w:t>
    </w:r>
    <w:r>
      <w:rPr>
        <w:sz w:val="28"/>
        <w:szCs w:val="28"/>
        <w:u w:val="single"/>
      </w:rPr>
      <w:fldChar w:fldCharType="end"/>
    </w:r>
    <w:r>
      <w:rPr>
        <w:sz w:val="28"/>
        <w:szCs w:val="28"/>
        <w:u w:val="single"/>
      </w:rPr>
      <w:t>-</w:t>
    </w:r>
    <w:r>
      <w:rPr>
        <w:rFonts w:hint="eastAsia"/>
        <w:sz w:val="28"/>
        <w:szCs w:val="28"/>
        <w:u w:val="single"/>
      </w:rPr>
      <w:t xml:space="preserve">                                                          </w:t>
    </w:r>
    <w:r>
      <w:rPr>
        <w:rFonts w:hint="eastAsia"/>
        <w:sz w:val="28"/>
        <w:szCs w:val="28"/>
        <w:u w:val="single"/>
        <w:lang w:eastAsia="zh-CN"/>
      </w:rPr>
      <w:t xml:space="preserve">    </w:t>
    </w:r>
  </w:p>
  <w:p w14:paraId="0A46EA12">
    <w:pPr>
      <w:pStyle w:val="12"/>
      <w:rPr>
        <w:rFonts w:hint="eastAsia"/>
        <w:lang w:eastAsia="zh-CN"/>
      </w:rPr>
    </w:pPr>
    <w:r>
      <w:rPr>
        <w:rFonts w:hint="eastAsia"/>
      </w:rPr>
      <w:t xml:space="preserve">                                                                     </w:t>
    </w:r>
    <w:r>
      <w:rPr>
        <w:rFonts w:hint="eastAsia"/>
        <w:lang w:eastAsia="zh-CN"/>
      </w:rPr>
      <w:t xml:space="preserve">     </w:t>
    </w:r>
    <w:r>
      <w:rPr>
        <w:rFonts w:hint="eastAsia"/>
      </w:rPr>
      <w:t>常州市水利局发布</w:t>
    </w:r>
  </w:p>
  <w:p w14:paraId="52DD61F4">
    <w:pPr>
      <w:pStyle w:val="12"/>
      <w:ind w:firstLine="280" w:firstLineChars="100"/>
      <w:rPr>
        <w:sz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evenAndOddHeaders w:val="1"/>
  <w:drawingGridHorizontalSpacing w:val="104"/>
  <w:drawingGridVerticalSpacing w:val="315"/>
  <w:displayHorizontalDrawingGridEvery w:val="0"/>
  <w:displayVerticalDrawingGridEvery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1DF"/>
    <w:rsid w:val="00000147"/>
    <w:rsid w:val="000005D1"/>
    <w:rsid w:val="00002FB8"/>
    <w:rsid w:val="00003AF2"/>
    <w:rsid w:val="00003D97"/>
    <w:rsid w:val="000047AB"/>
    <w:rsid w:val="00007E38"/>
    <w:rsid w:val="00010345"/>
    <w:rsid w:val="0001137F"/>
    <w:rsid w:val="00012C7D"/>
    <w:rsid w:val="000145CF"/>
    <w:rsid w:val="0001478E"/>
    <w:rsid w:val="0001506D"/>
    <w:rsid w:val="00016254"/>
    <w:rsid w:val="00016E7B"/>
    <w:rsid w:val="000171A8"/>
    <w:rsid w:val="00017631"/>
    <w:rsid w:val="0002017A"/>
    <w:rsid w:val="00020704"/>
    <w:rsid w:val="00022953"/>
    <w:rsid w:val="00022F62"/>
    <w:rsid w:val="00024B57"/>
    <w:rsid w:val="00024CBD"/>
    <w:rsid w:val="00025F9F"/>
    <w:rsid w:val="00027044"/>
    <w:rsid w:val="00030940"/>
    <w:rsid w:val="00031735"/>
    <w:rsid w:val="0003271E"/>
    <w:rsid w:val="00032C32"/>
    <w:rsid w:val="00033EB8"/>
    <w:rsid w:val="00035461"/>
    <w:rsid w:val="00036B55"/>
    <w:rsid w:val="00040D1B"/>
    <w:rsid w:val="00041166"/>
    <w:rsid w:val="000414FF"/>
    <w:rsid w:val="0004166D"/>
    <w:rsid w:val="00042A61"/>
    <w:rsid w:val="00042DC9"/>
    <w:rsid w:val="00044337"/>
    <w:rsid w:val="00045091"/>
    <w:rsid w:val="000453A1"/>
    <w:rsid w:val="00046CA4"/>
    <w:rsid w:val="00047717"/>
    <w:rsid w:val="0004784F"/>
    <w:rsid w:val="00047CEA"/>
    <w:rsid w:val="00051EE8"/>
    <w:rsid w:val="00053CE0"/>
    <w:rsid w:val="000550D9"/>
    <w:rsid w:val="00057636"/>
    <w:rsid w:val="00057E52"/>
    <w:rsid w:val="00060228"/>
    <w:rsid w:val="00060309"/>
    <w:rsid w:val="0006083D"/>
    <w:rsid w:val="000618C1"/>
    <w:rsid w:val="0006266F"/>
    <w:rsid w:val="000626E2"/>
    <w:rsid w:val="000657B5"/>
    <w:rsid w:val="00065A3B"/>
    <w:rsid w:val="000660BA"/>
    <w:rsid w:val="0007081D"/>
    <w:rsid w:val="00070A09"/>
    <w:rsid w:val="00071271"/>
    <w:rsid w:val="00072388"/>
    <w:rsid w:val="000727DC"/>
    <w:rsid w:val="0007295D"/>
    <w:rsid w:val="0007320B"/>
    <w:rsid w:val="000746B7"/>
    <w:rsid w:val="000747CB"/>
    <w:rsid w:val="00075101"/>
    <w:rsid w:val="000754E9"/>
    <w:rsid w:val="00075FBE"/>
    <w:rsid w:val="000770EF"/>
    <w:rsid w:val="000772F2"/>
    <w:rsid w:val="00077EF8"/>
    <w:rsid w:val="000806A4"/>
    <w:rsid w:val="000809D8"/>
    <w:rsid w:val="00081419"/>
    <w:rsid w:val="00081AF4"/>
    <w:rsid w:val="000832CB"/>
    <w:rsid w:val="00084492"/>
    <w:rsid w:val="00085761"/>
    <w:rsid w:val="00086179"/>
    <w:rsid w:val="00091B5B"/>
    <w:rsid w:val="00092618"/>
    <w:rsid w:val="0009286B"/>
    <w:rsid w:val="000930B9"/>
    <w:rsid w:val="00093FA2"/>
    <w:rsid w:val="0009473C"/>
    <w:rsid w:val="00094CF4"/>
    <w:rsid w:val="00096C46"/>
    <w:rsid w:val="00097931"/>
    <w:rsid w:val="000A11C2"/>
    <w:rsid w:val="000A131D"/>
    <w:rsid w:val="000A142C"/>
    <w:rsid w:val="000A1D48"/>
    <w:rsid w:val="000A398A"/>
    <w:rsid w:val="000A3A31"/>
    <w:rsid w:val="000A3D2C"/>
    <w:rsid w:val="000A4455"/>
    <w:rsid w:val="000A493E"/>
    <w:rsid w:val="000A53EA"/>
    <w:rsid w:val="000A5A0E"/>
    <w:rsid w:val="000A5DEC"/>
    <w:rsid w:val="000A6E6B"/>
    <w:rsid w:val="000A6E90"/>
    <w:rsid w:val="000A7902"/>
    <w:rsid w:val="000B3E93"/>
    <w:rsid w:val="000B4DDB"/>
    <w:rsid w:val="000B7735"/>
    <w:rsid w:val="000C0011"/>
    <w:rsid w:val="000C0DDB"/>
    <w:rsid w:val="000C1B90"/>
    <w:rsid w:val="000C2ACE"/>
    <w:rsid w:val="000C2B92"/>
    <w:rsid w:val="000C2C0D"/>
    <w:rsid w:val="000C3076"/>
    <w:rsid w:val="000C380A"/>
    <w:rsid w:val="000C3C06"/>
    <w:rsid w:val="000C4006"/>
    <w:rsid w:val="000C4085"/>
    <w:rsid w:val="000C5031"/>
    <w:rsid w:val="000D0428"/>
    <w:rsid w:val="000D0663"/>
    <w:rsid w:val="000D118B"/>
    <w:rsid w:val="000D302A"/>
    <w:rsid w:val="000D332E"/>
    <w:rsid w:val="000D49E6"/>
    <w:rsid w:val="000D566A"/>
    <w:rsid w:val="000D649B"/>
    <w:rsid w:val="000D64F0"/>
    <w:rsid w:val="000D7949"/>
    <w:rsid w:val="000E0D7B"/>
    <w:rsid w:val="000E1CFF"/>
    <w:rsid w:val="000E23ED"/>
    <w:rsid w:val="000E2B05"/>
    <w:rsid w:val="000E380D"/>
    <w:rsid w:val="000E3A71"/>
    <w:rsid w:val="000E4B59"/>
    <w:rsid w:val="000E62FC"/>
    <w:rsid w:val="000E6D7D"/>
    <w:rsid w:val="000E6EC2"/>
    <w:rsid w:val="000E7475"/>
    <w:rsid w:val="000F156D"/>
    <w:rsid w:val="000F272C"/>
    <w:rsid w:val="000F2815"/>
    <w:rsid w:val="000F2A78"/>
    <w:rsid w:val="000F323F"/>
    <w:rsid w:val="000F4FED"/>
    <w:rsid w:val="000F50EF"/>
    <w:rsid w:val="000F6081"/>
    <w:rsid w:val="000F72AE"/>
    <w:rsid w:val="00100DC0"/>
    <w:rsid w:val="00101BFA"/>
    <w:rsid w:val="00103365"/>
    <w:rsid w:val="00103952"/>
    <w:rsid w:val="00103E1E"/>
    <w:rsid w:val="00107666"/>
    <w:rsid w:val="00110347"/>
    <w:rsid w:val="00110E57"/>
    <w:rsid w:val="001115FA"/>
    <w:rsid w:val="0011284B"/>
    <w:rsid w:val="00112D8D"/>
    <w:rsid w:val="0011553A"/>
    <w:rsid w:val="00116EE4"/>
    <w:rsid w:val="00117992"/>
    <w:rsid w:val="00120203"/>
    <w:rsid w:val="00120A08"/>
    <w:rsid w:val="00122DD9"/>
    <w:rsid w:val="001231F7"/>
    <w:rsid w:val="001242B8"/>
    <w:rsid w:val="001249F2"/>
    <w:rsid w:val="00125771"/>
    <w:rsid w:val="001260DF"/>
    <w:rsid w:val="0012655A"/>
    <w:rsid w:val="001271D3"/>
    <w:rsid w:val="00127C7F"/>
    <w:rsid w:val="00127CF5"/>
    <w:rsid w:val="0013045E"/>
    <w:rsid w:val="001329C2"/>
    <w:rsid w:val="00132D62"/>
    <w:rsid w:val="001340D3"/>
    <w:rsid w:val="00134221"/>
    <w:rsid w:val="0013448C"/>
    <w:rsid w:val="00135521"/>
    <w:rsid w:val="00136091"/>
    <w:rsid w:val="00136A18"/>
    <w:rsid w:val="001409BD"/>
    <w:rsid w:val="00142594"/>
    <w:rsid w:val="0014269B"/>
    <w:rsid w:val="00142EA2"/>
    <w:rsid w:val="001431C8"/>
    <w:rsid w:val="0014358D"/>
    <w:rsid w:val="001441F8"/>
    <w:rsid w:val="00144FD4"/>
    <w:rsid w:val="00145798"/>
    <w:rsid w:val="00145A07"/>
    <w:rsid w:val="00145A40"/>
    <w:rsid w:val="00146DA2"/>
    <w:rsid w:val="00146DF1"/>
    <w:rsid w:val="001476EA"/>
    <w:rsid w:val="00147A63"/>
    <w:rsid w:val="00150107"/>
    <w:rsid w:val="001512EA"/>
    <w:rsid w:val="0015212B"/>
    <w:rsid w:val="00152FC3"/>
    <w:rsid w:val="0015393E"/>
    <w:rsid w:val="00153E08"/>
    <w:rsid w:val="001549AB"/>
    <w:rsid w:val="0015521B"/>
    <w:rsid w:val="00156909"/>
    <w:rsid w:val="00157C35"/>
    <w:rsid w:val="00161068"/>
    <w:rsid w:val="001614DC"/>
    <w:rsid w:val="00162452"/>
    <w:rsid w:val="00163D72"/>
    <w:rsid w:val="001653F8"/>
    <w:rsid w:val="0016551D"/>
    <w:rsid w:val="00165DA8"/>
    <w:rsid w:val="001661C8"/>
    <w:rsid w:val="00166BBA"/>
    <w:rsid w:val="00167390"/>
    <w:rsid w:val="0016772D"/>
    <w:rsid w:val="001677F3"/>
    <w:rsid w:val="001701F8"/>
    <w:rsid w:val="001702BF"/>
    <w:rsid w:val="001705B8"/>
    <w:rsid w:val="00171790"/>
    <w:rsid w:val="00171CEA"/>
    <w:rsid w:val="00171D23"/>
    <w:rsid w:val="00171E66"/>
    <w:rsid w:val="00172338"/>
    <w:rsid w:val="00173485"/>
    <w:rsid w:val="00173C2F"/>
    <w:rsid w:val="00174433"/>
    <w:rsid w:val="00174689"/>
    <w:rsid w:val="001746CF"/>
    <w:rsid w:val="00174E9D"/>
    <w:rsid w:val="0017505C"/>
    <w:rsid w:val="001754FD"/>
    <w:rsid w:val="00177EB1"/>
    <w:rsid w:val="00180223"/>
    <w:rsid w:val="00180715"/>
    <w:rsid w:val="001808F9"/>
    <w:rsid w:val="0018390F"/>
    <w:rsid w:val="00184012"/>
    <w:rsid w:val="001843FF"/>
    <w:rsid w:val="001848B4"/>
    <w:rsid w:val="001849B2"/>
    <w:rsid w:val="00184DA6"/>
    <w:rsid w:val="0018532E"/>
    <w:rsid w:val="001859D9"/>
    <w:rsid w:val="001862A5"/>
    <w:rsid w:val="00187B52"/>
    <w:rsid w:val="00187D7A"/>
    <w:rsid w:val="001905CE"/>
    <w:rsid w:val="00190888"/>
    <w:rsid w:val="001912E9"/>
    <w:rsid w:val="00191CF3"/>
    <w:rsid w:val="001931C3"/>
    <w:rsid w:val="001936E7"/>
    <w:rsid w:val="00193FD2"/>
    <w:rsid w:val="001952F3"/>
    <w:rsid w:val="0019636B"/>
    <w:rsid w:val="001964B3"/>
    <w:rsid w:val="00196552"/>
    <w:rsid w:val="00197589"/>
    <w:rsid w:val="001A32B3"/>
    <w:rsid w:val="001A33C4"/>
    <w:rsid w:val="001A473D"/>
    <w:rsid w:val="001A5C9B"/>
    <w:rsid w:val="001A6C5C"/>
    <w:rsid w:val="001B0208"/>
    <w:rsid w:val="001B1B28"/>
    <w:rsid w:val="001B1BDA"/>
    <w:rsid w:val="001B1D5F"/>
    <w:rsid w:val="001B2462"/>
    <w:rsid w:val="001B2E2D"/>
    <w:rsid w:val="001B3A51"/>
    <w:rsid w:val="001B42A7"/>
    <w:rsid w:val="001B44AB"/>
    <w:rsid w:val="001B4ED4"/>
    <w:rsid w:val="001B54B7"/>
    <w:rsid w:val="001B585A"/>
    <w:rsid w:val="001C0F5C"/>
    <w:rsid w:val="001C1224"/>
    <w:rsid w:val="001C2C78"/>
    <w:rsid w:val="001C2E9D"/>
    <w:rsid w:val="001C31F4"/>
    <w:rsid w:val="001C34A4"/>
    <w:rsid w:val="001C3E9E"/>
    <w:rsid w:val="001C43C1"/>
    <w:rsid w:val="001C444E"/>
    <w:rsid w:val="001C4A47"/>
    <w:rsid w:val="001C6AA0"/>
    <w:rsid w:val="001C6F95"/>
    <w:rsid w:val="001C7FCB"/>
    <w:rsid w:val="001D1FB0"/>
    <w:rsid w:val="001D2810"/>
    <w:rsid w:val="001D34F5"/>
    <w:rsid w:val="001D3576"/>
    <w:rsid w:val="001D41D6"/>
    <w:rsid w:val="001D426D"/>
    <w:rsid w:val="001D5272"/>
    <w:rsid w:val="001D5F8C"/>
    <w:rsid w:val="001D7247"/>
    <w:rsid w:val="001D76ED"/>
    <w:rsid w:val="001E12E0"/>
    <w:rsid w:val="001E1791"/>
    <w:rsid w:val="001E233E"/>
    <w:rsid w:val="001E2A97"/>
    <w:rsid w:val="001E334F"/>
    <w:rsid w:val="001E3F2F"/>
    <w:rsid w:val="001E4CC4"/>
    <w:rsid w:val="001E53FF"/>
    <w:rsid w:val="001E57A6"/>
    <w:rsid w:val="001E6335"/>
    <w:rsid w:val="001E6B7A"/>
    <w:rsid w:val="001F026E"/>
    <w:rsid w:val="001F02A7"/>
    <w:rsid w:val="001F03F9"/>
    <w:rsid w:val="001F12CD"/>
    <w:rsid w:val="001F3989"/>
    <w:rsid w:val="001F4F9F"/>
    <w:rsid w:val="001F72BE"/>
    <w:rsid w:val="002007C7"/>
    <w:rsid w:val="00202ADD"/>
    <w:rsid w:val="00203920"/>
    <w:rsid w:val="0020467C"/>
    <w:rsid w:val="00204A45"/>
    <w:rsid w:val="00204D9A"/>
    <w:rsid w:val="00204F0B"/>
    <w:rsid w:val="0020641B"/>
    <w:rsid w:val="00206914"/>
    <w:rsid w:val="00207270"/>
    <w:rsid w:val="00207850"/>
    <w:rsid w:val="00207991"/>
    <w:rsid w:val="00210F72"/>
    <w:rsid w:val="00211521"/>
    <w:rsid w:val="0021297A"/>
    <w:rsid w:val="00212A40"/>
    <w:rsid w:val="0021655A"/>
    <w:rsid w:val="0021666D"/>
    <w:rsid w:val="00217C8B"/>
    <w:rsid w:val="002204A3"/>
    <w:rsid w:val="002213FB"/>
    <w:rsid w:val="0022350A"/>
    <w:rsid w:val="00224477"/>
    <w:rsid w:val="00224957"/>
    <w:rsid w:val="002249B5"/>
    <w:rsid w:val="00225E41"/>
    <w:rsid w:val="002273B6"/>
    <w:rsid w:val="00227A47"/>
    <w:rsid w:val="0023022B"/>
    <w:rsid w:val="0023036C"/>
    <w:rsid w:val="00230CE9"/>
    <w:rsid w:val="00230DFC"/>
    <w:rsid w:val="002314C6"/>
    <w:rsid w:val="00232BD9"/>
    <w:rsid w:val="00232E20"/>
    <w:rsid w:val="00232F27"/>
    <w:rsid w:val="00233898"/>
    <w:rsid w:val="00233C3A"/>
    <w:rsid w:val="00233C61"/>
    <w:rsid w:val="00236314"/>
    <w:rsid w:val="00240719"/>
    <w:rsid w:val="00240964"/>
    <w:rsid w:val="00242C97"/>
    <w:rsid w:val="00245807"/>
    <w:rsid w:val="00245D47"/>
    <w:rsid w:val="00246FA9"/>
    <w:rsid w:val="002500D1"/>
    <w:rsid w:val="00251D81"/>
    <w:rsid w:val="0025331C"/>
    <w:rsid w:val="0025379A"/>
    <w:rsid w:val="00253A5B"/>
    <w:rsid w:val="00253B15"/>
    <w:rsid w:val="00253EB1"/>
    <w:rsid w:val="00256CDB"/>
    <w:rsid w:val="0025770E"/>
    <w:rsid w:val="00257C5F"/>
    <w:rsid w:val="00257FFD"/>
    <w:rsid w:val="00261308"/>
    <w:rsid w:val="00261346"/>
    <w:rsid w:val="0026559C"/>
    <w:rsid w:val="00265CBE"/>
    <w:rsid w:val="00265DB5"/>
    <w:rsid w:val="002660E8"/>
    <w:rsid w:val="0026682B"/>
    <w:rsid w:val="0026697F"/>
    <w:rsid w:val="00267B40"/>
    <w:rsid w:val="002700BC"/>
    <w:rsid w:val="002703BF"/>
    <w:rsid w:val="002707FD"/>
    <w:rsid w:val="002709BC"/>
    <w:rsid w:val="00271069"/>
    <w:rsid w:val="0027395E"/>
    <w:rsid w:val="00274439"/>
    <w:rsid w:val="00274B50"/>
    <w:rsid w:val="00277B06"/>
    <w:rsid w:val="002831C6"/>
    <w:rsid w:val="00283504"/>
    <w:rsid w:val="00283F64"/>
    <w:rsid w:val="002844E3"/>
    <w:rsid w:val="00284DDA"/>
    <w:rsid w:val="0028530E"/>
    <w:rsid w:val="00285D8F"/>
    <w:rsid w:val="002866C4"/>
    <w:rsid w:val="0029042D"/>
    <w:rsid w:val="002906DD"/>
    <w:rsid w:val="00290AC4"/>
    <w:rsid w:val="00290C71"/>
    <w:rsid w:val="0029129D"/>
    <w:rsid w:val="002918CE"/>
    <w:rsid w:val="002923E3"/>
    <w:rsid w:val="002930C6"/>
    <w:rsid w:val="00293199"/>
    <w:rsid w:val="00293BF4"/>
    <w:rsid w:val="0029414F"/>
    <w:rsid w:val="00294DF2"/>
    <w:rsid w:val="00294F2A"/>
    <w:rsid w:val="00295EC5"/>
    <w:rsid w:val="0029651B"/>
    <w:rsid w:val="00297674"/>
    <w:rsid w:val="002A0124"/>
    <w:rsid w:val="002A069C"/>
    <w:rsid w:val="002A089B"/>
    <w:rsid w:val="002A115F"/>
    <w:rsid w:val="002A23E9"/>
    <w:rsid w:val="002A2647"/>
    <w:rsid w:val="002A3E22"/>
    <w:rsid w:val="002A40A4"/>
    <w:rsid w:val="002A4538"/>
    <w:rsid w:val="002A5D90"/>
    <w:rsid w:val="002A6B4E"/>
    <w:rsid w:val="002B076B"/>
    <w:rsid w:val="002B0AD4"/>
    <w:rsid w:val="002B1CF5"/>
    <w:rsid w:val="002B3623"/>
    <w:rsid w:val="002B3A99"/>
    <w:rsid w:val="002B5363"/>
    <w:rsid w:val="002B5A04"/>
    <w:rsid w:val="002B5EA5"/>
    <w:rsid w:val="002B73B5"/>
    <w:rsid w:val="002B7802"/>
    <w:rsid w:val="002C041A"/>
    <w:rsid w:val="002C136D"/>
    <w:rsid w:val="002C1EA6"/>
    <w:rsid w:val="002C1F35"/>
    <w:rsid w:val="002C3197"/>
    <w:rsid w:val="002C34AA"/>
    <w:rsid w:val="002C4636"/>
    <w:rsid w:val="002C53D1"/>
    <w:rsid w:val="002C5DC4"/>
    <w:rsid w:val="002C69FB"/>
    <w:rsid w:val="002C6A1D"/>
    <w:rsid w:val="002C77DD"/>
    <w:rsid w:val="002D1179"/>
    <w:rsid w:val="002D1BD5"/>
    <w:rsid w:val="002D24D1"/>
    <w:rsid w:val="002D28BE"/>
    <w:rsid w:val="002D4EAB"/>
    <w:rsid w:val="002D5D64"/>
    <w:rsid w:val="002D61B3"/>
    <w:rsid w:val="002D6745"/>
    <w:rsid w:val="002D6CFB"/>
    <w:rsid w:val="002D6E2D"/>
    <w:rsid w:val="002D6E42"/>
    <w:rsid w:val="002D7BE8"/>
    <w:rsid w:val="002E0723"/>
    <w:rsid w:val="002E1632"/>
    <w:rsid w:val="002E17F3"/>
    <w:rsid w:val="002E39CD"/>
    <w:rsid w:val="002E4181"/>
    <w:rsid w:val="002E4DD5"/>
    <w:rsid w:val="002E530E"/>
    <w:rsid w:val="002E6B3A"/>
    <w:rsid w:val="002E782D"/>
    <w:rsid w:val="002F0543"/>
    <w:rsid w:val="002F16CC"/>
    <w:rsid w:val="002F1C2E"/>
    <w:rsid w:val="002F2008"/>
    <w:rsid w:val="002F4258"/>
    <w:rsid w:val="002F5244"/>
    <w:rsid w:val="002F7EDC"/>
    <w:rsid w:val="00300390"/>
    <w:rsid w:val="0030164A"/>
    <w:rsid w:val="00303B38"/>
    <w:rsid w:val="00304371"/>
    <w:rsid w:val="00304687"/>
    <w:rsid w:val="00305315"/>
    <w:rsid w:val="0030599A"/>
    <w:rsid w:val="00306067"/>
    <w:rsid w:val="00306860"/>
    <w:rsid w:val="00306C99"/>
    <w:rsid w:val="00307C4C"/>
    <w:rsid w:val="003103DA"/>
    <w:rsid w:val="0031071E"/>
    <w:rsid w:val="003107A9"/>
    <w:rsid w:val="00310ADE"/>
    <w:rsid w:val="0031226E"/>
    <w:rsid w:val="00312F82"/>
    <w:rsid w:val="0031308A"/>
    <w:rsid w:val="00313262"/>
    <w:rsid w:val="00313268"/>
    <w:rsid w:val="00313C71"/>
    <w:rsid w:val="0031405D"/>
    <w:rsid w:val="00314D4A"/>
    <w:rsid w:val="0031518F"/>
    <w:rsid w:val="003152FE"/>
    <w:rsid w:val="00315432"/>
    <w:rsid w:val="00315CB4"/>
    <w:rsid w:val="00316646"/>
    <w:rsid w:val="00316922"/>
    <w:rsid w:val="003170AA"/>
    <w:rsid w:val="00320572"/>
    <w:rsid w:val="0032097F"/>
    <w:rsid w:val="00321375"/>
    <w:rsid w:val="00321746"/>
    <w:rsid w:val="0032261F"/>
    <w:rsid w:val="00323B88"/>
    <w:rsid w:val="00323E2C"/>
    <w:rsid w:val="00325358"/>
    <w:rsid w:val="0032628A"/>
    <w:rsid w:val="003266F3"/>
    <w:rsid w:val="00330155"/>
    <w:rsid w:val="00330D51"/>
    <w:rsid w:val="0033123A"/>
    <w:rsid w:val="003315AA"/>
    <w:rsid w:val="00331EBF"/>
    <w:rsid w:val="003320AA"/>
    <w:rsid w:val="00332EDF"/>
    <w:rsid w:val="00333515"/>
    <w:rsid w:val="00333D7E"/>
    <w:rsid w:val="003351FC"/>
    <w:rsid w:val="00335525"/>
    <w:rsid w:val="003360BC"/>
    <w:rsid w:val="00337AEA"/>
    <w:rsid w:val="00340388"/>
    <w:rsid w:val="00341865"/>
    <w:rsid w:val="00341F80"/>
    <w:rsid w:val="00342322"/>
    <w:rsid w:val="0034233D"/>
    <w:rsid w:val="0034251E"/>
    <w:rsid w:val="0034292F"/>
    <w:rsid w:val="00342DC7"/>
    <w:rsid w:val="0034377A"/>
    <w:rsid w:val="00344952"/>
    <w:rsid w:val="003457F2"/>
    <w:rsid w:val="0034582D"/>
    <w:rsid w:val="0034624A"/>
    <w:rsid w:val="00346602"/>
    <w:rsid w:val="003476B3"/>
    <w:rsid w:val="00347E14"/>
    <w:rsid w:val="003501B2"/>
    <w:rsid w:val="003505E1"/>
    <w:rsid w:val="00350C4E"/>
    <w:rsid w:val="003514D1"/>
    <w:rsid w:val="00352607"/>
    <w:rsid w:val="00352716"/>
    <w:rsid w:val="00353167"/>
    <w:rsid w:val="00354C03"/>
    <w:rsid w:val="00356898"/>
    <w:rsid w:val="00356D2E"/>
    <w:rsid w:val="0036051A"/>
    <w:rsid w:val="00361941"/>
    <w:rsid w:val="00362ADF"/>
    <w:rsid w:val="00362E45"/>
    <w:rsid w:val="00363BA7"/>
    <w:rsid w:val="00363F10"/>
    <w:rsid w:val="00365498"/>
    <w:rsid w:val="00365968"/>
    <w:rsid w:val="00365BCE"/>
    <w:rsid w:val="0036680F"/>
    <w:rsid w:val="0036696C"/>
    <w:rsid w:val="00366C24"/>
    <w:rsid w:val="00367D3B"/>
    <w:rsid w:val="00370109"/>
    <w:rsid w:val="00370534"/>
    <w:rsid w:val="00370E92"/>
    <w:rsid w:val="003719D1"/>
    <w:rsid w:val="003738BE"/>
    <w:rsid w:val="003814FC"/>
    <w:rsid w:val="00382B5C"/>
    <w:rsid w:val="00383358"/>
    <w:rsid w:val="00383B4B"/>
    <w:rsid w:val="00383EDD"/>
    <w:rsid w:val="0038427E"/>
    <w:rsid w:val="003859B1"/>
    <w:rsid w:val="00386CD9"/>
    <w:rsid w:val="00387654"/>
    <w:rsid w:val="003905F9"/>
    <w:rsid w:val="00391550"/>
    <w:rsid w:val="00391C13"/>
    <w:rsid w:val="00393E2C"/>
    <w:rsid w:val="003942C5"/>
    <w:rsid w:val="00394A16"/>
    <w:rsid w:val="003963D0"/>
    <w:rsid w:val="003967D9"/>
    <w:rsid w:val="003A112B"/>
    <w:rsid w:val="003A4297"/>
    <w:rsid w:val="003A49F1"/>
    <w:rsid w:val="003A4B90"/>
    <w:rsid w:val="003A6A10"/>
    <w:rsid w:val="003A6CD5"/>
    <w:rsid w:val="003A751B"/>
    <w:rsid w:val="003A7C6A"/>
    <w:rsid w:val="003B06FD"/>
    <w:rsid w:val="003B083C"/>
    <w:rsid w:val="003B1C5A"/>
    <w:rsid w:val="003B2C22"/>
    <w:rsid w:val="003B31F8"/>
    <w:rsid w:val="003B4644"/>
    <w:rsid w:val="003B4C7A"/>
    <w:rsid w:val="003B5E53"/>
    <w:rsid w:val="003B6ED8"/>
    <w:rsid w:val="003B7C5D"/>
    <w:rsid w:val="003B7DEA"/>
    <w:rsid w:val="003C1B80"/>
    <w:rsid w:val="003C219F"/>
    <w:rsid w:val="003C2460"/>
    <w:rsid w:val="003C3981"/>
    <w:rsid w:val="003C562A"/>
    <w:rsid w:val="003C5D94"/>
    <w:rsid w:val="003C7BEE"/>
    <w:rsid w:val="003D0EF2"/>
    <w:rsid w:val="003D11F8"/>
    <w:rsid w:val="003D1687"/>
    <w:rsid w:val="003D3636"/>
    <w:rsid w:val="003D36E1"/>
    <w:rsid w:val="003D39E3"/>
    <w:rsid w:val="003D3EA5"/>
    <w:rsid w:val="003D6E12"/>
    <w:rsid w:val="003D6F8F"/>
    <w:rsid w:val="003D7C3B"/>
    <w:rsid w:val="003E03D2"/>
    <w:rsid w:val="003E08A9"/>
    <w:rsid w:val="003E0D0C"/>
    <w:rsid w:val="003E27A2"/>
    <w:rsid w:val="003E3639"/>
    <w:rsid w:val="003E3EB1"/>
    <w:rsid w:val="003E4765"/>
    <w:rsid w:val="003E4CAA"/>
    <w:rsid w:val="003E6966"/>
    <w:rsid w:val="003E6BF9"/>
    <w:rsid w:val="003E6E7D"/>
    <w:rsid w:val="003F0F0C"/>
    <w:rsid w:val="003F10F9"/>
    <w:rsid w:val="003F1B3A"/>
    <w:rsid w:val="003F2212"/>
    <w:rsid w:val="003F342C"/>
    <w:rsid w:val="003F3538"/>
    <w:rsid w:val="003F3C16"/>
    <w:rsid w:val="003F43A3"/>
    <w:rsid w:val="003F44D7"/>
    <w:rsid w:val="003F50CF"/>
    <w:rsid w:val="003F5146"/>
    <w:rsid w:val="003F538D"/>
    <w:rsid w:val="003F5BE7"/>
    <w:rsid w:val="003F79FD"/>
    <w:rsid w:val="003F7B9F"/>
    <w:rsid w:val="003F7D4B"/>
    <w:rsid w:val="0040013A"/>
    <w:rsid w:val="0040016F"/>
    <w:rsid w:val="004009CA"/>
    <w:rsid w:val="00400A89"/>
    <w:rsid w:val="0040204A"/>
    <w:rsid w:val="004059E3"/>
    <w:rsid w:val="00406981"/>
    <w:rsid w:val="00410E43"/>
    <w:rsid w:val="00412617"/>
    <w:rsid w:val="00412A5B"/>
    <w:rsid w:val="0041379F"/>
    <w:rsid w:val="00414DAA"/>
    <w:rsid w:val="004158D2"/>
    <w:rsid w:val="00416871"/>
    <w:rsid w:val="00417DD9"/>
    <w:rsid w:val="00420233"/>
    <w:rsid w:val="00420711"/>
    <w:rsid w:val="00420CFA"/>
    <w:rsid w:val="00420EB8"/>
    <w:rsid w:val="00422272"/>
    <w:rsid w:val="00422A7B"/>
    <w:rsid w:val="0042378C"/>
    <w:rsid w:val="00423D85"/>
    <w:rsid w:val="004256E1"/>
    <w:rsid w:val="00425CAE"/>
    <w:rsid w:val="00426385"/>
    <w:rsid w:val="00427511"/>
    <w:rsid w:val="00427A3C"/>
    <w:rsid w:val="00427A83"/>
    <w:rsid w:val="00427DDC"/>
    <w:rsid w:val="00427E28"/>
    <w:rsid w:val="00427EBE"/>
    <w:rsid w:val="00430296"/>
    <w:rsid w:val="00430C51"/>
    <w:rsid w:val="00432B1B"/>
    <w:rsid w:val="00432B4E"/>
    <w:rsid w:val="004333D6"/>
    <w:rsid w:val="0043454E"/>
    <w:rsid w:val="004349B7"/>
    <w:rsid w:val="00434ABF"/>
    <w:rsid w:val="004367FF"/>
    <w:rsid w:val="00436969"/>
    <w:rsid w:val="00436A88"/>
    <w:rsid w:val="00436CC0"/>
    <w:rsid w:val="004373A5"/>
    <w:rsid w:val="004379C8"/>
    <w:rsid w:val="00437E5A"/>
    <w:rsid w:val="00440219"/>
    <w:rsid w:val="004404B9"/>
    <w:rsid w:val="00440513"/>
    <w:rsid w:val="004408C0"/>
    <w:rsid w:val="004408C1"/>
    <w:rsid w:val="00441BD5"/>
    <w:rsid w:val="00442733"/>
    <w:rsid w:val="0044466B"/>
    <w:rsid w:val="004446AC"/>
    <w:rsid w:val="0044542B"/>
    <w:rsid w:val="00446AA1"/>
    <w:rsid w:val="00447465"/>
    <w:rsid w:val="0045096B"/>
    <w:rsid w:val="00450A23"/>
    <w:rsid w:val="00451A4A"/>
    <w:rsid w:val="00452015"/>
    <w:rsid w:val="00452727"/>
    <w:rsid w:val="0045281D"/>
    <w:rsid w:val="004553B8"/>
    <w:rsid w:val="00456990"/>
    <w:rsid w:val="0045756E"/>
    <w:rsid w:val="00457E08"/>
    <w:rsid w:val="004609D2"/>
    <w:rsid w:val="00460A22"/>
    <w:rsid w:val="00460BAF"/>
    <w:rsid w:val="004612A3"/>
    <w:rsid w:val="00461A8D"/>
    <w:rsid w:val="004621E9"/>
    <w:rsid w:val="00463004"/>
    <w:rsid w:val="004641F5"/>
    <w:rsid w:val="0046523F"/>
    <w:rsid w:val="00465280"/>
    <w:rsid w:val="00465452"/>
    <w:rsid w:val="00465617"/>
    <w:rsid w:val="00465EDD"/>
    <w:rsid w:val="00465F74"/>
    <w:rsid w:val="004678FB"/>
    <w:rsid w:val="00467E8D"/>
    <w:rsid w:val="00470E6D"/>
    <w:rsid w:val="00471093"/>
    <w:rsid w:val="00471247"/>
    <w:rsid w:val="004714F4"/>
    <w:rsid w:val="00472115"/>
    <w:rsid w:val="0047229A"/>
    <w:rsid w:val="004725FF"/>
    <w:rsid w:val="00472C75"/>
    <w:rsid w:val="004731D2"/>
    <w:rsid w:val="00474F24"/>
    <w:rsid w:val="00475881"/>
    <w:rsid w:val="00482865"/>
    <w:rsid w:val="004832DC"/>
    <w:rsid w:val="0048494D"/>
    <w:rsid w:val="0048571A"/>
    <w:rsid w:val="00485A42"/>
    <w:rsid w:val="00485F83"/>
    <w:rsid w:val="004860A1"/>
    <w:rsid w:val="00486B79"/>
    <w:rsid w:val="00486D4B"/>
    <w:rsid w:val="00487CEF"/>
    <w:rsid w:val="00490536"/>
    <w:rsid w:val="004915B4"/>
    <w:rsid w:val="00495221"/>
    <w:rsid w:val="00495378"/>
    <w:rsid w:val="00495E22"/>
    <w:rsid w:val="00496168"/>
    <w:rsid w:val="00496EC5"/>
    <w:rsid w:val="004A09E7"/>
    <w:rsid w:val="004A1437"/>
    <w:rsid w:val="004A1D8A"/>
    <w:rsid w:val="004A34B9"/>
    <w:rsid w:val="004A350A"/>
    <w:rsid w:val="004A461E"/>
    <w:rsid w:val="004A4688"/>
    <w:rsid w:val="004A519A"/>
    <w:rsid w:val="004A54FD"/>
    <w:rsid w:val="004A5B95"/>
    <w:rsid w:val="004A76E2"/>
    <w:rsid w:val="004A784A"/>
    <w:rsid w:val="004A7B91"/>
    <w:rsid w:val="004B0073"/>
    <w:rsid w:val="004B1988"/>
    <w:rsid w:val="004B2AC3"/>
    <w:rsid w:val="004B31E4"/>
    <w:rsid w:val="004B3B06"/>
    <w:rsid w:val="004B415D"/>
    <w:rsid w:val="004B5BC7"/>
    <w:rsid w:val="004B5D2A"/>
    <w:rsid w:val="004B5DF6"/>
    <w:rsid w:val="004B5EC5"/>
    <w:rsid w:val="004B6580"/>
    <w:rsid w:val="004B68C8"/>
    <w:rsid w:val="004B6E5E"/>
    <w:rsid w:val="004B703F"/>
    <w:rsid w:val="004B713D"/>
    <w:rsid w:val="004B78F4"/>
    <w:rsid w:val="004C0859"/>
    <w:rsid w:val="004C0E01"/>
    <w:rsid w:val="004C1033"/>
    <w:rsid w:val="004C1556"/>
    <w:rsid w:val="004C1918"/>
    <w:rsid w:val="004C37A3"/>
    <w:rsid w:val="004C38F9"/>
    <w:rsid w:val="004C3DC9"/>
    <w:rsid w:val="004C42CF"/>
    <w:rsid w:val="004C431B"/>
    <w:rsid w:val="004C44DE"/>
    <w:rsid w:val="004C57AC"/>
    <w:rsid w:val="004C58E2"/>
    <w:rsid w:val="004C592D"/>
    <w:rsid w:val="004C5BC0"/>
    <w:rsid w:val="004C738A"/>
    <w:rsid w:val="004C7CC8"/>
    <w:rsid w:val="004C7EEC"/>
    <w:rsid w:val="004D0631"/>
    <w:rsid w:val="004D0B91"/>
    <w:rsid w:val="004D2DF7"/>
    <w:rsid w:val="004D335C"/>
    <w:rsid w:val="004D35D8"/>
    <w:rsid w:val="004D3B2B"/>
    <w:rsid w:val="004D4FCB"/>
    <w:rsid w:val="004D7C9C"/>
    <w:rsid w:val="004D7E7B"/>
    <w:rsid w:val="004E0252"/>
    <w:rsid w:val="004E04D3"/>
    <w:rsid w:val="004E12BC"/>
    <w:rsid w:val="004E184A"/>
    <w:rsid w:val="004E1B04"/>
    <w:rsid w:val="004E2319"/>
    <w:rsid w:val="004E243D"/>
    <w:rsid w:val="004E2C33"/>
    <w:rsid w:val="004E36F3"/>
    <w:rsid w:val="004E40F1"/>
    <w:rsid w:val="004E49CC"/>
    <w:rsid w:val="004E4D11"/>
    <w:rsid w:val="004E6642"/>
    <w:rsid w:val="004E759B"/>
    <w:rsid w:val="004F129F"/>
    <w:rsid w:val="004F1EC2"/>
    <w:rsid w:val="004F2409"/>
    <w:rsid w:val="004F290E"/>
    <w:rsid w:val="004F3282"/>
    <w:rsid w:val="004F3CF0"/>
    <w:rsid w:val="004F3E04"/>
    <w:rsid w:val="004F4543"/>
    <w:rsid w:val="004F49A8"/>
    <w:rsid w:val="004F4C47"/>
    <w:rsid w:val="004F53FB"/>
    <w:rsid w:val="004F6640"/>
    <w:rsid w:val="004F6748"/>
    <w:rsid w:val="004F6836"/>
    <w:rsid w:val="004F7741"/>
    <w:rsid w:val="00502209"/>
    <w:rsid w:val="00503878"/>
    <w:rsid w:val="005042A7"/>
    <w:rsid w:val="005060FB"/>
    <w:rsid w:val="0050674A"/>
    <w:rsid w:val="0050780C"/>
    <w:rsid w:val="00507B91"/>
    <w:rsid w:val="00507E2C"/>
    <w:rsid w:val="00510165"/>
    <w:rsid w:val="005104E7"/>
    <w:rsid w:val="00510783"/>
    <w:rsid w:val="00510C93"/>
    <w:rsid w:val="00513556"/>
    <w:rsid w:val="00513802"/>
    <w:rsid w:val="00513B36"/>
    <w:rsid w:val="005145D7"/>
    <w:rsid w:val="0051463B"/>
    <w:rsid w:val="00514C3B"/>
    <w:rsid w:val="00515769"/>
    <w:rsid w:val="00515BB3"/>
    <w:rsid w:val="00515D9B"/>
    <w:rsid w:val="005203D6"/>
    <w:rsid w:val="00520E73"/>
    <w:rsid w:val="0052185F"/>
    <w:rsid w:val="005218B2"/>
    <w:rsid w:val="005228F1"/>
    <w:rsid w:val="00523EA4"/>
    <w:rsid w:val="00524909"/>
    <w:rsid w:val="00524E4B"/>
    <w:rsid w:val="0052587C"/>
    <w:rsid w:val="00525F80"/>
    <w:rsid w:val="00526ED8"/>
    <w:rsid w:val="00530C94"/>
    <w:rsid w:val="0053137D"/>
    <w:rsid w:val="00532CAF"/>
    <w:rsid w:val="00532D15"/>
    <w:rsid w:val="00532D6D"/>
    <w:rsid w:val="00533583"/>
    <w:rsid w:val="0053512B"/>
    <w:rsid w:val="00535FB4"/>
    <w:rsid w:val="0053673A"/>
    <w:rsid w:val="00536AA9"/>
    <w:rsid w:val="00540CE6"/>
    <w:rsid w:val="00540ECD"/>
    <w:rsid w:val="005412B4"/>
    <w:rsid w:val="005413F0"/>
    <w:rsid w:val="0054215D"/>
    <w:rsid w:val="00542DE7"/>
    <w:rsid w:val="00543DDE"/>
    <w:rsid w:val="00543E6E"/>
    <w:rsid w:val="00544061"/>
    <w:rsid w:val="00546B85"/>
    <w:rsid w:val="00547070"/>
    <w:rsid w:val="0055146D"/>
    <w:rsid w:val="00552727"/>
    <w:rsid w:val="00554150"/>
    <w:rsid w:val="005546D1"/>
    <w:rsid w:val="00555304"/>
    <w:rsid w:val="005559EF"/>
    <w:rsid w:val="00557277"/>
    <w:rsid w:val="0055727F"/>
    <w:rsid w:val="00557F01"/>
    <w:rsid w:val="005606E3"/>
    <w:rsid w:val="00561114"/>
    <w:rsid w:val="005616B6"/>
    <w:rsid w:val="005616E0"/>
    <w:rsid w:val="00561883"/>
    <w:rsid w:val="00563CD6"/>
    <w:rsid w:val="00564678"/>
    <w:rsid w:val="00564D70"/>
    <w:rsid w:val="005653F9"/>
    <w:rsid w:val="00566271"/>
    <w:rsid w:val="00567133"/>
    <w:rsid w:val="00567682"/>
    <w:rsid w:val="0056794C"/>
    <w:rsid w:val="00571403"/>
    <w:rsid w:val="005725B6"/>
    <w:rsid w:val="00572EA0"/>
    <w:rsid w:val="0057402B"/>
    <w:rsid w:val="005744E4"/>
    <w:rsid w:val="00574C95"/>
    <w:rsid w:val="00575135"/>
    <w:rsid w:val="00576182"/>
    <w:rsid w:val="00577A6B"/>
    <w:rsid w:val="005807A4"/>
    <w:rsid w:val="0058145E"/>
    <w:rsid w:val="005814C3"/>
    <w:rsid w:val="00581EFE"/>
    <w:rsid w:val="00582E14"/>
    <w:rsid w:val="005832F8"/>
    <w:rsid w:val="00583902"/>
    <w:rsid w:val="00583CE0"/>
    <w:rsid w:val="005850C9"/>
    <w:rsid w:val="00586B68"/>
    <w:rsid w:val="00590227"/>
    <w:rsid w:val="00590D2C"/>
    <w:rsid w:val="00591C83"/>
    <w:rsid w:val="00591FDD"/>
    <w:rsid w:val="0059243F"/>
    <w:rsid w:val="00593204"/>
    <w:rsid w:val="00593589"/>
    <w:rsid w:val="005940EA"/>
    <w:rsid w:val="005955C6"/>
    <w:rsid w:val="00596132"/>
    <w:rsid w:val="00597489"/>
    <w:rsid w:val="005A0419"/>
    <w:rsid w:val="005A097E"/>
    <w:rsid w:val="005A28FF"/>
    <w:rsid w:val="005A2CD8"/>
    <w:rsid w:val="005A473B"/>
    <w:rsid w:val="005A4BA0"/>
    <w:rsid w:val="005A4D22"/>
    <w:rsid w:val="005A4D38"/>
    <w:rsid w:val="005A51B3"/>
    <w:rsid w:val="005A51B5"/>
    <w:rsid w:val="005A5A83"/>
    <w:rsid w:val="005A7A71"/>
    <w:rsid w:val="005B096D"/>
    <w:rsid w:val="005B153E"/>
    <w:rsid w:val="005B238B"/>
    <w:rsid w:val="005B2390"/>
    <w:rsid w:val="005B2D2F"/>
    <w:rsid w:val="005B3735"/>
    <w:rsid w:val="005B5560"/>
    <w:rsid w:val="005B6619"/>
    <w:rsid w:val="005B6D39"/>
    <w:rsid w:val="005B7567"/>
    <w:rsid w:val="005C1482"/>
    <w:rsid w:val="005C172C"/>
    <w:rsid w:val="005C1DB3"/>
    <w:rsid w:val="005C1E61"/>
    <w:rsid w:val="005C280E"/>
    <w:rsid w:val="005C673E"/>
    <w:rsid w:val="005C753A"/>
    <w:rsid w:val="005D0629"/>
    <w:rsid w:val="005D1F33"/>
    <w:rsid w:val="005D2016"/>
    <w:rsid w:val="005D3992"/>
    <w:rsid w:val="005D4245"/>
    <w:rsid w:val="005D512A"/>
    <w:rsid w:val="005D5BAA"/>
    <w:rsid w:val="005D5EF2"/>
    <w:rsid w:val="005D5F20"/>
    <w:rsid w:val="005D67D2"/>
    <w:rsid w:val="005D73C6"/>
    <w:rsid w:val="005E1215"/>
    <w:rsid w:val="005E1FC3"/>
    <w:rsid w:val="005E2E22"/>
    <w:rsid w:val="005E623A"/>
    <w:rsid w:val="005E72AE"/>
    <w:rsid w:val="005E7B56"/>
    <w:rsid w:val="005F0998"/>
    <w:rsid w:val="005F1681"/>
    <w:rsid w:val="005F1E38"/>
    <w:rsid w:val="005F3047"/>
    <w:rsid w:val="005F3BCF"/>
    <w:rsid w:val="005F48A3"/>
    <w:rsid w:val="005F5043"/>
    <w:rsid w:val="005F6496"/>
    <w:rsid w:val="005F7668"/>
    <w:rsid w:val="005F7D6B"/>
    <w:rsid w:val="0060033D"/>
    <w:rsid w:val="006003E2"/>
    <w:rsid w:val="006008B2"/>
    <w:rsid w:val="00601075"/>
    <w:rsid w:val="006018E9"/>
    <w:rsid w:val="00601B0F"/>
    <w:rsid w:val="00601C37"/>
    <w:rsid w:val="006028AA"/>
    <w:rsid w:val="006030B9"/>
    <w:rsid w:val="006033D0"/>
    <w:rsid w:val="00603C0F"/>
    <w:rsid w:val="00604D0F"/>
    <w:rsid w:val="006050F7"/>
    <w:rsid w:val="00607DA0"/>
    <w:rsid w:val="00610307"/>
    <w:rsid w:val="00610C19"/>
    <w:rsid w:val="00611F24"/>
    <w:rsid w:val="006128E5"/>
    <w:rsid w:val="00612EE7"/>
    <w:rsid w:val="00613465"/>
    <w:rsid w:val="00613814"/>
    <w:rsid w:val="00615120"/>
    <w:rsid w:val="006158DF"/>
    <w:rsid w:val="00615D3C"/>
    <w:rsid w:val="0061621D"/>
    <w:rsid w:val="006172D3"/>
    <w:rsid w:val="006206D0"/>
    <w:rsid w:val="0062310C"/>
    <w:rsid w:val="006241F9"/>
    <w:rsid w:val="00624754"/>
    <w:rsid w:val="006247D2"/>
    <w:rsid w:val="006257ED"/>
    <w:rsid w:val="00625883"/>
    <w:rsid w:val="00625C9B"/>
    <w:rsid w:val="00625CC2"/>
    <w:rsid w:val="00627E60"/>
    <w:rsid w:val="00631702"/>
    <w:rsid w:val="00631E42"/>
    <w:rsid w:val="00632E55"/>
    <w:rsid w:val="00632FE9"/>
    <w:rsid w:val="006333ED"/>
    <w:rsid w:val="00633564"/>
    <w:rsid w:val="0063410B"/>
    <w:rsid w:val="00634516"/>
    <w:rsid w:val="00634AF4"/>
    <w:rsid w:val="00634C67"/>
    <w:rsid w:val="00634DF5"/>
    <w:rsid w:val="0063502F"/>
    <w:rsid w:val="006351EB"/>
    <w:rsid w:val="00637966"/>
    <w:rsid w:val="0064010B"/>
    <w:rsid w:val="00640623"/>
    <w:rsid w:val="0064163F"/>
    <w:rsid w:val="0064174C"/>
    <w:rsid w:val="0064233D"/>
    <w:rsid w:val="00642587"/>
    <w:rsid w:val="00643602"/>
    <w:rsid w:val="00643FEF"/>
    <w:rsid w:val="00644AC4"/>
    <w:rsid w:val="00644F60"/>
    <w:rsid w:val="00645CE9"/>
    <w:rsid w:val="00646E1C"/>
    <w:rsid w:val="0064793C"/>
    <w:rsid w:val="00650F5C"/>
    <w:rsid w:val="00652FFE"/>
    <w:rsid w:val="0065351E"/>
    <w:rsid w:val="00654DD7"/>
    <w:rsid w:val="006550AE"/>
    <w:rsid w:val="006552E6"/>
    <w:rsid w:val="0065583E"/>
    <w:rsid w:val="00660451"/>
    <w:rsid w:val="006610EF"/>
    <w:rsid w:val="00662039"/>
    <w:rsid w:val="00662B2D"/>
    <w:rsid w:val="006639F7"/>
    <w:rsid w:val="0066411A"/>
    <w:rsid w:val="006650CA"/>
    <w:rsid w:val="006663E2"/>
    <w:rsid w:val="00667030"/>
    <w:rsid w:val="00667751"/>
    <w:rsid w:val="006704ED"/>
    <w:rsid w:val="00670ABC"/>
    <w:rsid w:val="00672218"/>
    <w:rsid w:val="00672E66"/>
    <w:rsid w:val="00673452"/>
    <w:rsid w:val="00673B50"/>
    <w:rsid w:val="00674C00"/>
    <w:rsid w:val="00674D23"/>
    <w:rsid w:val="006750D0"/>
    <w:rsid w:val="00676C10"/>
    <w:rsid w:val="00680730"/>
    <w:rsid w:val="00680A34"/>
    <w:rsid w:val="00681AD1"/>
    <w:rsid w:val="0068247B"/>
    <w:rsid w:val="0068362B"/>
    <w:rsid w:val="006838B7"/>
    <w:rsid w:val="00685AE9"/>
    <w:rsid w:val="00685CAE"/>
    <w:rsid w:val="00686A01"/>
    <w:rsid w:val="00686FCD"/>
    <w:rsid w:val="006875FA"/>
    <w:rsid w:val="00690565"/>
    <w:rsid w:val="00690E09"/>
    <w:rsid w:val="00692329"/>
    <w:rsid w:val="00692A34"/>
    <w:rsid w:val="00692E3E"/>
    <w:rsid w:val="006942DC"/>
    <w:rsid w:val="00694566"/>
    <w:rsid w:val="00695EDB"/>
    <w:rsid w:val="0069608D"/>
    <w:rsid w:val="00696ADC"/>
    <w:rsid w:val="00697E52"/>
    <w:rsid w:val="006A00BB"/>
    <w:rsid w:val="006A01F6"/>
    <w:rsid w:val="006A08D8"/>
    <w:rsid w:val="006A235E"/>
    <w:rsid w:val="006A2E6C"/>
    <w:rsid w:val="006A5225"/>
    <w:rsid w:val="006A6EDA"/>
    <w:rsid w:val="006B0A57"/>
    <w:rsid w:val="006B1152"/>
    <w:rsid w:val="006B1A2B"/>
    <w:rsid w:val="006B1E75"/>
    <w:rsid w:val="006B50FF"/>
    <w:rsid w:val="006B5945"/>
    <w:rsid w:val="006B5DBB"/>
    <w:rsid w:val="006B7AD7"/>
    <w:rsid w:val="006C0C26"/>
    <w:rsid w:val="006C1611"/>
    <w:rsid w:val="006C1E76"/>
    <w:rsid w:val="006C1FB1"/>
    <w:rsid w:val="006C3AB9"/>
    <w:rsid w:val="006C3E49"/>
    <w:rsid w:val="006C4E44"/>
    <w:rsid w:val="006C5E69"/>
    <w:rsid w:val="006C619D"/>
    <w:rsid w:val="006D1974"/>
    <w:rsid w:val="006D279F"/>
    <w:rsid w:val="006D4786"/>
    <w:rsid w:val="006D63AA"/>
    <w:rsid w:val="006D7E33"/>
    <w:rsid w:val="006E0351"/>
    <w:rsid w:val="006E09AF"/>
    <w:rsid w:val="006E21B9"/>
    <w:rsid w:val="006E2BAD"/>
    <w:rsid w:val="006E38BE"/>
    <w:rsid w:val="006E4303"/>
    <w:rsid w:val="006E49FE"/>
    <w:rsid w:val="006E54FE"/>
    <w:rsid w:val="006E5A85"/>
    <w:rsid w:val="006E7328"/>
    <w:rsid w:val="006F0432"/>
    <w:rsid w:val="006F0E7B"/>
    <w:rsid w:val="006F22BF"/>
    <w:rsid w:val="006F26BF"/>
    <w:rsid w:val="006F275B"/>
    <w:rsid w:val="006F32EA"/>
    <w:rsid w:val="006F44AE"/>
    <w:rsid w:val="006F4CE1"/>
    <w:rsid w:val="006F7205"/>
    <w:rsid w:val="006F7BB5"/>
    <w:rsid w:val="006F7EA1"/>
    <w:rsid w:val="00700FBA"/>
    <w:rsid w:val="007025A5"/>
    <w:rsid w:val="00703C3A"/>
    <w:rsid w:val="00704269"/>
    <w:rsid w:val="0070483E"/>
    <w:rsid w:val="007054D9"/>
    <w:rsid w:val="007076F8"/>
    <w:rsid w:val="00711733"/>
    <w:rsid w:val="00711751"/>
    <w:rsid w:val="00712845"/>
    <w:rsid w:val="00712BE5"/>
    <w:rsid w:val="00712E95"/>
    <w:rsid w:val="00713396"/>
    <w:rsid w:val="007137B1"/>
    <w:rsid w:val="00713E03"/>
    <w:rsid w:val="00714D13"/>
    <w:rsid w:val="0071509A"/>
    <w:rsid w:val="00716720"/>
    <w:rsid w:val="00716957"/>
    <w:rsid w:val="0071731E"/>
    <w:rsid w:val="007175CD"/>
    <w:rsid w:val="00717B14"/>
    <w:rsid w:val="00717B54"/>
    <w:rsid w:val="00720F0F"/>
    <w:rsid w:val="00722FB7"/>
    <w:rsid w:val="00725BC2"/>
    <w:rsid w:val="007265F6"/>
    <w:rsid w:val="007278B0"/>
    <w:rsid w:val="00730D85"/>
    <w:rsid w:val="007319F7"/>
    <w:rsid w:val="00734F07"/>
    <w:rsid w:val="00735A63"/>
    <w:rsid w:val="00736CAE"/>
    <w:rsid w:val="00736DC0"/>
    <w:rsid w:val="00736E57"/>
    <w:rsid w:val="007370BE"/>
    <w:rsid w:val="00741BE0"/>
    <w:rsid w:val="00741ECE"/>
    <w:rsid w:val="00743397"/>
    <w:rsid w:val="00743DFD"/>
    <w:rsid w:val="00744C29"/>
    <w:rsid w:val="00745172"/>
    <w:rsid w:val="00745775"/>
    <w:rsid w:val="00745C9C"/>
    <w:rsid w:val="00745F48"/>
    <w:rsid w:val="00746662"/>
    <w:rsid w:val="00747F03"/>
    <w:rsid w:val="00750BE7"/>
    <w:rsid w:val="007510E9"/>
    <w:rsid w:val="007513C3"/>
    <w:rsid w:val="00752105"/>
    <w:rsid w:val="007526BB"/>
    <w:rsid w:val="00752B02"/>
    <w:rsid w:val="00752B38"/>
    <w:rsid w:val="00754975"/>
    <w:rsid w:val="00755355"/>
    <w:rsid w:val="00755942"/>
    <w:rsid w:val="00756733"/>
    <w:rsid w:val="00756AE7"/>
    <w:rsid w:val="007611FB"/>
    <w:rsid w:val="00761618"/>
    <w:rsid w:val="00761CA4"/>
    <w:rsid w:val="00762535"/>
    <w:rsid w:val="00764187"/>
    <w:rsid w:val="00766FE3"/>
    <w:rsid w:val="00767616"/>
    <w:rsid w:val="00767849"/>
    <w:rsid w:val="0077097E"/>
    <w:rsid w:val="00770B87"/>
    <w:rsid w:val="00772205"/>
    <w:rsid w:val="0077260C"/>
    <w:rsid w:val="007729FD"/>
    <w:rsid w:val="00772D08"/>
    <w:rsid w:val="00775156"/>
    <w:rsid w:val="00780460"/>
    <w:rsid w:val="00780897"/>
    <w:rsid w:val="00780C89"/>
    <w:rsid w:val="007812F5"/>
    <w:rsid w:val="007831C1"/>
    <w:rsid w:val="00783350"/>
    <w:rsid w:val="00783FED"/>
    <w:rsid w:val="007855A5"/>
    <w:rsid w:val="00786C89"/>
    <w:rsid w:val="0078725C"/>
    <w:rsid w:val="007879A9"/>
    <w:rsid w:val="00787F2C"/>
    <w:rsid w:val="00790438"/>
    <w:rsid w:val="0079164D"/>
    <w:rsid w:val="007916DA"/>
    <w:rsid w:val="00792117"/>
    <w:rsid w:val="007934BB"/>
    <w:rsid w:val="00793B48"/>
    <w:rsid w:val="00793F0F"/>
    <w:rsid w:val="00794000"/>
    <w:rsid w:val="0079437E"/>
    <w:rsid w:val="00794D0D"/>
    <w:rsid w:val="00795A05"/>
    <w:rsid w:val="007979AE"/>
    <w:rsid w:val="007A057E"/>
    <w:rsid w:val="007A0621"/>
    <w:rsid w:val="007A15FE"/>
    <w:rsid w:val="007A1875"/>
    <w:rsid w:val="007A3906"/>
    <w:rsid w:val="007A53BF"/>
    <w:rsid w:val="007A5C22"/>
    <w:rsid w:val="007A6736"/>
    <w:rsid w:val="007B034F"/>
    <w:rsid w:val="007B107A"/>
    <w:rsid w:val="007B30F5"/>
    <w:rsid w:val="007B31B9"/>
    <w:rsid w:val="007B3BF2"/>
    <w:rsid w:val="007B3C04"/>
    <w:rsid w:val="007B3FCA"/>
    <w:rsid w:val="007B5092"/>
    <w:rsid w:val="007B537C"/>
    <w:rsid w:val="007B64C0"/>
    <w:rsid w:val="007B6503"/>
    <w:rsid w:val="007B6C1D"/>
    <w:rsid w:val="007B7B96"/>
    <w:rsid w:val="007B7B9B"/>
    <w:rsid w:val="007C00CB"/>
    <w:rsid w:val="007C105A"/>
    <w:rsid w:val="007C1373"/>
    <w:rsid w:val="007C1FC8"/>
    <w:rsid w:val="007C36B9"/>
    <w:rsid w:val="007C3770"/>
    <w:rsid w:val="007C3BFA"/>
    <w:rsid w:val="007C3F53"/>
    <w:rsid w:val="007C49B0"/>
    <w:rsid w:val="007C5541"/>
    <w:rsid w:val="007C5867"/>
    <w:rsid w:val="007C79A7"/>
    <w:rsid w:val="007D03D1"/>
    <w:rsid w:val="007D12C3"/>
    <w:rsid w:val="007D1607"/>
    <w:rsid w:val="007D23C2"/>
    <w:rsid w:val="007D32C3"/>
    <w:rsid w:val="007D5D18"/>
    <w:rsid w:val="007D5F23"/>
    <w:rsid w:val="007D7179"/>
    <w:rsid w:val="007E020C"/>
    <w:rsid w:val="007E1D04"/>
    <w:rsid w:val="007E2D44"/>
    <w:rsid w:val="007E5B22"/>
    <w:rsid w:val="007E5CAA"/>
    <w:rsid w:val="007E6874"/>
    <w:rsid w:val="007E7218"/>
    <w:rsid w:val="007F0015"/>
    <w:rsid w:val="007F198D"/>
    <w:rsid w:val="007F1E43"/>
    <w:rsid w:val="007F336B"/>
    <w:rsid w:val="007F3CF9"/>
    <w:rsid w:val="007F4C80"/>
    <w:rsid w:val="007F5FC8"/>
    <w:rsid w:val="007F63A2"/>
    <w:rsid w:val="007F6400"/>
    <w:rsid w:val="007F6EF7"/>
    <w:rsid w:val="007F6F5F"/>
    <w:rsid w:val="007F752D"/>
    <w:rsid w:val="007F79E8"/>
    <w:rsid w:val="0080059D"/>
    <w:rsid w:val="0080083C"/>
    <w:rsid w:val="00800A59"/>
    <w:rsid w:val="00802653"/>
    <w:rsid w:val="0080270F"/>
    <w:rsid w:val="00803FF2"/>
    <w:rsid w:val="008040FC"/>
    <w:rsid w:val="00804308"/>
    <w:rsid w:val="00804713"/>
    <w:rsid w:val="00804BD0"/>
    <w:rsid w:val="0080533C"/>
    <w:rsid w:val="00805C3B"/>
    <w:rsid w:val="0080608D"/>
    <w:rsid w:val="0080700F"/>
    <w:rsid w:val="00807295"/>
    <w:rsid w:val="00807997"/>
    <w:rsid w:val="00807CC5"/>
    <w:rsid w:val="008106E6"/>
    <w:rsid w:val="008116E3"/>
    <w:rsid w:val="00811D5C"/>
    <w:rsid w:val="008122C6"/>
    <w:rsid w:val="008128F0"/>
    <w:rsid w:val="008133BA"/>
    <w:rsid w:val="008140CA"/>
    <w:rsid w:val="0081458E"/>
    <w:rsid w:val="00821985"/>
    <w:rsid w:val="00822486"/>
    <w:rsid w:val="008239DA"/>
    <w:rsid w:val="00823FCD"/>
    <w:rsid w:val="0082425D"/>
    <w:rsid w:val="008252DE"/>
    <w:rsid w:val="0082549F"/>
    <w:rsid w:val="00826D79"/>
    <w:rsid w:val="00830B5A"/>
    <w:rsid w:val="00830C3E"/>
    <w:rsid w:val="00831449"/>
    <w:rsid w:val="00833A1E"/>
    <w:rsid w:val="00833A69"/>
    <w:rsid w:val="00833BAE"/>
    <w:rsid w:val="0083541C"/>
    <w:rsid w:val="0083555B"/>
    <w:rsid w:val="00836210"/>
    <w:rsid w:val="0083679B"/>
    <w:rsid w:val="008378B8"/>
    <w:rsid w:val="008378EE"/>
    <w:rsid w:val="00840933"/>
    <w:rsid w:val="00840D15"/>
    <w:rsid w:val="00841AB4"/>
    <w:rsid w:val="00841C9A"/>
    <w:rsid w:val="0084266D"/>
    <w:rsid w:val="00843ABD"/>
    <w:rsid w:val="00844443"/>
    <w:rsid w:val="00844E26"/>
    <w:rsid w:val="0084575D"/>
    <w:rsid w:val="0084600F"/>
    <w:rsid w:val="008464D1"/>
    <w:rsid w:val="00850260"/>
    <w:rsid w:val="0085066A"/>
    <w:rsid w:val="00852304"/>
    <w:rsid w:val="00852CF3"/>
    <w:rsid w:val="00853733"/>
    <w:rsid w:val="00854D9D"/>
    <w:rsid w:val="00855D86"/>
    <w:rsid w:val="00857756"/>
    <w:rsid w:val="00862694"/>
    <w:rsid w:val="00862872"/>
    <w:rsid w:val="00863933"/>
    <w:rsid w:val="00863B46"/>
    <w:rsid w:val="00863E02"/>
    <w:rsid w:val="00863E79"/>
    <w:rsid w:val="0086449A"/>
    <w:rsid w:val="0086475C"/>
    <w:rsid w:val="00864980"/>
    <w:rsid w:val="0086697D"/>
    <w:rsid w:val="00867C08"/>
    <w:rsid w:val="00870096"/>
    <w:rsid w:val="008701A3"/>
    <w:rsid w:val="00870305"/>
    <w:rsid w:val="00871AB6"/>
    <w:rsid w:val="00871AFE"/>
    <w:rsid w:val="0087237B"/>
    <w:rsid w:val="00872503"/>
    <w:rsid w:val="008725DB"/>
    <w:rsid w:val="008748FD"/>
    <w:rsid w:val="00874BE1"/>
    <w:rsid w:val="00874CB0"/>
    <w:rsid w:val="00874D7F"/>
    <w:rsid w:val="008758F0"/>
    <w:rsid w:val="00875C90"/>
    <w:rsid w:val="00875D97"/>
    <w:rsid w:val="00876C42"/>
    <w:rsid w:val="008772B4"/>
    <w:rsid w:val="00877733"/>
    <w:rsid w:val="00880B52"/>
    <w:rsid w:val="00881706"/>
    <w:rsid w:val="008822E7"/>
    <w:rsid w:val="00882396"/>
    <w:rsid w:val="00882E98"/>
    <w:rsid w:val="00884843"/>
    <w:rsid w:val="00884BFA"/>
    <w:rsid w:val="00885EF7"/>
    <w:rsid w:val="00885F5F"/>
    <w:rsid w:val="00885FEB"/>
    <w:rsid w:val="00886BB6"/>
    <w:rsid w:val="00886BDD"/>
    <w:rsid w:val="008871DA"/>
    <w:rsid w:val="00887806"/>
    <w:rsid w:val="008929F8"/>
    <w:rsid w:val="00892A7C"/>
    <w:rsid w:val="008933E4"/>
    <w:rsid w:val="008937F7"/>
    <w:rsid w:val="0089424B"/>
    <w:rsid w:val="00895007"/>
    <w:rsid w:val="00895C57"/>
    <w:rsid w:val="00896EE5"/>
    <w:rsid w:val="0089723E"/>
    <w:rsid w:val="008976E8"/>
    <w:rsid w:val="008A0218"/>
    <w:rsid w:val="008A048B"/>
    <w:rsid w:val="008A1626"/>
    <w:rsid w:val="008A170D"/>
    <w:rsid w:val="008A210A"/>
    <w:rsid w:val="008A2152"/>
    <w:rsid w:val="008A2A9B"/>
    <w:rsid w:val="008A3B0B"/>
    <w:rsid w:val="008A3F00"/>
    <w:rsid w:val="008A4AFF"/>
    <w:rsid w:val="008A70AB"/>
    <w:rsid w:val="008A774E"/>
    <w:rsid w:val="008A7B48"/>
    <w:rsid w:val="008B06E6"/>
    <w:rsid w:val="008B2D8A"/>
    <w:rsid w:val="008B2F51"/>
    <w:rsid w:val="008B34D3"/>
    <w:rsid w:val="008B34E6"/>
    <w:rsid w:val="008B4523"/>
    <w:rsid w:val="008B60EA"/>
    <w:rsid w:val="008B6713"/>
    <w:rsid w:val="008C01E2"/>
    <w:rsid w:val="008C0A32"/>
    <w:rsid w:val="008C1803"/>
    <w:rsid w:val="008C48C0"/>
    <w:rsid w:val="008C4EAA"/>
    <w:rsid w:val="008C5C0E"/>
    <w:rsid w:val="008C5E24"/>
    <w:rsid w:val="008D0A08"/>
    <w:rsid w:val="008D1973"/>
    <w:rsid w:val="008D1E87"/>
    <w:rsid w:val="008D3277"/>
    <w:rsid w:val="008D3933"/>
    <w:rsid w:val="008D481E"/>
    <w:rsid w:val="008D6112"/>
    <w:rsid w:val="008D6425"/>
    <w:rsid w:val="008D69B2"/>
    <w:rsid w:val="008D6DD0"/>
    <w:rsid w:val="008E1B9C"/>
    <w:rsid w:val="008E221D"/>
    <w:rsid w:val="008E3E38"/>
    <w:rsid w:val="008E5B37"/>
    <w:rsid w:val="008E6068"/>
    <w:rsid w:val="008E6925"/>
    <w:rsid w:val="008E6E3D"/>
    <w:rsid w:val="008E6EF1"/>
    <w:rsid w:val="008E70C8"/>
    <w:rsid w:val="008E756E"/>
    <w:rsid w:val="008E7AEA"/>
    <w:rsid w:val="008F1092"/>
    <w:rsid w:val="008F13F9"/>
    <w:rsid w:val="008F156C"/>
    <w:rsid w:val="008F274F"/>
    <w:rsid w:val="008F40AD"/>
    <w:rsid w:val="008F4516"/>
    <w:rsid w:val="008F4BF2"/>
    <w:rsid w:val="008F5D37"/>
    <w:rsid w:val="008F64AE"/>
    <w:rsid w:val="008F6F9C"/>
    <w:rsid w:val="0090018E"/>
    <w:rsid w:val="00901235"/>
    <w:rsid w:val="00903A7B"/>
    <w:rsid w:val="00903A85"/>
    <w:rsid w:val="00903F42"/>
    <w:rsid w:val="00906596"/>
    <w:rsid w:val="00910315"/>
    <w:rsid w:val="00911F43"/>
    <w:rsid w:val="0091216A"/>
    <w:rsid w:val="009128C9"/>
    <w:rsid w:val="00912D88"/>
    <w:rsid w:val="00913449"/>
    <w:rsid w:val="009139C9"/>
    <w:rsid w:val="00913C80"/>
    <w:rsid w:val="00913F82"/>
    <w:rsid w:val="009142A1"/>
    <w:rsid w:val="0091494A"/>
    <w:rsid w:val="009157A7"/>
    <w:rsid w:val="00916D25"/>
    <w:rsid w:val="00916FE8"/>
    <w:rsid w:val="00917838"/>
    <w:rsid w:val="009178C1"/>
    <w:rsid w:val="00920B49"/>
    <w:rsid w:val="00920C8F"/>
    <w:rsid w:val="00920FD4"/>
    <w:rsid w:val="00921D49"/>
    <w:rsid w:val="009222F1"/>
    <w:rsid w:val="0092279D"/>
    <w:rsid w:val="009228A0"/>
    <w:rsid w:val="00922C18"/>
    <w:rsid w:val="0092340D"/>
    <w:rsid w:val="00923D20"/>
    <w:rsid w:val="00924D9B"/>
    <w:rsid w:val="00924F18"/>
    <w:rsid w:val="009259E2"/>
    <w:rsid w:val="00926401"/>
    <w:rsid w:val="0092723F"/>
    <w:rsid w:val="0092733A"/>
    <w:rsid w:val="00927B96"/>
    <w:rsid w:val="0093062B"/>
    <w:rsid w:val="00930CCA"/>
    <w:rsid w:val="0093176E"/>
    <w:rsid w:val="00933FF0"/>
    <w:rsid w:val="009358F0"/>
    <w:rsid w:val="00936E4C"/>
    <w:rsid w:val="009378C3"/>
    <w:rsid w:val="00940F9E"/>
    <w:rsid w:val="0094175E"/>
    <w:rsid w:val="00941CF0"/>
    <w:rsid w:val="00942E38"/>
    <w:rsid w:val="0094308C"/>
    <w:rsid w:val="0094428D"/>
    <w:rsid w:val="00944CC3"/>
    <w:rsid w:val="00944E6E"/>
    <w:rsid w:val="009453C1"/>
    <w:rsid w:val="00945BB4"/>
    <w:rsid w:val="00946901"/>
    <w:rsid w:val="00947CEB"/>
    <w:rsid w:val="0095191A"/>
    <w:rsid w:val="00951AC6"/>
    <w:rsid w:val="0095303D"/>
    <w:rsid w:val="0095382B"/>
    <w:rsid w:val="00954DF1"/>
    <w:rsid w:val="00955092"/>
    <w:rsid w:val="009554D2"/>
    <w:rsid w:val="009571CE"/>
    <w:rsid w:val="00957336"/>
    <w:rsid w:val="0095748A"/>
    <w:rsid w:val="0096057F"/>
    <w:rsid w:val="00962176"/>
    <w:rsid w:val="00963721"/>
    <w:rsid w:val="00963FDB"/>
    <w:rsid w:val="0096521B"/>
    <w:rsid w:val="00965B0C"/>
    <w:rsid w:val="00966574"/>
    <w:rsid w:val="009669AA"/>
    <w:rsid w:val="00967143"/>
    <w:rsid w:val="00967BC4"/>
    <w:rsid w:val="00970011"/>
    <w:rsid w:val="00970529"/>
    <w:rsid w:val="009706A6"/>
    <w:rsid w:val="00972E45"/>
    <w:rsid w:val="009743BD"/>
    <w:rsid w:val="009743F6"/>
    <w:rsid w:val="00977BE5"/>
    <w:rsid w:val="0098058E"/>
    <w:rsid w:val="0098135F"/>
    <w:rsid w:val="0098219F"/>
    <w:rsid w:val="00983589"/>
    <w:rsid w:val="00985B96"/>
    <w:rsid w:val="0098663A"/>
    <w:rsid w:val="00987646"/>
    <w:rsid w:val="00990B71"/>
    <w:rsid w:val="00990C11"/>
    <w:rsid w:val="00991238"/>
    <w:rsid w:val="00993F18"/>
    <w:rsid w:val="009950C5"/>
    <w:rsid w:val="0099553D"/>
    <w:rsid w:val="00995DFF"/>
    <w:rsid w:val="00996750"/>
    <w:rsid w:val="00997657"/>
    <w:rsid w:val="00997DC0"/>
    <w:rsid w:val="009A0354"/>
    <w:rsid w:val="009A06A8"/>
    <w:rsid w:val="009A0842"/>
    <w:rsid w:val="009A0EAE"/>
    <w:rsid w:val="009A1586"/>
    <w:rsid w:val="009A2806"/>
    <w:rsid w:val="009A2A24"/>
    <w:rsid w:val="009A57A8"/>
    <w:rsid w:val="009A61C6"/>
    <w:rsid w:val="009A6691"/>
    <w:rsid w:val="009A7213"/>
    <w:rsid w:val="009A748E"/>
    <w:rsid w:val="009A7F19"/>
    <w:rsid w:val="009B177E"/>
    <w:rsid w:val="009B1D98"/>
    <w:rsid w:val="009B2335"/>
    <w:rsid w:val="009B2A93"/>
    <w:rsid w:val="009B4112"/>
    <w:rsid w:val="009B44A1"/>
    <w:rsid w:val="009B6054"/>
    <w:rsid w:val="009B7A29"/>
    <w:rsid w:val="009C1CC2"/>
    <w:rsid w:val="009C35B5"/>
    <w:rsid w:val="009C3D06"/>
    <w:rsid w:val="009C5BA9"/>
    <w:rsid w:val="009C5EB6"/>
    <w:rsid w:val="009C6E63"/>
    <w:rsid w:val="009D05AE"/>
    <w:rsid w:val="009D094D"/>
    <w:rsid w:val="009D13A1"/>
    <w:rsid w:val="009D14E0"/>
    <w:rsid w:val="009D318A"/>
    <w:rsid w:val="009D45B8"/>
    <w:rsid w:val="009D570F"/>
    <w:rsid w:val="009D6364"/>
    <w:rsid w:val="009D7AF2"/>
    <w:rsid w:val="009E1934"/>
    <w:rsid w:val="009F1570"/>
    <w:rsid w:val="009F1637"/>
    <w:rsid w:val="009F2D7F"/>
    <w:rsid w:val="009F39CC"/>
    <w:rsid w:val="009F4041"/>
    <w:rsid w:val="009F43C3"/>
    <w:rsid w:val="009F577D"/>
    <w:rsid w:val="009F5C96"/>
    <w:rsid w:val="009F62AD"/>
    <w:rsid w:val="009F68EB"/>
    <w:rsid w:val="009F745F"/>
    <w:rsid w:val="009F776D"/>
    <w:rsid w:val="009F7937"/>
    <w:rsid w:val="00A000F4"/>
    <w:rsid w:val="00A00B84"/>
    <w:rsid w:val="00A00F86"/>
    <w:rsid w:val="00A02D2F"/>
    <w:rsid w:val="00A02DF7"/>
    <w:rsid w:val="00A03420"/>
    <w:rsid w:val="00A036A9"/>
    <w:rsid w:val="00A0436B"/>
    <w:rsid w:val="00A045BF"/>
    <w:rsid w:val="00A04FAB"/>
    <w:rsid w:val="00A06293"/>
    <w:rsid w:val="00A066B2"/>
    <w:rsid w:val="00A1009D"/>
    <w:rsid w:val="00A11215"/>
    <w:rsid w:val="00A1147D"/>
    <w:rsid w:val="00A11919"/>
    <w:rsid w:val="00A135C5"/>
    <w:rsid w:val="00A1384B"/>
    <w:rsid w:val="00A1448A"/>
    <w:rsid w:val="00A14C9D"/>
    <w:rsid w:val="00A14D89"/>
    <w:rsid w:val="00A14F39"/>
    <w:rsid w:val="00A1650C"/>
    <w:rsid w:val="00A20D38"/>
    <w:rsid w:val="00A22C68"/>
    <w:rsid w:val="00A238E2"/>
    <w:rsid w:val="00A23B45"/>
    <w:rsid w:val="00A23EF9"/>
    <w:rsid w:val="00A24EB2"/>
    <w:rsid w:val="00A25313"/>
    <w:rsid w:val="00A26E77"/>
    <w:rsid w:val="00A26E80"/>
    <w:rsid w:val="00A27884"/>
    <w:rsid w:val="00A307DD"/>
    <w:rsid w:val="00A3088D"/>
    <w:rsid w:val="00A310A3"/>
    <w:rsid w:val="00A32734"/>
    <w:rsid w:val="00A32A90"/>
    <w:rsid w:val="00A32C60"/>
    <w:rsid w:val="00A33884"/>
    <w:rsid w:val="00A340FB"/>
    <w:rsid w:val="00A3470A"/>
    <w:rsid w:val="00A3502F"/>
    <w:rsid w:val="00A35082"/>
    <w:rsid w:val="00A351D7"/>
    <w:rsid w:val="00A359ED"/>
    <w:rsid w:val="00A3643E"/>
    <w:rsid w:val="00A408B8"/>
    <w:rsid w:val="00A4115A"/>
    <w:rsid w:val="00A41771"/>
    <w:rsid w:val="00A439A0"/>
    <w:rsid w:val="00A43E9F"/>
    <w:rsid w:val="00A45647"/>
    <w:rsid w:val="00A45F5D"/>
    <w:rsid w:val="00A46C13"/>
    <w:rsid w:val="00A474BC"/>
    <w:rsid w:val="00A47772"/>
    <w:rsid w:val="00A510DC"/>
    <w:rsid w:val="00A514D4"/>
    <w:rsid w:val="00A51B01"/>
    <w:rsid w:val="00A5484C"/>
    <w:rsid w:val="00A54D05"/>
    <w:rsid w:val="00A55645"/>
    <w:rsid w:val="00A5777D"/>
    <w:rsid w:val="00A60292"/>
    <w:rsid w:val="00A6038E"/>
    <w:rsid w:val="00A603B7"/>
    <w:rsid w:val="00A6073D"/>
    <w:rsid w:val="00A63706"/>
    <w:rsid w:val="00A640CD"/>
    <w:rsid w:val="00A643FF"/>
    <w:rsid w:val="00A647B2"/>
    <w:rsid w:val="00A64E3E"/>
    <w:rsid w:val="00A6579F"/>
    <w:rsid w:val="00A66CA7"/>
    <w:rsid w:val="00A66EE1"/>
    <w:rsid w:val="00A66FB2"/>
    <w:rsid w:val="00A708A2"/>
    <w:rsid w:val="00A73D68"/>
    <w:rsid w:val="00A74504"/>
    <w:rsid w:val="00A76093"/>
    <w:rsid w:val="00A76F08"/>
    <w:rsid w:val="00A80FA7"/>
    <w:rsid w:val="00A830D5"/>
    <w:rsid w:val="00A8337B"/>
    <w:rsid w:val="00A83C96"/>
    <w:rsid w:val="00A83E49"/>
    <w:rsid w:val="00A8566C"/>
    <w:rsid w:val="00A857AD"/>
    <w:rsid w:val="00A860B8"/>
    <w:rsid w:val="00A871AF"/>
    <w:rsid w:val="00A87A4A"/>
    <w:rsid w:val="00A907FC"/>
    <w:rsid w:val="00A91211"/>
    <w:rsid w:val="00A91650"/>
    <w:rsid w:val="00A925DD"/>
    <w:rsid w:val="00A928EF"/>
    <w:rsid w:val="00A92B13"/>
    <w:rsid w:val="00A931C2"/>
    <w:rsid w:val="00A946ED"/>
    <w:rsid w:val="00A94C31"/>
    <w:rsid w:val="00A96529"/>
    <w:rsid w:val="00A96D1C"/>
    <w:rsid w:val="00A96DD6"/>
    <w:rsid w:val="00A9754A"/>
    <w:rsid w:val="00AA094B"/>
    <w:rsid w:val="00AA1299"/>
    <w:rsid w:val="00AA2DD3"/>
    <w:rsid w:val="00AA4908"/>
    <w:rsid w:val="00AA529F"/>
    <w:rsid w:val="00AA56C3"/>
    <w:rsid w:val="00AA5A41"/>
    <w:rsid w:val="00AA5D77"/>
    <w:rsid w:val="00AA64A7"/>
    <w:rsid w:val="00AA7B6B"/>
    <w:rsid w:val="00AA7E5D"/>
    <w:rsid w:val="00AB1887"/>
    <w:rsid w:val="00AB2406"/>
    <w:rsid w:val="00AB29BC"/>
    <w:rsid w:val="00AB301B"/>
    <w:rsid w:val="00AB66F8"/>
    <w:rsid w:val="00AB779E"/>
    <w:rsid w:val="00AC05C8"/>
    <w:rsid w:val="00AC18FA"/>
    <w:rsid w:val="00AC1DF8"/>
    <w:rsid w:val="00AC1E15"/>
    <w:rsid w:val="00AC23B1"/>
    <w:rsid w:val="00AC26EA"/>
    <w:rsid w:val="00AC386C"/>
    <w:rsid w:val="00AC459A"/>
    <w:rsid w:val="00AC4B89"/>
    <w:rsid w:val="00AC4C4F"/>
    <w:rsid w:val="00AC5ACC"/>
    <w:rsid w:val="00AD03D4"/>
    <w:rsid w:val="00AD1069"/>
    <w:rsid w:val="00AD10B3"/>
    <w:rsid w:val="00AD2111"/>
    <w:rsid w:val="00AD2244"/>
    <w:rsid w:val="00AD29D5"/>
    <w:rsid w:val="00AD37BC"/>
    <w:rsid w:val="00AD3800"/>
    <w:rsid w:val="00AD3B9F"/>
    <w:rsid w:val="00AD3CE2"/>
    <w:rsid w:val="00AD434E"/>
    <w:rsid w:val="00AD4CC2"/>
    <w:rsid w:val="00AD4D41"/>
    <w:rsid w:val="00AD54F3"/>
    <w:rsid w:val="00AD6184"/>
    <w:rsid w:val="00AD6CF8"/>
    <w:rsid w:val="00AE112A"/>
    <w:rsid w:val="00AE1D7C"/>
    <w:rsid w:val="00AE422D"/>
    <w:rsid w:val="00AE6B56"/>
    <w:rsid w:val="00AE7A0B"/>
    <w:rsid w:val="00AF0262"/>
    <w:rsid w:val="00AF1284"/>
    <w:rsid w:val="00AF1AEE"/>
    <w:rsid w:val="00AF1DAF"/>
    <w:rsid w:val="00AF1E1E"/>
    <w:rsid w:val="00AF2512"/>
    <w:rsid w:val="00AF3B2D"/>
    <w:rsid w:val="00AF4AEB"/>
    <w:rsid w:val="00AF5442"/>
    <w:rsid w:val="00AF5A7B"/>
    <w:rsid w:val="00AF6E52"/>
    <w:rsid w:val="00AF77AD"/>
    <w:rsid w:val="00AF7BB4"/>
    <w:rsid w:val="00B00224"/>
    <w:rsid w:val="00B0172B"/>
    <w:rsid w:val="00B02D76"/>
    <w:rsid w:val="00B02EAB"/>
    <w:rsid w:val="00B03759"/>
    <w:rsid w:val="00B03897"/>
    <w:rsid w:val="00B03AE1"/>
    <w:rsid w:val="00B03B2F"/>
    <w:rsid w:val="00B04CF8"/>
    <w:rsid w:val="00B058C8"/>
    <w:rsid w:val="00B06FC3"/>
    <w:rsid w:val="00B07307"/>
    <w:rsid w:val="00B0732E"/>
    <w:rsid w:val="00B07D1F"/>
    <w:rsid w:val="00B10FDE"/>
    <w:rsid w:val="00B12693"/>
    <w:rsid w:val="00B150B9"/>
    <w:rsid w:val="00B168ED"/>
    <w:rsid w:val="00B16FD7"/>
    <w:rsid w:val="00B16FE2"/>
    <w:rsid w:val="00B17CDE"/>
    <w:rsid w:val="00B2069D"/>
    <w:rsid w:val="00B21DB0"/>
    <w:rsid w:val="00B23132"/>
    <w:rsid w:val="00B233E9"/>
    <w:rsid w:val="00B23CB8"/>
    <w:rsid w:val="00B23D57"/>
    <w:rsid w:val="00B240AD"/>
    <w:rsid w:val="00B24649"/>
    <w:rsid w:val="00B25370"/>
    <w:rsid w:val="00B25B5B"/>
    <w:rsid w:val="00B267E6"/>
    <w:rsid w:val="00B2771E"/>
    <w:rsid w:val="00B27EBF"/>
    <w:rsid w:val="00B316B7"/>
    <w:rsid w:val="00B32122"/>
    <w:rsid w:val="00B3426F"/>
    <w:rsid w:val="00B34BA0"/>
    <w:rsid w:val="00B34CFD"/>
    <w:rsid w:val="00B3535C"/>
    <w:rsid w:val="00B35F84"/>
    <w:rsid w:val="00B364F8"/>
    <w:rsid w:val="00B43058"/>
    <w:rsid w:val="00B46691"/>
    <w:rsid w:val="00B469B7"/>
    <w:rsid w:val="00B47B6E"/>
    <w:rsid w:val="00B518B5"/>
    <w:rsid w:val="00B51ADD"/>
    <w:rsid w:val="00B534F8"/>
    <w:rsid w:val="00B54BCB"/>
    <w:rsid w:val="00B55E98"/>
    <w:rsid w:val="00B56490"/>
    <w:rsid w:val="00B57716"/>
    <w:rsid w:val="00B60167"/>
    <w:rsid w:val="00B62A42"/>
    <w:rsid w:val="00B62B4D"/>
    <w:rsid w:val="00B63B65"/>
    <w:rsid w:val="00B63EC1"/>
    <w:rsid w:val="00B65857"/>
    <w:rsid w:val="00B67A79"/>
    <w:rsid w:val="00B71715"/>
    <w:rsid w:val="00B728AC"/>
    <w:rsid w:val="00B72AF6"/>
    <w:rsid w:val="00B73FB5"/>
    <w:rsid w:val="00B74454"/>
    <w:rsid w:val="00B74774"/>
    <w:rsid w:val="00B7567B"/>
    <w:rsid w:val="00B76687"/>
    <w:rsid w:val="00B77908"/>
    <w:rsid w:val="00B77FB0"/>
    <w:rsid w:val="00B81725"/>
    <w:rsid w:val="00B81867"/>
    <w:rsid w:val="00B81A3B"/>
    <w:rsid w:val="00B830DC"/>
    <w:rsid w:val="00B837D9"/>
    <w:rsid w:val="00B839F0"/>
    <w:rsid w:val="00B84C80"/>
    <w:rsid w:val="00B84D1C"/>
    <w:rsid w:val="00B84F07"/>
    <w:rsid w:val="00B86355"/>
    <w:rsid w:val="00B86CB6"/>
    <w:rsid w:val="00B8760D"/>
    <w:rsid w:val="00B919E6"/>
    <w:rsid w:val="00B925D5"/>
    <w:rsid w:val="00B9382C"/>
    <w:rsid w:val="00B944D1"/>
    <w:rsid w:val="00B94D57"/>
    <w:rsid w:val="00B9503B"/>
    <w:rsid w:val="00B9556C"/>
    <w:rsid w:val="00B95900"/>
    <w:rsid w:val="00B96DF4"/>
    <w:rsid w:val="00BA0DF4"/>
    <w:rsid w:val="00BA190D"/>
    <w:rsid w:val="00BA1ED5"/>
    <w:rsid w:val="00BA2B89"/>
    <w:rsid w:val="00BA3232"/>
    <w:rsid w:val="00BA3C66"/>
    <w:rsid w:val="00BA4010"/>
    <w:rsid w:val="00BA4298"/>
    <w:rsid w:val="00BA496D"/>
    <w:rsid w:val="00BA59F1"/>
    <w:rsid w:val="00BA6212"/>
    <w:rsid w:val="00BA6CA4"/>
    <w:rsid w:val="00BA7DDC"/>
    <w:rsid w:val="00BA7E2C"/>
    <w:rsid w:val="00BB0015"/>
    <w:rsid w:val="00BB104A"/>
    <w:rsid w:val="00BB1C30"/>
    <w:rsid w:val="00BB3192"/>
    <w:rsid w:val="00BB3D48"/>
    <w:rsid w:val="00BB4DC1"/>
    <w:rsid w:val="00BB6041"/>
    <w:rsid w:val="00BB71E4"/>
    <w:rsid w:val="00BC0228"/>
    <w:rsid w:val="00BC02B9"/>
    <w:rsid w:val="00BC042C"/>
    <w:rsid w:val="00BC063F"/>
    <w:rsid w:val="00BC19A5"/>
    <w:rsid w:val="00BC1A63"/>
    <w:rsid w:val="00BC2491"/>
    <w:rsid w:val="00BC2B91"/>
    <w:rsid w:val="00BC3064"/>
    <w:rsid w:val="00BC3C8E"/>
    <w:rsid w:val="00BC3ECB"/>
    <w:rsid w:val="00BC4214"/>
    <w:rsid w:val="00BC4448"/>
    <w:rsid w:val="00BC44B6"/>
    <w:rsid w:val="00BC4C0C"/>
    <w:rsid w:val="00BC54D0"/>
    <w:rsid w:val="00BC5738"/>
    <w:rsid w:val="00BC6155"/>
    <w:rsid w:val="00BC676A"/>
    <w:rsid w:val="00BC6B83"/>
    <w:rsid w:val="00BC7F3E"/>
    <w:rsid w:val="00BD3989"/>
    <w:rsid w:val="00BD3C84"/>
    <w:rsid w:val="00BD445A"/>
    <w:rsid w:val="00BD47DF"/>
    <w:rsid w:val="00BD4EF8"/>
    <w:rsid w:val="00BD6A15"/>
    <w:rsid w:val="00BD6A77"/>
    <w:rsid w:val="00BD75A0"/>
    <w:rsid w:val="00BD77FF"/>
    <w:rsid w:val="00BD78D7"/>
    <w:rsid w:val="00BE0553"/>
    <w:rsid w:val="00BE08F1"/>
    <w:rsid w:val="00BE1220"/>
    <w:rsid w:val="00BE1EAE"/>
    <w:rsid w:val="00BE3A43"/>
    <w:rsid w:val="00BE4B84"/>
    <w:rsid w:val="00BE4C28"/>
    <w:rsid w:val="00BE5A47"/>
    <w:rsid w:val="00BE5B23"/>
    <w:rsid w:val="00BE60CE"/>
    <w:rsid w:val="00BE6DC2"/>
    <w:rsid w:val="00BE750D"/>
    <w:rsid w:val="00BE78C3"/>
    <w:rsid w:val="00BF04D7"/>
    <w:rsid w:val="00BF0F50"/>
    <w:rsid w:val="00BF1540"/>
    <w:rsid w:val="00BF29D6"/>
    <w:rsid w:val="00BF31A1"/>
    <w:rsid w:val="00BF472E"/>
    <w:rsid w:val="00BF5E40"/>
    <w:rsid w:val="00BF64E7"/>
    <w:rsid w:val="00BF6A24"/>
    <w:rsid w:val="00BF7280"/>
    <w:rsid w:val="00C00A6B"/>
    <w:rsid w:val="00C0171B"/>
    <w:rsid w:val="00C0185C"/>
    <w:rsid w:val="00C02CFD"/>
    <w:rsid w:val="00C031F3"/>
    <w:rsid w:val="00C0467A"/>
    <w:rsid w:val="00C05D08"/>
    <w:rsid w:val="00C07AF8"/>
    <w:rsid w:val="00C07ECB"/>
    <w:rsid w:val="00C10883"/>
    <w:rsid w:val="00C11149"/>
    <w:rsid w:val="00C11564"/>
    <w:rsid w:val="00C135F7"/>
    <w:rsid w:val="00C1366C"/>
    <w:rsid w:val="00C13671"/>
    <w:rsid w:val="00C146A6"/>
    <w:rsid w:val="00C14ED6"/>
    <w:rsid w:val="00C159E5"/>
    <w:rsid w:val="00C15AB7"/>
    <w:rsid w:val="00C1662F"/>
    <w:rsid w:val="00C1674C"/>
    <w:rsid w:val="00C177C4"/>
    <w:rsid w:val="00C1781F"/>
    <w:rsid w:val="00C17D7F"/>
    <w:rsid w:val="00C204D5"/>
    <w:rsid w:val="00C22131"/>
    <w:rsid w:val="00C23659"/>
    <w:rsid w:val="00C236E3"/>
    <w:rsid w:val="00C247BB"/>
    <w:rsid w:val="00C24D3D"/>
    <w:rsid w:val="00C24F93"/>
    <w:rsid w:val="00C25015"/>
    <w:rsid w:val="00C26A0A"/>
    <w:rsid w:val="00C26AE0"/>
    <w:rsid w:val="00C26D8C"/>
    <w:rsid w:val="00C30808"/>
    <w:rsid w:val="00C30F57"/>
    <w:rsid w:val="00C31456"/>
    <w:rsid w:val="00C329D6"/>
    <w:rsid w:val="00C33A95"/>
    <w:rsid w:val="00C3571C"/>
    <w:rsid w:val="00C3642E"/>
    <w:rsid w:val="00C37821"/>
    <w:rsid w:val="00C41331"/>
    <w:rsid w:val="00C4188B"/>
    <w:rsid w:val="00C42863"/>
    <w:rsid w:val="00C43356"/>
    <w:rsid w:val="00C439C5"/>
    <w:rsid w:val="00C43D5A"/>
    <w:rsid w:val="00C43F67"/>
    <w:rsid w:val="00C44A63"/>
    <w:rsid w:val="00C45B78"/>
    <w:rsid w:val="00C4661D"/>
    <w:rsid w:val="00C468D7"/>
    <w:rsid w:val="00C46D17"/>
    <w:rsid w:val="00C500F4"/>
    <w:rsid w:val="00C50550"/>
    <w:rsid w:val="00C5063B"/>
    <w:rsid w:val="00C50961"/>
    <w:rsid w:val="00C50D36"/>
    <w:rsid w:val="00C522C7"/>
    <w:rsid w:val="00C53D0A"/>
    <w:rsid w:val="00C53E11"/>
    <w:rsid w:val="00C542C5"/>
    <w:rsid w:val="00C54533"/>
    <w:rsid w:val="00C55BF6"/>
    <w:rsid w:val="00C55C85"/>
    <w:rsid w:val="00C60714"/>
    <w:rsid w:val="00C616A2"/>
    <w:rsid w:val="00C6229D"/>
    <w:rsid w:val="00C62E3E"/>
    <w:rsid w:val="00C636E1"/>
    <w:rsid w:val="00C649FF"/>
    <w:rsid w:val="00C655CD"/>
    <w:rsid w:val="00C65881"/>
    <w:rsid w:val="00C65BBF"/>
    <w:rsid w:val="00C66C4B"/>
    <w:rsid w:val="00C675DA"/>
    <w:rsid w:val="00C678C3"/>
    <w:rsid w:val="00C67A07"/>
    <w:rsid w:val="00C70F29"/>
    <w:rsid w:val="00C71195"/>
    <w:rsid w:val="00C72841"/>
    <w:rsid w:val="00C75F9A"/>
    <w:rsid w:val="00C80F76"/>
    <w:rsid w:val="00C813A3"/>
    <w:rsid w:val="00C814F4"/>
    <w:rsid w:val="00C81988"/>
    <w:rsid w:val="00C82B3A"/>
    <w:rsid w:val="00C84BC1"/>
    <w:rsid w:val="00C85C45"/>
    <w:rsid w:val="00C87939"/>
    <w:rsid w:val="00C903DD"/>
    <w:rsid w:val="00C90EC4"/>
    <w:rsid w:val="00C9242A"/>
    <w:rsid w:val="00C9329D"/>
    <w:rsid w:val="00C93ABD"/>
    <w:rsid w:val="00C93B36"/>
    <w:rsid w:val="00C95909"/>
    <w:rsid w:val="00C96456"/>
    <w:rsid w:val="00C9752E"/>
    <w:rsid w:val="00C9788C"/>
    <w:rsid w:val="00C97B13"/>
    <w:rsid w:val="00CA0917"/>
    <w:rsid w:val="00CA0DE6"/>
    <w:rsid w:val="00CA134B"/>
    <w:rsid w:val="00CA435F"/>
    <w:rsid w:val="00CA4A8E"/>
    <w:rsid w:val="00CA5006"/>
    <w:rsid w:val="00CA5549"/>
    <w:rsid w:val="00CA6919"/>
    <w:rsid w:val="00CA7A1E"/>
    <w:rsid w:val="00CB06B5"/>
    <w:rsid w:val="00CB1451"/>
    <w:rsid w:val="00CB1765"/>
    <w:rsid w:val="00CB178C"/>
    <w:rsid w:val="00CB183C"/>
    <w:rsid w:val="00CB1DA6"/>
    <w:rsid w:val="00CB384F"/>
    <w:rsid w:val="00CB4ACF"/>
    <w:rsid w:val="00CB50D4"/>
    <w:rsid w:val="00CB7AB8"/>
    <w:rsid w:val="00CC3AEA"/>
    <w:rsid w:val="00CC40F2"/>
    <w:rsid w:val="00CC4425"/>
    <w:rsid w:val="00CC5056"/>
    <w:rsid w:val="00CC54CC"/>
    <w:rsid w:val="00CC6949"/>
    <w:rsid w:val="00CD000C"/>
    <w:rsid w:val="00CD0542"/>
    <w:rsid w:val="00CD2B24"/>
    <w:rsid w:val="00CD2F42"/>
    <w:rsid w:val="00CD444E"/>
    <w:rsid w:val="00CD4A0F"/>
    <w:rsid w:val="00CD5E1F"/>
    <w:rsid w:val="00CD67B7"/>
    <w:rsid w:val="00CD689D"/>
    <w:rsid w:val="00CD693B"/>
    <w:rsid w:val="00CD730C"/>
    <w:rsid w:val="00CE0ADE"/>
    <w:rsid w:val="00CE290D"/>
    <w:rsid w:val="00CE41EA"/>
    <w:rsid w:val="00CE5A84"/>
    <w:rsid w:val="00CE797C"/>
    <w:rsid w:val="00CE7E9D"/>
    <w:rsid w:val="00CF05C7"/>
    <w:rsid w:val="00CF15A6"/>
    <w:rsid w:val="00CF19C5"/>
    <w:rsid w:val="00CF1A00"/>
    <w:rsid w:val="00CF206C"/>
    <w:rsid w:val="00CF2D0F"/>
    <w:rsid w:val="00CF473C"/>
    <w:rsid w:val="00CF7B11"/>
    <w:rsid w:val="00D00575"/>
    <w:rsid w:val="00D03250"/>
    <w:rsid w:val="00D055D5"/>
    <w:rsid w:val="00D05B7B"/>
    <w:rsid w:val="00D0634A"/>
    <w:rsid w:val="00D06D10"/>
    <w:rsid w:val="00D07A1F"/>
    <w:rsid w:val="00D07D70"/>
    <w:rsid w:val="00D10BD0"/>
    <w:rsid w:val="00D10FF6"/>
    <w:rsid w:val="00D130B7"/>
    <w:rsid w:val="00D13132"/>
    <w:rsid w:val="00D14EE9"/>
    <w:rsid w:val="00D156A8"/>
    <w:rsid w:val="00D1575E"/>
    <w:rsid w:val="00D16B9A"/>
    <w:rsid w:val="00D1759E"/>
    <w:rsid w:val="00D20515"/>
    <w:rsid w:val="00D20D8E"/>
    <w:rsid w:val="00D210C5"/>
    <w:rsid w:val="00D2186F"/>
    <w:rsid w:val="00D218D5"/>
    <w:rsid w:val="00D222B7"/>
    <w:rsid w:val="00D224B1"/>
    <w:rsid w:val="00D22DF0"/>
    <w:rsid w:val="00D231C3"/>
    <w:rsid w:val="00D237C9"/>
    <w:rsid w:val="00D25F3C"/>
    <w:rsid w:val="00D263B5"/>
    <w:rsid w:val="00D268FD"/>
    <w:rsid w:val="00D26D8D"/>
    <w:rsid w:val="00D2754B"/>
    <w:rsid w:val="00D27F30"/>
    <w:rsid w:val="00D300E7"/>
    <w:rsid w:val="00D30F67"/>
    <w:rsid w:val="00D3245C"/>
    <w:rsid w:val="00D33802"/>
    <w:rsid w:val="00D33C9D"/>
    <w:rsid w:val="00D36985"/>
    <w:rsid w:val="00D371E0"/>
    <w:rsid w:val="00D40065"/>
    <w:rsid w:val="00D40594"/>
    <w:rsid w:val="00D40B8A"/>
    <w:rsid w:val="00D40D71"/>
    <w:rsid w:val="00D4270F"/>
    <w:rsid w:val="00D44A98"/>
    <w:rsid w:val="00D44EC8"/>
    <w:rsid w:val="00D46258"/>
    <w:rsid w:val="00D465F2"/>
    <w:rsid w:val="00D468E6"/>
    <w:rsid w:val="00D5024F"/>
    <w:rsid w:val="00D50741"/>
    <w:rsid w:val="00D513D3"/>
    <w:rsid w:val="00D5188D"/>
    <w:rsid w:val="00D518E0"/>
    <w:rsid w:val="00D52436"/>
    <w:rsid w:val="00D52607"/>
    <w:rsid w:val="00D52CC8"/>
    <w:rsid w:val="00D53B11"/>
    <w:rsid w:val="00D54A5D"/>
    <w:rsid w:val="00D556C0"/>
    <w:rsid w:val="00D55C42"/>
    <w:rsid w:val="00D561F4"/>
    <w:rsid w:val="00D5626B"/>
    <w:rsid w:val="00D56CDC"/>
    <w:rsid w:val="00D57559"/>
    <w:rsid w:val="00D60097"/>
    <w:rsid w:val="00D609AF"/>
    <w:rsid w:val="00D61076"/>
    <w:rsid w:val="00D61EC8"/>
    <w:rsid w:val="00D62CEE"/>
    <w:rsid w:val="00D63A85"/>
    <w:rsid w:val="00D63CF1"/>
    <w:rsid w:val="00D654BB"/>
    <w:rsid w:val="00D6659B"/>
    <w:rsid w:val="00D6771E"/>
    <w:rsid w:val="00D701DF"/>
    <w:rsid w:val="00D705F1"/>
    <w:rsid w:val="00D71F47"/>
    <w:rsid w:val="00D721D7"/>
    <w:rsid w:val="00D73AB8"/>
    <w:rsid w:val="00D74B58"/>
    <w:rsid w:val="00D74CB9"/>
    <w:rsid w:val="00D757CD"/>
    <w:rsid w:val="00D75B06"/>
    <w:rsid w:val="00D75DF5"/>
    <w:rsid w:val="00D769DD"/>
    <w:rsid w:val="00D76AF4"/>
    <w:rsid w:val="00D830FA"/>
    <w:rsid w:val="00D83614"/>
    <w:rsid w:val="00D837F4"/>
    <w:rsid w:val="00D843FC"/>
    <w:rsid w:val="00D84580"/>
    <w:rsid w:val="00D84808"/>
    <w:rsid w:val="00D85DB5"/>
    <w:rsid w:val="00D86A6F"/>
    <w:rsid w:val="00D8711C"/>
    <w:rsid w:val="00D90226"/>
    <w:rsid w:val="00D90475"/>
    <w:rsid w:val="00D904F4"/>
    <w:rsid w:val="00D90630"/>
    <w:rsid w:val="00D91D55"/>
    <w:rsid w:val="00D92402"/>
    <w:rsid w:val="00D9315D"/>
    <w:rsid w:val="00D933EE"/>
    <w:rsid w:val="00D93AE2"/>
    <w:rsid w:val="00D94243"/>
    <w:rsid w:val="00D94891"/>
    <w:rsid w:val="00D94FCB"/>
    <w:rsid w:val="00D960CA"/>
    <w:rsid w:val="00D96B8A"/>
    <w:rsid w:val="00D971E6"/>
    <w:rsid w:val="00D97C16"/>
    <w:rsid w:val="00D97D06"/>
    <w:rsid w:val="00DA039A"/>
    <w:rsid w:val="00DA097C"/>
    <w:rsid w:val="00DA25D8"/>
    <w:rsid w:val="00DA2740"/>
    <w:rsid w:val="00DA4BE3"/>
    <w:rsid w:val="00DA581F"/>
    <w:rsid w:val="00DA6073"/>
    <w:rsid w:val="00DA7D0D"/>
    <w:rsid w:val="00DA7E48"/>
    <w:rsid w:val="00DA7F48"/>
    <w:rsid w:val="00DB010B"/>
    <w:rsid w:val="00DB0551"/>
    <w:rsid w:val="00DB0A98"/>
    <w:rsid w:val="00DB0F8E"/>
    <w:rsid w:val="00DB160C"/>
    <w:rsid w:val="00DB16CA"/>
    <w:rsid w:val="00DB2773"/>
    <w:rsid w:val="00DB2B69"/>
    <w:rsid w:val="00DB3504"/>
    <w:rsid w:val="00DB3D9A"/>
    <w:rsid w:val="00DB40FB"/>
    <w:rsid w:val="00DB4D20"/>
    <w:rsid w:val="00DB5A38"/>
    <w:rsid w:val="00DB5C1A"/>
    <w:rsid w:val="00DB6EFA"/>
    <w:rsid w:val="00DB706A"/>
    <w:rsid w:val="00DB7F3B"/>
    <w:rsid w:val="00DC1EBB"/>
    <w:rsid w:val="00DC350D"/>
    <w:rsid w:val="00DC392F"/>
    <w:rsid w:val="00DC3957"/>
    <w:rsid w:val="00DC5BE3"/>
    <w:rsid w:val="00DC6FA7"/>
    <w:rsid w:val="00DD1116"/>
    <w:rsid w:val="00DD3915"/>
    <w:rsid w:val="00DD5706"/>
    <w:rsid w:val="00DD60B2"/>
    <w:rsid w:val="00DD77FE"/>
    <w:rsid w:val="00DE0411"/>
    <w:rsid w:val="00DE0419"/>
    <w:rsid w:val="00DE073E"/>
    <w:rsid w:val="00DE3896"/>
    <w:rsid w:val="00DE6290"/>
    <w:rsid w:val="00DE7047"/>
    <w:rsid w:val="00DF0B3B"/>
    <w:rsid w:val="00DF148B"/>
    <w:rsid w:val="00DF1BD9"/>
    <w:rsid w:val="00DF25DB"/>
    <w:rsid w:val="00DF3C96"/>
    <w:rsid w:val="00DF4284"/>
    <w:rsid w:val="00DF5168"/>
    <w:rsid w:val="00DF5187"/>
    <w:rsid w:val="00DF6115"/>
    <w:rsid w:val="00DF6771"/>
    <w:rsid w:val="00DF6859"/>
    <w:rsid w:val="00E01D69"/>
    <w:rsid w:val="00E01DFF"/>
    <w:rsid w:val="00E02079"/>
    <w:rsid w:val="00E024AB"/>
    <w:rsid w:val="00E02B26"/>
    <w:rsid w:val="00E03C72"/>
    <w:rsid w:val="00E04443"/>
    <w:rsid w:val="00E050F4"/>
    <w:rsid w:val="00E05834"/>
    <w:rsid w:val="00E06035"/>
    <w:rsid w:val="00E06701"/>
    <w:rsid w:val="00E06DB3"/>
    <w:rsid w:val="00E07751"/>
    <w:rsid w:val="00E105C0"/>
    <w:rsid w:val="00E1087B"/>
    <w:rsid w:val="00E109E0"/>
    <w:rsid w:val="00E10B65"/>
    <w:rsid w:val="00E10E2B"/>
    <w:rsid w:val="00E11087"/>
    <w:rsid w:val="00E118D3"/>
    <w:rsid w:val="00E11D5A"/>
    <w:rsid w:val="00E12A1E"/>
    <w:rsid w:val="00E12BDC"/>
    <w:rsid w:val="00E13971"/>
    <w:rsid w:val="00E143BC"/>
    <w:rsid w:val="00E14A68"/>
    <w:rsid w:val="00E15CA2"/>
    <w:rsid w:val="00E16139"/>
    <w:rsid w:val="00E168A9"/>
    <w:rsid w:val="00E202F5"/>
    <w:rsid w:val="00E205CE"/>
    <w:rsid w:val="00E20C52"/>
    <w:rsid w:val="00E20CFE"/>
    <w:rsid w:val="00E213FB"/>
    <w:rsid w:val="00E218E5"/>
    <w:rsid w:val="00E2203D"/>
    <w:rsid w:val="00E2212B"/>
    <w:rsid w:val="00E2531B"/>
    <w:rsid w:val="00E266EF"/>
    <w:rsid w:val="00E27CE6"/>
    <w:rsid w:val="00E3019C"/>
    <w:rsid w:val="00E311FE"/>
    <w:rsid w:val="00E319F7"/>
    <w:rsid w:val="00E32752"/>
    <w:rsid w:val="00E32908"/>
    <w:rsid w:val="00E3309F"/>
    <w:rsid w:val="00E3367E"/>
    <w:rsid w:val="00E33734"/>
    <w:rsid w:val="00E33F6A"/>
    <w:rsid w:val="00E3600F"/>
    <w:rsid w:val="00E36775"/>
    <w:rsid w:val="00E37F0F"/>
    <w:rsid w:val="00E4140B"/>
    <w:rsid w:val="00E41610"/>
    <w:rsid w:val="00E43302"/>
    <w:rsid w:val="00E452D6"/>
    <w:rsid w:val="00E46174"/>
    <w:rsid w:val="00E46494"/>
    <w:rsid w:val="00E5079D"/>
    <w:rsid w:val="00E5098E"/>
    <w:rsid w:val="00E511EB"/>
    <w:rsid w:val="00E51B06"/>
    <w:rsid w:val="00E523B9"/>
    <w:rsid w:val="00E52D82"/>
    <w:rsid w:val="00E531FF"/>
    <w:rsid w:val="00E53AA7"/>
    <w:rsid w:val="00E5490D"/>
    <w:rsid w:val="00E55323"/>
    <w:rsid w:val="00E556F0"/>
    <w:rsid w:val="00E55847"/>
    <w:rsid w:val="00E56005"/>
    <w:rsid w:val="00E56C57"/>
    <w:rsid w:val="00E57F7F"/>
    <w:rsid w:val="00E6117E"/>
    <w:rsid w:val="00E6248E"/>
    <w:rsid w:val="00E6386C"/>
    <w:rsid w:val="00E63D3C"/>
    <w:rsid w:val="00E640A9"/>
    <w:rsid w:val="00E6661C"/>
    <w:rsid w:val="00E705F1"/>
    <w:rsid w:val="00E706A4"/>
    <w:rsid w:val="00E70C70"/>
    <w:rsid w:val="00E71DA5"/>
    <w:rsid w:val="00E721A6"/>
    <w:rsid w:val="00E72A82"/>
    <w:rsid w:val="00E72BC4"/>
    <w:rsid w:val="00E7324F"/>
    <w:rsid w:val="00E7384D"/>
    <w:rsid w:val="00E745E6"/>
    <w:rsid w:val="00E7702D"/>
    <w:rsid w:val="00E80CFB"/>
    <w:rsid w:val="00E818C7"/>
    <w:rsid w:val="00E8196F"/>
    <w:rsid w:val="00E82943"/>
    <w:rsid w:val="00E82E1F"/>
    <w:rsid w:val="00E84138"/>
    <w:rsid w:val="00E846D8"/>
    <w:rsid w:val="00E84ED6"/>
    <w:rsid w:val="00E86255"/>
    <w:rsid w:val="00E868A0"/>
    <w:rsid w:val="00E87562"/>
    <w:rsid w:val="00E90A41"/>
    <w:rsid w:val="00E90BB7"/>
    <w:rsid w:val="00E90DE4"/>
    <w:rsid w:val="00E92F71"/>
    <w:rsid w:val="00E931FB"/>
    <w:rsid w:val="00E939E4"/>
    <w:rsid w:val="00E93FEE"/>
    <w:rsid w:val="00E9459C"/>
    <w:rsid w:val="00E94943"/>
    <w:rsid w:val="00E955F4"/>
    <w:rsid w:val="00E95735"/>
    <w:rsid w:val="00E964D1"/>
    <w:rsid w:val="00E966AE"/>
    <w:rsid w:val="00EA2923"/>
    <w:rsid w:val="00EA3D0E"/>
    <w:rsid w:val="00EA405E"/>
    <w:rsid w:val="00EA7F88"/>
    <w:rsid w:val="00EB00D1"/>
    <w:rsid w:val="00EB016C"/>
    <w:rsid w:val="00EB0CED"/>
    <w:rsid w:val="00EB17C3"/>
    <w:rsid w:val="00EB1928"/>
    <w:rsid w:val="00EB1F87"/>
    <w:rsid w:val="00EB2C89"/>
    <w:rsid w:val="00EB2EDE"/>
    <w:rsid w:val="00EB301A"/>
    <w:rsid w:val="00EB350D"/>
    <w:rsid w:val="00EB3545"/>
    <w:rsid w:val="00EB35FC"/>
    <w:rsid w:val="00EB3AA0"/>
    <w:rsid w:val="00EB4054"/>
    <w:rsid w:val="00EB7942"/>
    <w:rsid w:val="00EB794A"/>
    <w:rsid w:val="00EC0BB9"/>
    <w:rsid w:val="00EC0D78"/>
    <w:rsid w:val="00EC40B3"/>
    <w:rsid w:val="00EC4906"/>
    <w:rsid w:val="00EC4D40"/>
    <w:rsid w:val="00EC630E"/>
    <w:rsid w:val="00EC68D6"/>
    <w:rsid w:val="00EC6F25"/>
    <w:rsid w:val="00ED0560"/>
    <w:rsid w:val="00ED06C0"/>
    <w:rsid w:val="00ED0F76"/>
    <w:rsid w:val="00ED17AA"/>
    <w:rsid w:val="00ED424C"/>
    <w:rsid w:val="00ED435D"/>
    <w:rsid w:val="00ED4415"/>
    <w:rsid w:val="00ED4D2A"/>
    <w:rsid w:val="00ED5176"/>
    <w:rsid w:val="00ED63EC"/>
    <w:rsid w:val="00ED689D"/>
    <w:rsid w:val="00ED7950"/>
    <w:rsid w:val="00ED7D78"/>
    <w:rsid w:val="00EE0148"/>
    <w:rsid w:val="00EE0799"/>
    <w:rsid w:val="00EE0CBC"/>
    <w:rsid w:val="00EE15E5"/>
    <w:rsid w:val="00EE2072"/>
    <w:rsid w:val="00EE29A2"/>
    <w:rsid w:val="00EE41F3"/>
    <w:rsid w:val="00EE47B2"/>
    <w:rsid w:val="00EE4C94"/>
    <w:rsid w:val="00EE61F5"/>
    <w:rsid w:val="00EE6699"/>
    <w:rsid w:val="00EE66D2"/>
    <w:rsid w:val="00EE6C57"/>
    <w:rsid w:val="00EE7D61"/>
    <w:rsid w:val="00EF33A7"/>
    <w:rsid w:val="00EF3BD0"/>
    <w:rsid w:val="00EF5082"/>
    <w:rsid w:val="00EF7732"/>
    <w:rsid w:val="00EF7CF0"/>
    <w:rsid w:val="00F00099"/>
    <w:rsid w:val="00F02311"/>
    <w:rsid w:val="00F03877"/>
    <w:rsid w:val="00F0470A"/>
    <w:rsid w:val="00F05665"/>
    <w:rsid w:val="00F06963"/>
    <w:rsid w:val="00F07179"/>
    <w:rsid w:val="00F10918"/>
    <w:rsid w:val="00F10DB6"/>
    <w:rsid w:val="00F10FEB"/>
    <w:rsid w:val="00F12696"/>
    <w:rsid w:val="00F1437C"/>
    <w:rsid w:val="00F1458C"/>
    <w:rsid w:val="00F15653"/>
    <w:rsid w:val="00F16F7C"/>
    <w:rsid w:val="00F217D5"/>
    <w:rsid w:val="00F21B55"/>
    <w:rsid w:val="00F223F4"/>
    <w:rsid w:val="00F22C2E"/>
    <w:rsid w:val="00F22C7C"/>
    <w:rsid w:val="00F24A3D"/>
    <w:rsid w:val="00F24B96"/>
    <w:rsid w:val="00F26208"/>
    <w:rsid w:val="00F26301"/>
    <w:rsid w:val="00F278D6"/>
    <w:rsid w:val="00F30C36"/>
    <w:rsid w:val="00F30F0F"/>
    <w:rsid w:val="00F33A83"/>
    <w:rsid w:val="00F33FC3"/>
    <w:rsid w:val="00F34320"/>
    <w:rsid w:val="00F348C1"/>
    <w:rsid w:val="00F35790"/>
    <w:rsid w:val="00F35F41"/>
    <w:rsid w:val="00F360CC"/>
    <w:rsid w:val="00F3696D"/>
    <w:rsid w:val="00F37F1A"/>
    <w:rsid w:val="00F41956"/>
    <w:rsid w:val="00F44248"/>
    <w:rsid w:val="00F44C46"/>
    <w:rsid w:val="00F454D7"/>
    <w:rsid w:val="00F46514"/>
    <w:rsid w:val="00F46756"/>
    <w:rsid w:val="00F478FE"/>
    <w:rsid w:val="00F50131"/>
    <w:rsid w:val="00F5031D"/>
    <w:rsid w:val="00F50E32"/>
    <w:rsid w:val="00F51E02"/>
    <w:rsid w:val="00F52735"/>
    <w:rsid w:val="00F52FF6"/>
    <w:rsid w:val="00F54840"/>
    <w:rsid w:val="00F54C31"/>
    <w:rsid w:val="00F54CAC"/>
    <w:rsid w:val="00F55755"/>
    <w:rsid w:val="00F557B1"/>
    <w:rsid w:val="00F55BA5"/>
    <w:rsid w:val="00F55E1A"/>
    <w:rsid w:val="00F57FD0"/>
    <w:rsid w:val="00F6057E"/>
    <w:rsid w:val="00F61386"/>
    <w:rsid w:val="00F62EF0"/>
    <w:rsid w:val="00F63C88"/>
    <w:rsid w:val="00F65248"/>
    <w:rsid w:val="00F66443"/>
    <w:rsid w:val="00F668DD"/>
    <w:rsid w:val="00F67C8E"/>
    <w:rsid w:val="00F704C1"/>
    <w:rsid w:val="00F719B6"/>
    <w:rsid w:val="00F71D1C"/>
    <w:rsid w:val="00F71D24"/>
    <w:rsid w:val="00F72D8F"/>
    <w:rsid w:val="00F72D96"/>
    <w:rsid w:val="00F7445D"/>
    <w:rsid w:val="00F76B92"/>
    <w:rsid w:val="00F77519"/>
    <w:rsid w:val="00F77B42"/>
    <w:rsid w:val="00F77D55"/>
    <w:rsid w:val="00F808B0"/>
    <w:rsid w:val="00F80FF3"/>
    <w:rsid w:val="00F81273"/>
    <w:rsid w:val="00F82DC0"/>
    <w:rsid w:val="00F830B9"/>
    <w:rsid w:val="00F83C2A"/>
    <w:rsid w:val="00F85029"/>
    <w:rsid w:val="00F85B6A"/>
    <w:rsid w:val="00F869EB"/>
    <w:rsid w:val="00F87AAF"/>
    <w:rsid w:val="00F90488"/>
    <w:rsid w:val="00F91AA6"/>
    <w:rsid w:val="00F926C9"/>
    <w:rsid w:val="00F92BF8"/>
    <w:rsid w:val="00F93476"/>
    <w:rsid w:val="00F93976"/>
    <w:rsid w:val="00F93F16"/>
    <w:rsid w:val="00F93F81"/>
    <w:rsid w:val="00F94A24"/>
    <w:rsid w:val="00F95F3A"/>
    <w:rsid w:val="00F9757F"/>
    <w:rsid w:val="00FA0E68"/>
    <w:rsid w:val="00FA1702"/>
    <w:rsid w:val="00FA1E80"/>
    <w:rsid w:val="00FA1F55"/>
    <w:rsid w:val="00FA2EE4"/>
    <w:rsid w:val="00FA3F33"/>
    <w:rsid w:val="00FA534E"/>
    <w:rsid w:val="00FA61F8"/>
    <w:rsid w:val="00FA6B34"/>
    <w:rsid w:val="00FB03A7"/>
    <w:rsid w:val="00FB1DE5"/>
    <w:rsid w:val="00FB34AF"/>
    <w:rsid w:val="00FB4CF1"/>
    <w:rsid w:val="00FB4EBD"/>
    <w:rsid w:val="00FB4F0F"/>
    <w:rsid w:val="00FB52B8"/>
    <w:rsid w:val="00FB5322"/>
    <w:rsid w:val="00FB7798"/>
    <w:rsid w:val="00FB7A62"/>
    <w:rsid w:val="00FC095F"/>
    <w:rsid w:val="00FC0EA2"/>
    <w:rsid w:val="00FC14CF"/>
    <w:rsid w:val="00FC242B"/>
    <w:rsid w:val="00FC2FBB"/>
    <w:rsid w:val="00FC3692"/>
    <w:rsid w:val="00FC384D"/>
    <w:rsid w:val="00FC3B39"/>
    <w:rsid w:val="00FC3D00"/>
    <w:rsid w:val="00FC5037"/>
    <w:rsid w:val="00FC5353"/>
    <w:rsid w:val="00FC5565"/>
    <w:rsid w:val="00FC5DFD"/>
    <w:rsid w:val="00FC63B5"/>
    <w:rsid w:val="00FC6E35"/>
    <w:rsid w:val="00FC7211"/>
    <w:rsid w:val="00FC7675"/>
    <w:rsid w:val="00FD02E6"/>
    <w:rsid w:val="00FD26F6"/>
    <w:rsid w:val="00FD3B52"/>
    <w:rsid w:val="00FD5348"/>
    <w:rsid w:val="00FD5748"/>
    <w:rsid w:val="00FD59F2"/>
    <w:rsid w:val="00FD6490"/>
    <w:rsid w:val="00FD76F9"/>
    <w:rsid w:val="00FE0255"/>
    <w:rsid w:val="00FE14F9"/>
    <w:rsid w:val="00FE16AE"/>
    <w:rsid w:val="00FE170D"/>
    <w:rsid w:val="00FE5429"/>
    <w:rsid w:val="00FE58AA"/>
    <w:rsid w:val="00FE5C2C"/>
    <w:rsid w:val="00FE5C41"/>
    <w:rsid w:val="00FE6A6F"/>
    <w:rsid w:val="00FE6FF3"/>
    <w:rsid w:val="00FF0C5E"/>
    <w:rsid w:val="00FF0F92"/>
    <w:rsid w:val="00FF2F75"/>
    <w:rsid w:val="00FF36A6"/>
    <w:rsid w:val="00FF3EC7"/>
    <w:rsid w:val="00FF4877"/>
    <w:rsid w:val="00FF4C13"/>
    <w:rsid w:val="00FF4DB0"/>
    <w:rsid w:val="00FF67D4"/>
    <w:rsid w:val="00FF752D"/>
    <w:rsid w:val="1E8B7826"/>
    <w:rsid w:val="6B8A3C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99"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4"/>
    <w:qFormat/>
    <w:uiPriority w:val="0"/>
    <w:pPr>
      <w:keepNext/>
      <w:keepLines/>
      <w:spacing w:before="260" w:after="260" w:line="416" w:lineRule="auto"/>
      <w:outlineLvl w:val="2"/>
    </w:pPr>
    <w:rPr>
      <w:b/>
      <w:bCs/>
      <w:sz w:val="32"/>
      <w:szCs w:val="32"/>
    </w:rPr>
  </w:style>
  <w:style w:type="character" w:default="1" w:styleId="20">
    <w:name w:val="Default Paragraph Font"/>
    <w:semiHidden/>
    <w:uiPriority w:val="0"/>
  </w:style>
  <w:style w:type="table" w:default="1" w:styleId="18">
    <w:name w:val="Normal Table"/>
    <w:semiHidden/>
    <w:uiPriority w:val="0"/>
    <w:tblPr>
      <w:tblStyle w:val="18"/>
      <w:tblCellMar>
        <w:top w:w="0" w:type="dxa"/>
        <w:left w:w="108" w:type="dxa"/>
        <w:bottom w:w="0" w:type="dxa"/>
        <w:right w:w="108" w:type="dxa"/>
      </w:tblCellMar>
    </w:tblPr>
  </w:style>
  <w:style w:type="paragraph" w:styleId="5">
    <w:name w:val="Body Text 3"/>
    <w:basedOn w:val="1"/>
    <w:uiPriority w:val="0"/>
    <w:pPr>
      <w:spacing w:line="580" w:lineRule="exact"/>
    </w:pPr>
    <w:rPr>
      <w:rFonts w:ascii="仿宋_GB2312" w:eastAsia="仿宋_GB2312"/>
      <w:sz w:val="32"/>
      <w:szCs w:val="32"/>
    </w:rPr>
  </w:style>
  <w:style w:type="paragraph" w:styleId="6">
    <w:name w:val="Body Text"/>
    <w:basedOn w:val="1"/>
    <w:uiPriority w:val="0"/>
    <w:pPr>
      <w:spacing w:line="500" w:lineRule="exact"/>
    </w:pPr>
    <w:rPr>
      <w:rFonts w:ascii="宋体"/>
      <w:sz w:val="28"/>
    </w:rPr>
  </w:style>
  <w:style w:type="paragraph" w:styleId="7">
    <w:name w:val="Body Text Indent"/>
    <w:basedOn w:val="1"/>
    <w:uiPriority w:val="0"/>
    <w:pPr>
      <w:spacing w:line="600" w:lineRule="exact"/>
      <w:ind w:firstLine="630"/>
    </w:pPr>
    <w:rPr>
      <w:rFonts w:eastAsia="黑体"/>
      <w:sz w:val="32"/>
    </w:rPr>
  </w:style>
  <w:style w:type="paragraph" w:styleId="8">
    <w:name w:val="Plain Text"/>
    <w:basedOn w:val="1"/>
    <w:link w:val="25"/>
    <w:unhideWhenUsed/>
    <w:uiPriority w:val="99"/>
    <w:rPr>
      <w:rFonts w:ascii="宋体" w:hAnsi="Courier New"/>
      <w:szCs w:val="21"/>
    </w:rPr>
  </w:style>
  <w:style w:type="paragraph" w:styleId="9">
    <w:name w:val="Date"/>
    <w:basedOn w:val="1"/>
    <w:next w:val="1"/>
    <w:uiPriority w:val="0"/>
    <w:rPr>
      <w:rFonts w:ascii="仿宋_GB2312" w:eastAsia="仿宋_GB2312"/>
      <w:sz w:val="32"/>
    </w:rPr>
  </w:style>
  <w:style w:type="paragraph" w:styleId="10">
    <w:name w:val="Body Text Indent 2"/>
    <w:basedOn w:val="1"/>
    <w:uiPriority w:val="0"/>
    <w:pPr>
      <w:ind w:firstLine="648"/>
    </w:pPr>
    <w:rPr>
      <w:rFonts w:ascii="仿宋_GB2312" w:eastAsia="仿宋_GB2312"/>
      <w:sz w:val="32"/>
    </w:rPr>
  </w:style>
  <w:style w:type="paragraph" w:styleId="11">
    <w:name w:val="Balloon Text"/>
    <w:basedOn w:val="1"/>
    <w:semiHidden/>
    <w:uiPriority w:val="0"/>
    <w:rPr>
      <w:sz w:val="18"/>
      <w:szCs w:val="18"/>
    </w:rPr>
  </w:style>
  <w:style w:type="paragraph" w:styleId="12">
    <w:name w:val="footer"/>
    <w:basedOn w:val="1"/>
    <w:link w:val="26"/>
    <w:uiPriority w:val="99"/>
    <w:pPr>
      <w:tabs>
        <w:tab w:val="center" w:pos="4153"/>
        <w:tab w:val="right" w:pos="8306"/>
      </w:tabs>
      <w:snapToGrid w:val="0"/>
      <w:jc w:val="left"/>
    </w:pPr>
    <w:rPr>
      <w:sz w:val="18"/>
    </w:rPr>
  </w:style>
  <w:style w:type="paragraph" w:styleId="13">
    <w:name w:val="header"/>
    <w:basedOn w:val="1"/>
    <w:uiPriority w:val="0"/>
    <w:pPr>
      <w:pBdr>
        <w:bottom w:val="single" w:color="auto" w:sz="6" w:space="1"/>
      </w:pBdr>
      <w:tabs>
        <w:tab w:val="center" w:pos="4153"/>
        <w:tab w:val="right" w:pos="8306"/>
      </w:tabs>
      <w:snapToGrid w:val="0"/>
      <w:jc w:val="center"/>
    </w:pPr>
    <w:rPr>
      <w:sz w:val="18"/>
    </w:rPr>
  </w:style>
  <w:style w:type="paragraph" w:styleId="14">
    <w:name w:val="Body Text Indent 3"/>
    <w:basedOn w:val="1"/>
    <w:uiPriority w:val="0"/>
    <w:pPr>
      <w:spacing w:line="500" w:lineRule="exact"/>
      <w:ind w:firstLine="645"/>
    </w:pPr>
    <w:rPr>
      <w:rFonts w:ascii="仿宋_GB2312" w:eastAsia="仿宋_GB2312"/>
      <w:sz w:val="32"/>
    </w:rPr>
  </w:style>
  <w:style w:type="paragraph" w:styleId="15">
    <w:name w:val="Body Text 2"/>
    <w:basedOn w:val="1"/>
    <w:uiPriority w:val="0"/>
    <w:pPr>
      <w:jc w:val="center"/>
    </w:pPr>
    <w:rPr>
      <w:rFonts w:eastAsia="黑体"/>
      <w:sz w:val="44"/>
    </w:rPr>
  </w:style>
  <w:style w:type="paragraph" w:styleId="16">
    <w:name w:val="Normal (Web)"/>
    <w:basedOn w:val="1"/>
    <w:uiPriority w:val="99"/>
    <w:pPr>
      <w:widowControl/>
      <w:spacing w:before="100" w:beforeAutospacing="1" w:after="100" w:afterAutospacing="1"/>
      <w:jc w:val="left"/>
    </w:pPr>
    <w:rPr>
      <w:rFonts w:ascii="宋体" w:hAnsi="宋体"/>
      <w:kern w:val="0"/>
      <w:sz w:val="24"/>
      <w:szCs w:val="24"/>
    </w:rPr>
  </w:style>
  <w:style w:type="paragraph" w:styleId="17">
    <w:name w:val="Title"/>
    <w:basedOn w:val="1"/>
    <w:link w:val="27"/>
    <w:qFormat/>
    <w:uiPriority w:val="99"/>
    <w:pPr>
      <w:spacing w:before="120" w:after="120" w:line="580" w:lineRule="exact"/>
      <w:jc w:val="center"/>
      <w:outlineLvl w:val="0"/>
    </w:pPr>
    <w:rPr>
      <w:rFonts w:ascii="方正小标宋_GBK" w:hAnsi="宋体" w:eastAsia="方正小标宋_GBK"/>
      <w:color w:val="000000"/>
      <w:spacing w:val="8"/>
      <w:sz w:val="44"/>
      <w:szCs w:val="44"/>
      <w:lang w:val="zh-CN"/>
    </w:rPr>
  </w:style>
  <w:style w:type="table" w:styleId="19">
    <w:name w:val="Table Grid"/>
    <w:basedOn w:val="18"/>
    <w:qFormat/>
    <w:uiPriority w:val="39"/>
    <w:pPr>
      <w:widowControl w:val="0"/>
      <w:jc w:val="both"/>
    </w:pPr>
    <w:tblPr>
      <w:tblStyle w:val="1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character" w:styleId="22">
    <w:name w:val="page number"/>
    <w:basedOn w:val="20"/>
    <w:uiPriority w:val="0"/>
  </w:style>
  <w:style w:type="character" w:styleId="23">
    <w:name w:val="Hyperlink"/>
    <w:uiPriority w:val="0"/>
    <w:rPr>
      <w:color w:val="0000FF"/>
      <w:u w:val="single"/>
    </w:rPr>
  </w:style>
  <w:style w:type="character" w:customStyle="1" w:styleId="24">
    <w:name w:val="标题 3 Char"/>
    <w:link w:val="4"/>
    <w:uiPriority w:val="0"/>
    <w:rPr>
      <w:b/>
      <w:bCs/>
      <w:kern w:val="2"/>
      <w:sz w:val="32"/>
      <w:szCs w:val="32"/>
    </w:rPr>
  </w:style>
  <w:style w:type="character" w:customStyle="1" w:styleId="25">
    <w:name w:val="纯文本 Char"/>
    <w:link w:val="8"/>
    <w:uiPriority w:val="99"/>
    <w:rPr>
      <w:rFonts w:ascii="宋体" w:hAnsi="Courier New" w:cs="Courier New"/>
      <w:kern w:val="2"/>
      <w:sz w:val="21"/>
      <w:szCs w:val="21"/>
    </w:rPr>
  </w:style>
  <w:style w:type="character" w:customStyle="1" w:styleId="26">
    <w:name w:val="页脚 Char"/>
    <w:link w:val="12"/>
    <w:uiPriority w:val="99"/>
    <w:rPr>
      <w:kern w:val="2"/>
      <w:sz w:val="18"/>
    </w:rPr>
  </w:style>
  <w:style w:type="character" w:customStyle="1" w:styleId="27">
    <w:name w:val="标题 Char"/>
    <w:link w:val="17"/>
    <w:uiPriority w:val="99"/>
    <w:rPr>
      <w:rFonts w:ascii="方正小标宋_GBK" w:hAnsi="宋体" w:eastAsia="方正小标宋_GBK"/>
      <w:color w:val="000000"/>
      <w:spacing w:val="8"/>
      <w:kern w:val="2"/>
      <w:sz w:val="44"/>
      <w:szCs w:val="44"/>
      <w:lang w:val="zh-CN"/>
    </w:rPr>
  </w:style>
  <w:style w:type="character" w:customStyle="1" w:styleId="28">
    <w:name w:val="bz-content1"/>
    <w:uiPriority w:val="0"/>
    <w:rPr>
      <w:sz w:val="20"/>
      <w:szCs w:val="20"/>
      <w:u w:val="none"/>
    </w:rPr>
  </w:style>
  <w:style w:type="paragraph" w:customStyle="1" w:styleId="29">
    <w:name w:val=" Char"/>
    <w:basedOn w:val="3"/>
    <w:next w:val="1"/>
    <w:uiPriority w:val="0"/>
    <w:pPr>
      <w:numPr>
        <w:ilvl w:val="1"/>
        <w:numId w:val="0"/>
      </w:numPr>
      <w:snapToGrid w:val="0"/>
      <w:spacing w:before="120" w:after="120" w:line="240" w:lineRule="auto"/>
      <w:jc w:val="left"/>
    </w:pPr>
    <w:rPr>
      <w:bCs w:val="0"/>
      <w:sz w:val="24"/>
      <w:szCs w:val="20"/>
    </w:rPr>
  </w:style>
  <w:style w:type="paragraph" w:customStyle="1" w:styleId="30">
    <w:name w:val="Char1 Char Char Char"/>
    <w:basedOn w:val="1"/>
    <w:uiPriority w:val="0"/>
    <w:pPr>
      <w:snapToGrid w:val="0"/>
      <w:spacing w:line="360" w:lineRule="auto"/>
      <w:ind w:firstLine="200" w:firstLineChars="200"/>
    </w:pPr>
    <w:rPr>
      <w:rFonts w:ascii="黑体" w:hAnsi="宋体" w:eastAsia="仿宋_GB2312"/>
      <w:sz w:val="24"/>
      <w:szCs w:val="24"/>
    </w:rPr>
  </w:style>
  <w:style w:type="paragraph" w:customStyle="1" w:styleId="31">
    <w:name w:val="正文段落"/>
    <w:basedOn w:val="1"/>
    <w:uiPriority w:val="0"/>
    <w:pPr>
      <w:spacing w:before="156" w:beforeLines="50" w:line="360" w:lineRule="auto"/>
      <w:ind w:firstLine="480" w:firstLineChars="200"/>
    </w:pPr>
    <w:rPr>
      <w:sz w:val="24"/>
      <w:szCs w:val="21"/>
    </w:rPr>
  </w:style>
  <w:style w:type="paragraph" w:customStyle="1" w:styleId="32">
    <w:name w:val="Char"/>
    <w:basedOn w:val="1"/>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33">
    <w:name w:val="段"/>
    <w:uiPriority w:val="0"/>
    <w:pPr>
      <w:autoSpaceDE w:val="0"/>
      <w:autoSpaceDN w:val="0"/>
      <w:ind w:firstLine="200" w:firstLineChars="200"/>
      <w:jc w:val="both"/>
    </w:pPr>
    <w:rPr>
      <w:rFonts w:ascii="宋体"/>
      <w:sz w:val="21"/>
      <w:lang w:val="en-US" w:eastAsia="zh-CN" w:bidi="ar-SA"/>
    </w:rPr>
  </w:style>
  <w:style w:type="paragraph" w:styleId="34">
    <w:name w:val="No Spacing"/>
    <w:link w:val="35"/>
    <w:qFormat/>
    <w:uiPriority w:val="1"/>
    <w:pPr>
      <w:widowControl w:val="0"/>
      <w:jc w:val="both"/>
    </w:pPr>
    <w:rPr>
      <w:kern w:val="2"/>
      <w:sz w:val="21"/>
      <w:szCs w:val="24"/>
      <w:lang w:val="en-US" w:eastAsia="zh-CN" w:bidi="ar-SA"/>
    </w:rPr>
  </w:style>
  <w:style w:type="character" w:customStyle="1" w:styleId="35">
    <w:name w:val="无间隔 Char"/>
    <w:link w:val="34"/>
    <w:uiPriority w:val="1"/>
    <w:rPr>
      <w:kern w:val="2"/>
      <w:sz w:val="21"/>
      <w:szCs w:val="24"/>
      <w:lang w:val="en-US" w:eastAsia="zh-CN" w:bidi="ar-SA"/>
    </w:rPr>
  </w:style>
  <w:style w:type="paragraph" w:customStyle="1" w:styleId="36">
    <w:name w:val="标题1"/>
    <w:basedOn w:val="1"/>
    <w:next w:val="1"/>
    <w:uiPriority w:val="0"/>
    <w:pPr>
      <w:tabs>
        <w:tab w:val="left" w:pos="9193"/>
        <w:tab w:val="left" w:pos="9827"/>
      </w:tabs>
      <w:autoSpaceDE w:val="0"/>
      <w:autoSpaceDN w:val="0"/>
      <w:snapToGrid w:val="0"/>
      <w:spacing w:line="640" w:lineRule="atLeast"/>
      <w:jc w:val="center"/>
    </w:pPr>
    <w:rPr>
      <w:rFonts w:eastAsia="方正小标宋_GBK"/>
      <w:snapToGrid w:val="0"/>
      <w:kern w:val="0"/>
      <w:sz w:val="44"/>
    </w:rPr>
  </w:style>
  <w:style w:type="paragraph" w:customStyle="1" w:styleId="37">
    <w:name w:val="标题2"/>
    <w:basedOn w:val="1"/>
    <w:next w:val="1"/>
    <w:link w:val="38"/>
    <w:uiPriority w:val="0"/>
    <w:pPr>
      <w:autoSpaceDE w:val="0"/>
      <w:autoSpaceDN w:val="0"/>
      <w:snapToGrid w:val="0"/>
      <w:spacing w:line="590" w:lineRule="atLeast"/>
      <w:jc w:val="center"/>
    </w:pPr>
    <w:rPr>
      <w:rFonts w:eastAsia="方正楷体_GBK"/>
      <w:snapToGrid w:val="0"/>
      <w:kern w:val="0"/>
      <w:sz w:val="32"/>
    </w:rPr>
  </w:style>
  <w:style w:type="character" w:customStyle="1" w:styleId="38">
    <w:name w:val="标题2 Char"/>
    <w:link w:val="37"/>
    <w:uiPriority w:val="0"/>
    <w:rPr>
      <w:rFonts w:eastAsia="方正楷体_GBK"/>
      <w:snapToGrid w:val="0"/>
      <w:sz w:val="32"/>
    </w:rPr>
  </w:style>
  <w:style w:type="paragraph" w:customStyle="1" w:styleId="39">
    <w:name w:val="标题3"/>
    <w:basedOn w:val="1"/>
    <w:next w:val="1"/>
    <w:uiPriority w:val="0"/>
    <w:pPr>
      <w:autoSpaceDE w:val="0"/>
      <w:autoSpaceDN w:val="0"/>
      <w:snapToGrid w:val="0"/>
      <w:spacing w:line="590" w:lineRule="atLeast"/>
      <w:ind w:firstLine="624"/>
    </w:pPr>
    <w:rPr>
      <w:rFonts w:eastAsia="方正黑体_GBK"/>
      <w:snapToGrid w:val="0"/>
      <w:kern w:val="0"/>
      <w:sz w:val="32"/>
    </w:rPr>
  </w:style>
  <w:style w:type="paragraph" w:styleId="40">
    <w:name w:val="List Paragraph"/>
    <w:basedOn w:val="1"/>
    <w:qFormat/>
    <w:uiPriority w:val="99"/>
    <w:pPr>
      <w:ind w:firstLine="420" w:firstLineChars="200"/>
    </w:pPr>
    <w:rPr>
      <w:rFonts w:ascii="Calibri" w:hAnsi="Calibri" w:cs="Calibri"/>
      <w:szCs w:val="21"/>
    </w:rPr>
  </w:style>
  <w:style w:type="paragraph" w:customStyle="1" w:styleId="41">
    <w:name w:val="p0"/>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42">
    <w:name w:val="正文格式四号宋体罗马数字"/>
    <w:basedOn w:val="1"/>
    <w:link w:val="43"/>
    <w:qFormat/>
    <w:uiPriority w:val="0"/>
    <w:pPr>
      <w:ind w:firstLine="560" w:firstLineChars="200"/>
    </w:pPr>
    <w:rPr>
      <w:sz w:val="28"/>
      <w:szCs w:val="28"/>
    </w:rPr>
  </w:style>
  <w:style w:type="character" w:customStyle="1" w:styleId="43">
    <w:name w:val="正文格式四号宋体罗马数字 Char"/>
    <w:link w:val="42"/>
    <w:uiPriority w:val="0"/>
    <w:rPr>
      <w:kern w:val="2"/>
      <w:sz w:val="28"/>
      <w:szCs w:val="28"/>
    </w:rPr>
  </w:style>
  <w:style w:type="paragraph" w:customStyle="1" w:styleId="44">
    <w:name w:val="样式 首行缩进:  2 字符1"/>
    <w:basedOn w:val="1"/>
    <w:uiPriority w:val="99"/>
    <w:pPr>
      <w:spacing w:line="580" w:lineRule="exact"/>
      <w:ind w:firstLine="200" w:firstLineChars="200"/>
    </w:pPr>
    <w:rPr>
      <w:rFonts w:eastAsia="仿宋_GB2312" w:cs="宋体"/>
      <w:sz w:val="32"/>
    </w:rPr>
  </w:style>
  <w:style w:type="paragraph" w:customStyle="1" w:styleId="45">
    <w:name w:val="Defaul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changzhouslj</Company>
  <Pages>12</Pages>
  <Words>5177</Words>
  <Characters>5353</Characters>
  <Lines>39</Lines>
  <Paragraphs>11</Paragraphs>
  <TotalTime>0</TotalTime>
  <ScaleCrop>false</ScaleCrop>
  <LinksUpToDate>false</LinksUpToDate>
  <CharactersWithSpaces>5495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2020-12-03T01:00:00Z</dcterms:created>
  <dc:creator>sl4</dc:creator>
  <cp:lastModifiedBy>兴庭</cp:lastModifiedBy>
  <cp:lastPrinted>2020-12-07T07:16:00Z</cp:lastPrinted>
  <dcterms:modified xsi:type="dcterms:W3CDTF">2024-10-31T08:27:27Z</dcterms:modified>
  <dc:title>今冬明春水利建设初步意见-</dc:title>
  <cp:revision>260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F8F4E7363DF04179A97E7B2E9CED7689_13</vt:lpwstr>
  </property>
</Properties>
</file>